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32"/>
        </w:rPr>
      </w:pPr>
      <w:bookmarkStart w:id="0" w:name="MainDocument.htm"/>
      <w:bookmarkStart w:id="1" w:name="ksMainDocument"/>
      <w:bookmarkEnd w:id="0"/>
      <w:bookmarkEnd w:id="1"/>
      <w:r>
        <w:rPr>
          <w:rFonts w:ascii="Times New Roman" w:hAnsi="Times New Roman"/>
          <w:b/>
          <w:sz w:val="32"/>
        </w:rPr>
        <w:t>UNITED STATES 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lineRule="auto" w:line="120" w:before="0" w:after="0"/>
        <w:ind w:left="0" w:right="0" w:hanging="0"/>
        <w:jc w:val="center"/>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Form 10-K</w:t>
      </w:r>
    </w:p>
    <w:p>
      <w:pPr>
        <w:pStyle w:val="TextBody"/>
        <w:spacing w:before="0" w:after="0"/>
        <w:ind w:left="0" w:right="0" w:hanging="0"/>
        <w:rPr>
          <w:rFonts w:ascii="Times New Roman" w:hAnsi="Times New Roman"/>
          <w:sz w:val="20"/>
        </w:rPr>
      </w:pPr>
      <w:r>
        <w:rPr>
          <w:rFonts w:ascii="Times New Roman" w:hAnsi="Times New Roman"/>
          <w:sz w:val="20"/>
        </w:rPr>
        <w:t>(Mark One)</w:t>
      </w:r>
    </w:p>
    <w:tbl>
      <w:tblPr>
        <w:tblW w:w="5000" w:type="pct"/>
        <w:jc w:val="left"/>
        <w:tblInd w:w="0" w:type="dxa"/>
        <w:tblCellMar>
          <w:top w:w="0" w:type="dxa"/>
          <w:left w:w="0" w:type="dxa"/>
          <w:bottom w:w="0" w:type="dxa"/>
          <w:right w:w="0" w:type="dxa"/>
        </w:tblCellMar>
      </w:tblPr>
      <w:tblGrid>
        <w:gridCol w:w="316"/>
        <w:gridCol w:w="9889"/>
      </w:tblGrid>
      <w:tr>
        <w:trPr/>
        <w:tc>
          <w:tcPr>
            <w:tcW w:w="316" w:type="dxa"/>
            <w:tcBorders/>
            <w:shd w:fill="auto" w:val="clear"/>
            <w:vAlign w:val="center"/>
          </w:tcPr>
          <w:p>
            <w:pPr>
              <w:pStyle w:val="TableContents"/>
              <w:spacing w:before="0" w:after="0"/>
              <w:ind w:left="0" w:right="0" w:hanging="0"/>
              <w:rPr/>
            </w:pPr>
            <w:r>
              <w:rPr/>
              <w:t xml:space="preserve">☒ </w:t>
            </w:r>
          </w:p>
        </w:tc>
        <w:tc>
          <w:tcPr>
            <w:tcW w:w="9889" w:type="dxa"/>
            <w:tcBorders/>
            <w:shd w:fill="auto"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 xml:space="preserve">ANNUAL REPORT PURSUANT TO SECTION 13 OR 15(d) OF THE SECURITIES EXCHANGE ACT OF 1934 </w:t>
            </w:r>
          </w:p>
        </w:tc>
      </w:tr>
      <w:tr>
        <w:trPr/>
        <w:tc>
          <w:tcPr>
            <w:tcW w:w="316" w:type="dxa"/>
            <w:tcBorders/>
            <w:shd w:fill="auto" w:val="clear"/>
            <w:vAlign w:val="center"/>
          </w:tcPr>
          <w:p>
            <w:pPr>
              <w:pStyle w:val="TableContents"/>
              <w:spacing w:before="0" w:after="0"/>
              <w:ind w:left="0" w:right="0" w:hanging="0"/>
              <w:rPr/>
            </w:pPr>
            <w:r>
              <w:rPr/>
              <w:t xml:space="preserve">  </w:t>
            </w:r>
          </w:p>
        </w:tc>
        <w:tc>
          <w:tcPr>
            <w:tcW w:w="98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For the fiscal year ended December 31, 2020 </w:t>
            </w:r>
          </w:p>
        </w:tc>
      </w:tr>
    </w:tbl>
    <w:p>
      <w:pPr>
        <w:pStyle w:val="TextBody"/>
        <w:spacing w:lineRule="auto" w:line="144" w:before="0" w:after="0"/>
        <w:ind w:left="288" w:right="288" w:hanging="0"/>
        <w:jc w:val="center"/>
        <w:rPr/>
      </w:pPr>
      <w:r>
        <w:rPr/>
        <w:t> </w:t>
      </w:r>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0"/>
              <w:ind w:left="0" w:right="0" w:hanging="0"/>
              <w:rPr/>
            </w:pPr>
            <w:r>
              <w:rPr/>
              <w:t xml:space="preserve">☐ </w:t>
            </w:r>
          </w:p>
        </w:tc>
        <w:tc>
          <w:tcPr>
            <w:tcW w:w="9902" w:type="dxa"/>
            <w:tcBorders/>
            <w:shd w:fill="auto"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 xml:space="preserve">TRANSITION REPORT PURSUANT TO SECTION 13 OR 15(d) OF THE SECURITIES EXCHANGE ACT OF 1934 </w:t>
            </w:r>
          </w:p>
        </w:tc>
      </w:tr>
      <w:tr>
        <w:trPr/>
        <w:tc>
          <w:tcPr>
            <w:tcW w:w="303" w:type="dxa"/>
            <w:tcBorders/>
            <w:shd w:fill="auto" w:val="clear"/>
            <w:vAlign w:val="center"/>
          </w:tcPr>
          <w:p>
            <w:pPr>
              <w:pStyle w:val="TableContents"/>
              <w:spacing w:before="0" w:after="0"/>
              <w:ind w:left="0" w:right="0" w:hanging="0"/>
              <w:rPr/>
            </w:pPr>
            <w:r>
              <w:rPr/>
              <w:t xml:space="preserve">  </w:t>
            </w:r>
          </w:p>
        </w:tc>
        <w:tc>
          <w:tcPr>
            <w:tcW w:w="990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For the transition period from _________ to _________ </w:t>
            </w:r>
          </w:p>
        </w:tc>
      </w:tr>
    </w:tbl>
    <w:p>
      <w:pPr>
        <w:pStyle w:val="TextBody"/>
        <w:spacing w:lineRule="auto" w:line="240" w:before="0" w:after="0"/>
        <w:ind w:left="288" w:right="288" w:hanging="0"/>
        <w:jc w:val="center"/>
        <w:rPr/>
      </w:pPr>
      <w:r>
        <w:rPr/>
        <w:t> </w:t>
      </w:r>
    </w:p>
    <w:p>
      <w:pPr>
        <w:pStyle w:val="TextBody"/>
        <w:spacing w:before="0" w:after="0"/>
        <w:ind w:left="0" w:right="0" w:hanging="0"/>
        <w:rPr>
          <w:rFonts w:ascii="times new roman;times" w:hAnsi="times new roman;times"/>
          <w:sz w:val="20"/>
        </w:rPr>
      </w:pPr>
      <w:r>
        <w:rPr>
          <w:rFonts w:ascii="Times New Roman" w:hAnsi="Times New Roman"/>
          <w:sz w:val="20"/>
        </w:rPr>
        <w:t xml:space="preserve">Commission file number </w:t>
      </w:r>
      <w:r>
        <w:rPr>
          <w:rFonts w:ascii="Times New Roman" w:hAnsi="Times New Roman"/>
          <w:sz w:val="20"/>
          <w:u w:val="single"/>
        </w:rPr>
        <w:t>001-33660</w:t>
      </w:r>
    </w:p>
    <w:p>
      <w:pPr>
        <w:pStyle w:val="TextBody"/>
        <w:spacing w:lineRule="auto" w:line="120" w:before="0" w:after="0"/>
        <w:ind w:left="0" w:right="0" w:hanging="0"/>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CLEARONE,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6036"/>
        <w:gridCol w:w="166"/>
        <w:gridCol w:w="4003"/>
      </w:tblGrid>
      <w:tr>
        <w:trPr/>
        <w:tc>
          <w:tcPr>
            <w:tcW w:w="6036"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166" w:type="dxa"/>
            <w:tcBorders/>
            <w:shd w:fill="auto" w:val="clear"/>
            <w:tcMar>
              <w:bottom w:w="0" w:type="dxa"/>
            </w:tcMar>
            <w:vAlign w:val="center"/>
          </w:tcPr>
          <w:p>
            <w:pPr>
              <w:pStyle w:val="TableContents"/>
              <w:spacing w:before="0" w:after="0"/>
              <w:ind w:left="0" w:right="16" w:hanging="0"/>
              <w:rPr/>
            </w:pPr>
            <w:r>
              <w:rPr/>
              <w:t xml:space="preserve">  </w:t>
            </w:r>
          </w:p>
        </w:tc>
        <w:tc>
          <w:tcPr>
            <w:tcW w:w="4003" w:type="dxa"/>
            <w:tcBorders>
              <w:bottom w:val="single" w:sz="6" w:space="0" w:color="000000"/>
            </w:tcBorders>
            <w:shd w:fill="auto" w:val="clear"/>
            <w:vAlign w:val="center"/>
          </w:tcPr>
          <w:p>
            <w:pPr>
              <w:pStyle w:val="TableContents"/>
              <w:spacing w:before="0" w:after="0"/>
              <w:ind w:left="0" w:right="16" w:hanging="0"/>
              <w:jc w:val="center"/>
              <w:rPr>
                <w:rFonts w:ascii="Times New Roman" w:hAnsi="Times New Roman"/>
                <w:b/>
                <w:sz w:val="20"/>
              </w:rPr>
            </w:pPr>
            <w:r>
              <w:rPr>
                <w:rFonts w:ascii="Times New Roman" w:hAnsi="Times New Roman"/>
                <w:b/>
                <w:sz w:val="20"/>
              </w:rPr>
              <w:t xml:space="preserve">87-0398877 </w:t>
            </w:r>
          </w:p>
        </w:tc>
      </w:tr>
      <w:tr>
        <w:trPr/>
        <w:tc>
          <w:tcPr>
            <w:tcW w:w="6036"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(State or other jurisdiction of incorporation or organization) </w:t>
            </w:r>
          </w:p>
        </w:tc>
        <w:tc>
          <w:tcPr>
            <w:tcW w:w="166" w:type="dxa"/>
            <w:tcBorders/>
            <w:shd w:fill="auto" w:val="clear"/>
            <w:tcMar>
              <w:bottom w:w="0" w:type="dxa"/>
            </w:tcMar>
            <w:vAlign w:val="center"/>
          </w:tcPr>
          <w:p>
            <w:pPr>
              <w:pStyle w:val="TableContents"/>
              <w:spacing w:before="0" w:after="0"/>
              <w:ind w:left="0" w:right="16" w:hanging="0"/>
              <w:rPr/>
            </w:pPr>
            <w:r>
              <w:rPr/>
              <w:t xml:space="preserve">  </w:t>
            </w:r>
          </w:p>
        </w:tc>
        <w:tc>
          <w:tcPr>
            <w:tcW w:w="4003"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(I.R.S. employer identification number) </w:t>
            </w:r>
          </w:p>
        </w:tc>
      </w:tr>
    </w:tbl>
    <w:p>
      <w:pPr>
        <w:pStyle w:val="TextBody"/>
        <w:spacing w:before="0" w:after="0"/>
        <w:ind w:left="294" w:right="294" w:hanging="0"/>
        <w:rPr/>
      </w:pPr>
      <w:r>
        <w:rPr/>
        <w:t> </w:t>
      </w:r>
    </w:p>
    <w:tbl>
      <w:tblPr>
        <w:tblW w:w="5000" w:type="pct"/>
        <w:jc w:val="left"/>
        <w:tblInd w:w="0" w:type="dxa"/>
        <w:tblCellMar>
          <w:top w:w="0" w:type="dxa"/>
          <w:left w:w="0" w:type="dxa"/>
          <w:bottom w:w="0" w:type="dxa"/>
          <w:right w:w="0" w:type="dxa"/>
        </w:tblCellMar>
      </w:tblPr>
      <w:tblGrid>
        <w:gridCol w:w="8204"/>
        <w:gridCol w:w="243"/>
        <w:gridCol w:w="1758"/>
      </w:tblGrid>
      <w:tr>
        <w:trPr/>
        <w:tc>
          <w:tcPr>
            <w:tcW w:w="8204" w:type="dxa"/>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5225 Wiley Post Way, Suite 500, Salt Lake City, Utah </w:t>
            </w:r>
          </w:p>
        </w:tc>
        <w:tc>
          <w:tcPr>
            <w:tcW w:w="243" w:type="dxa"/>
            <w:tcBorders/>
            <w:shd w:fill="auto" w:val="clear"/>
            <w:vAlign w:val="center"/>
          </w:tcPr>
          <w:p>
            <w:pPr>
              <w:pStyle w:val="TableContents"/>
              <w:spacing w:before="0" w:after="0"/>
              <w:ind w:left="0" w:right="16" w:hanging="0"/>
              <w:rPr/>
            </w:pPr>
            <w:r>
              <w:rPr/>
              <w:t xml:space="preserve">  </w:t>
            </w:r>
          </w:p>
        </w:tc>
        <w:tc>
          <w:tcPr>
            <w:tcW w:w="1758" w:type="dxa"/>
            <w:tcBorders/>
            <w:shd w:fill="auto" w:val="clear"/>
            <w:vAlign w:val="center"/>
          </w:tcPr>
          <w:p>
            <w:pPr>
              <w:pStyle w:val="TableContents"/>
              <w:spacing w:before="0" w:after="0"/>
              <w:ind w:left="0" w:right="16" w:hanging="0"/>
              <w:jc w:val="center"/>
              <w:rPr>
                <w:rFonts w:ascii="Times New Roman" w:hAnsi="Times New Roman"/>
                <w:b/>
                <w:sz w:val="20"/>
              </w:rPr>
            </w:pPr>
            <w:r>
              <w:rPr>
                <w:rFonts w:ascii="Times New Roman" w:hAnsi="Times New Roman"/>
                <w:b/>
                <w:sz w:val="20"/>
              </w:rPr>
              <w:t xml:space="preserve">84116 </w:t>
            </w:r>
          </w:p>
        </w:tc>
      </w:tr>
      <w:tr>
        <w:trPr/>
        <w:tc>
          <w:tcPr>
            <w:tcW w:w="8204" w:type="dxa"/>
            <w:tcBorders/>
            <w:shd w:fill="auto" w:val="cle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(Address of principal executive offices) </w:t>
            </w:r>
          </w:p>
        </w:tc>
        <w:tc>
          <w:tcPr>
            <w:tcW w:w="243" w:type="dxa"/>
            <w:tcBorders/>
            <w:shd w:fill="auto" w:val="clear"/>
            <w:vAlign w:val="center"/>
          </w:tcPr>
          <w:p>
            <w:pPr>
              <w:pStyle w:val="TableContents"/>
              <w:spacing w:before="0" w:after="0"/>
              <w:ind w:left="0" w:right="16" w:hanging="0"/>
              <w:rPr/>
            </w:pPr>
            <w:r>
              <w:rPr/>
              <w:t xml:space="preserve">  </w:t>
            </w:r>
          </w:p>
        </w:tc>
        <w:tc>
          <w:tcPr>
            <w:tcW w:w="1758" w:type="dxa"/>
            <w:tcBorders/>
            <w:shd w:fill="auto" w:val="cle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(Zip Code) </w:t>
            </w:r>
          </w:p>
        </w:tc>
      </w:tr>
    </w:tbl>
    <w:p>
      <w:pPr>
        <w:pStyle w:val="TextBody"/>
        <w:spacing w:before="0" w:after="0"/>
        <w:ind w:left="0" w:right="0" w:hanging="0"/>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 xml:space="preserve">Registrant’s telephone number, including area code: </w:t>
      </w:r>
      <w:r>
        <w:rPr>
          <w:rFonts w:ascii="Times New Roman" w:hAnsi="Times New Roman"/>
          <w:sz w:val="20"/>
          <w:u w:val="single"/>
        </w:rPr>
        <w:t>(801) 975-7200</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Securities registered pursuant to Section 12(b) of the Act:</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407"/>
        <w:gridCol w:w="28"/>
        <w:gridCol w:w="2116"/>
        <w:gridCol w:w="28"/>
        <w:gridCol w:w="4626"/>
      </w:tblGrid>
      <w:tr>
        <w:trPr/>
        <w:tc>
          <w:tcPr>
            <w:tcW w:w="3407"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Title of each class </w:t>
            </w:r>
          </w:p>
        </w:tc>
        <w:tc>
          <w:tcPr>
            <w:tcW w:w="28" w:type="dxa"/>
            <w:tcBorders/>
            <w:shd w:fill="auto" w:val="clear"/>
            <w:tcMar>
              <w:bottom w:w="0" w:type="dxa"/>
            </w:tcMar>
            <w:vAlign w:val="center"/>
          </w:tcPr>
          <w:p>
            <w:pPr>
              <w:pStyle w:val="TableContents"/>
              <w:spacing w:before="0" w:after="283"/>
              <w:rPr/>
            </w:pPr>
            <w:r>
              <w:rPr/>
            </w:r>
          </w:p>
        </w:tc>
        <w:tc>
          <w:tcPr>
            <w:tcW w:w="2116" w:type="dxa"/>
            <w:tcBorders>
              <w:bottom w:val="single" w:sz="6" w:space="0" w:color="000000"/>
            </w:tcBorders>
            <w:shd w:fill="auto" w:val="clear"/>
            <w:vAlign w:val="center"/>
          </w:tcPr>
          <w:p>
            <w:pPr>
              <w:pStyle w:val="TableContents"/>
              <w:spacing w:before="0" w:after="0"/>
              <w:ind w:left="0" w:right="16" w:hanging="0"/>
              <w:jc w:val="center"/>
              <w:rPr/>
            </w:pPr>
            <w:r>
              <w:rPr/>
              <w:t xml:space="preserve">  </w:t>
            </w:r>
            <w:r>
              <w:rPr>
                <w:rFonts w:ascii="Times New Roman" w:hAnsi="Times New Roman"/>
                <w:b/>
                <w:sz w:val="20"/>
              </w:rPr>
              <w:t>Trading Symbol(s)</w:t>
            </w:r>
          </w:p>
        </w:tc>
        <w:tc>
          <w:tcPr>
            <w:tcW w:w="28" w:type="dxa"/>
            <w:tcBorders/>
            <w:shd w:fill="auto" w:val="clear"/>
            <w:tcMar>
              <w:bottom w:w="0" w:type="dxa"/>
            </w:tcMar>
            <w:vAlign w:val="center"/>
          </w:tcPr>
          <w:p>
            <w:pPr>
              <w:pStyle w:val="TableContents"/>
              <w:spacing w:before="0" w:after="283"/>
              <w:rPr/>
            </w:pPr>
            <w:r>
              <w:rPr/>
            </w:r>
          </w:p>
        </w:tc>
        <w:tc>
          <w:tcPr>
            <w:tcW w:w="4626" w:type="dxa"/>
            <w:tcBorders>
              <w:bottom w:val="single" w:sz="6" w:space="0" w:color="000000"/>
            </w:tcBorders>
            <w:shd w:fill="auto" w:val="clear"/>
            <w:vAlign w:val="center"/>
          </w:tcPr>
          <w:p>
            <w:pPr>
              <w:pStyle w:val="TableContents"/>
              <w:spacing w:before="0" w:after="0"/>
              <w:ind w:left="0" w:right="16" w:hanging="0"/>
              <w:jc w:val="center"/>
              <w:rPr>
                <w:rFonts w:ascii="Times New Roman" w:hAnsi="Times New Roman"/>
                <w:b/>
                <w:sz w:val="20"/>
              </w:rPr>
            </w:pPr>
            <w:r>
              <w:rPr>
                <w:rFonts w:ascii="Times New Roman" w:hAnsi="Times New Roman"/>
                <w:b/>
                <w:sz w:val="20"/>
              </w:rPr>
              <w:t xml:space="preserve">Name on each exchange on which registered </w:t>
            </w:r>
          </w:p>
        </w:tc>
      </w:tr>
      <w:tr>
        <w:trPr/>
        <w:tc>
          <w:tcPr>
            <w:tcW w:w="3407"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Common Stock, $0.001 par value </w:t>
            </w:r>
          </w:p>
        </w:tc>
        <w:tc>
          <w:tcPr>
            <w:tcW w:w="28" w:type="dxa"/>
            <w:tcBorders/>
            <w:shd w:fill="auto" w:val="clear"/>
            <w:tcMar>
              <w:bottom w:w="0" w:type="dxa"/>
            </w:tcMar>
            <w:vAlign w:val="center"/>
          </w:tcPr>
          <w:p>
            <w:pPr>
              <w:pStyle w:val="TableContents"/>
              <w:spacing w:before="0" w:after="283"/>
              <w:rPr/>
            </w:pPr>
            <w:r>
              <w:rPr/>
            </w:r>
          </w:p>
        </w:tc>
        <w:tc>
          <w:tcPr>
            <w:tcW w:w="2116" w:type="dxa"/>
            <w:tcBorders/>
            <w:shd w:fill="auto" w:val="clear"/>
            <w:tcMar>
              <w:bottom w:w="0" w:type="dxa"/>
            </w:tcMar>
            <w:vAlign w:val="center"/>
          </w:tcPr>
          <w:p>
            <w:pPr>
              <w:pStyle w:val="TableContents"/>
              <w:spacing w:before="0" w:after="0"/>
              <w:ind w:left="0" w:right="16" w:hanging="0"/>
              <w:jc w:val="center"/>
              <w:rPr/>
            </w:pPr>
            <w:r>
              <w:rPr/>
              <w:t xml:space="preserve">  </w:t>
            </w:r>
            <w:r>
              <w:rPr>
                <w:rFonts w:ascii="Times New Roman" w:hAnsi="Times New Roman"/>
                <w:sz w:val="20"/>
              </w:rPr>
              <w:t>CLRO</w:t>
            </w:r>
          </w:p>
        </w:tc>
        <w:tc>
          <w:tcPr>
            <w:tcW w:w="28" w:type="dxa"/>
            <w:tcBorders/>
            <w:shd w:fill="auto" w:val="clear"/>
            <w:tcMar>
              <w:bottom w:w="0" w:type="dxa"/>
            </w:tcMar>
            <w:vAlign w:val="center"/>
          </w:tcPr>
          <w:p>
            <w:pPr>
              <w:pStyle w:val="TableContents"/>
              <w:spacing w:before="0" w:after="283"/>
              <w:rPr/>
            </w:pPr>
            <w:r>
              <w:rPr/>
            </w:r>
          </w:p>
        </w:tc>
        <w:tc>
          <w:tcPr>
            <w:tcW w:w="4626"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The NASDAQ Capital Market </w:t>
            </w:r>
          </w:p>
        </w:tc>
      </w:tr>
    </w:tbl>
    <w:p>
      <w:pPr>
        <w:pStyle w:val="TextBody"/>
        <w:spacing w:before="0" w:after="0"/>
        <w:ind w:left="294" w:right="294"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Securities registered pursuant to Section 12(g) of the Act: None</w:t>
      </w:r>
    </w:p>
    <w:p>
      <w:pPr>
        <w:pStyle w:val="TextBody"/>
        <w:spacing w:before="0" w:after="0"/>
        <w:ind w:left="0" w:right="0" w:hanging="0"/>
        <w:jc w:val="center"/>
        <w:rPr>
          <w:rFonts w:ascii="Times New Roman" w:hAnsi="Times New Roman"/>
          <w:sz w:val="20"/>
        </w:rPr>
      </w:pPr>
      <w:r>
        <w:rPr>
          <w:rFonts w:ascii="Times New Roman" w:hAnsi="Times New Roman"/>
          <w:sz w:val="20"/>
        </w:rPr>
        <w:t>________________</w:t>
      </w:r>
    </w:p>
    <w:p>
      <w:pPr>
        <w:pStyle w:val="TextBody"/>
        <w:spacing w:before="0" w:after="0"/>
        <w:ind w:left="0" w:right="0" w:hanging="0"/>
        <w:jc w:val="center"/>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 xml:space="preserve">Indicate by check mark if the registrant is a well-known seasoned issuer, as defined in Rule 405 of the Securities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spacing w:lineRule="auto" w:line="168" w:before="0" w:after="0"/>
        <w:ind w:left="0" w:right="0" w:hanging="0"/>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 xml:space="preserve">Indicate by check mark if the registrant is not required to file reports pursuant to Section 13 or Section 15(d) of the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spacing w:lineRule="auto" w:line="168" w:before="0" w:after="0"/>
        <w:ind w:left="0" w:right="0" w:hanging="0"/>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spacing w:lineRule="auto" w:line="168" w:before="0" w:after="0"/>
        <w:ind w:left="0" w:right="0" w:hanging="0"/>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spacing w:lineRule="auto" w:line="168"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spacing w:before="0" w:after="0"/>
        <w:ind w:left="144" w:right="144" w:hanging="0"/>
        <w:rPr/>
      </w:pPr>
      <w:r>
        <w:rPr/>
        <w:t> </w:t>
      </w:r>
    </w:p>
    <w:tbl>
      <w:tblPr>
        <w:tblW w:w="5000" w:type="pct"/>
        <w:jc w:val="left"/>
        <w:tblInd w:w="0" w:type="dxa"/>
        <w:tblCellMar>
          <w:top w:w="0" w:type="dxa"/>
          <w:left w:w="0" w:type="dxa"/>
          <w:bottom w:w="0" w:type="dxa"/>
          <w:right w:w="0" w:type="dxa"/>
        </w:tblCellMar>
      </w:tblPr>
      <w:tblGrid>
        <w:gridCol w:w="4561"/>
        <w:gridCol w:w="5644"/>
      </w:tblGrid>
      <w:tr>
        <w:trPr/>
        <w:tc>
          <w:tcPr>
            <w:tcW w:w="45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Larger Accelerated Filer ☐ </w:t>
            </w:r>
          </w:p>
        </w:tc>
        <w:tc>
          <w:tcPr>
            <w:tcW w:w="5644" w:type="dxa"/>
            <w:tcBorders/>
            <w:shd w:fill="auto" w:val="clear"/>
            <w:vAlign w:val="center"/>
          </w:tcPr>
          <w:p>
            <w:pPr>
              <w:pStyle w:val="TableContents"/>
              <w:spacing w:before="0" w:after="0"/>
              <w:ind w:left="0" w:right="144" w:hanging="0"/>
              <w:jc w:val="both"/>
              <w:rPr>
                <w:rFonts w:ascii="Times New Roman" w:hAnsi="Times New Roman"/>
                <w:sz w:val="20"/>
              </w:rPr>
            </w:pPr>
            <w:r>
              <w:rPr>
                <w:rFonts w:ascii="Times New Roman" w:hAnsi="Times New Roman"/>
                <w:sz w:val="20"/>
              </w:rPr>
              <w:t xml:space="preserve">Accelerated Filer ☐  </w:t>
            </w:r>
          </w:p>
        </w:tc>
      </w:tr>
      <w:tr>
        <w:trPr/>
        <w:tc>
          <w:tcPr>
            <w:tcW w:w="4561" w:type="dxa"/>
            <w:tcBorders/>
            <w:shd w:fill="auto" w:val="clear"/>
            <w:vAlign w:val="center"/>
          </w:tcPr>
          <w:p>
            <w:pPr>
              <w:pStyle w:val="TableContents"/>
              <w:widowControl/>
              <w:spacing w:before="0" w:after="0"/>
              <w:ind w:left="0" w:right="144" w:hanging="0"/>
              <w:jc w:val="both"/>
              <w:rPr>
                <w:rFonts w:ascii="Times New Roman" w:hAnsi="Times New Roman"/>
                <w:sz w:val="20"/>
              </w:rPr>
            </w:pPr>
            <w:r>
              <w:rPr>
                <w:rFonts w:ascii="Times New Roman" w:hAnsi="Times New Roman"/>
                <w:sz w:val="20"/>
              </w:rPr>
              <w:t xml:space="preserve">Non-Accelerated Filer </w:t>
            </w:r>
            <w:r>
              <w:rPr>
                <w:rFonts w:ascii="Times New Roman" w:hAnsi="Times New Roman"/>
                <w:caps w:val="false"/>
                <w:smallCaps w:val="false"/>
                <w:color w:val="000000"/>
                <w:spacing w:val="0"/>
                <w:sz w:val="20"/>
              </w:rPr>
              <w:t>☒</w:t>
            </w:r>
            <w:r>
              <w:rPr>
                <w:rFonts w:ascii="Times New Roman" w:hAnsi="Times New Roman"/>
                <w:sz w:val="20"/>
              </w:rPr>
              <w:t xml:space="preserve">  </w:t>
            </w:r>
          </w:p>
        </w:tc>
        <w:tc>
          <w:tcPr>
            <w:tcW w:w="5644" w:type="dxa"/>
            <w:tcBorders/>
            <w:shd w:fill="auto" w:val="clear"/>
            <w:vAlign w:val="center"/>
          </w:tcPr>
          <w:p>
            <w:pPr>
              <w:pStyle w:val="TableContents"/>
              <w:spacing w:before="0" w:after="0"/>
              <w:ind w:left="0" w:right="144" w:hanging="0"/>
              <w:jc w:val="both"/>
              <w:rPr>
                <w:rFonts w:ascii="Times New Roman" w:hAnsi="Times New Roman"/>
                <w:sz w:val="20"/>
              </w:rPr>
            </w:pPr>
            <w:r>
              <w:rPr>
                <w:rFonts w:ascii="Times New Roman" w:hAnsi="Times New Roman"/>
                <w:sz w:val="20"/>
              </w:rPr>
              <w:t xml:space="preserve">Smaller Reporting Company ☒  </w:t>
            </w:r>
          </w:p>
        </w:tc>
      </w:tr>
      <w:tr>
        <w:trPr/>
        <w:tc>
          <w:tcPr>
            <w:tcW w:w="4561" w:type="dxa"/>
            <w:tcBorders/>
            <w:shd w:fill="auto" w:val="clear"/>
            <w:vAlign w:val="center"/>
          </w:tcPr>
          <w:p>
            <w:pPr>
              <w:pStyle w:val="TableContents"/>
              <w:spacing w:before="0" w:after="0"/>
              <w:ind w:left="0" w:right="0" w:hanging="0"/>
              <w:rPr/>
            </w:pPr>
            <w:r>
              <w:rPr/>
              <w:t xml:space="preserve">  </w:t>
            </w:r>
          </w:p>
        </w:tc>
        <w:tc>
          <w:tcPr>
            <w:tcW w:w="5644" w:type="dxa"/>
            <w:tcBorders/>
            <w:shd w:fill="auto" w:val="clear"/>
            <w:vAlign w:val="center"/>
          </w:tcPr>
          <w:p>
            <w:pPr>
              <w:pStyle w:val="TableContents"/>
              <w:spacing w:before="0" w:after="0"/>
              <w:ind w:left="0" w:right="144" w:hanging="0"/>
              <w:jc w:val="both"/>
              <w:rPr>
                <w:rFonts w:ascii="Times New Roman" w:hAnsi="Times New Roman"/>
                <w:sz w:val="20"/>
              </w:rPr>
            </w:pPr>
            <w:r>
              <w:rPr>
                <w:rFonts w:ascii="Times New Roman" w:hAnsi="Times New Roman"/>
                <w:sz w:val="20"/>
              </w:rPr>
              <w:t xml:space="preserve">Emerging Growth Company ☐  </w:t>
            </w:r>
          </w:p>
        </w:tc>
      </w:tr>
    </w:tbl>
    <w:p>
      <w:pPr>
        <w:pStyle w:val="TextBody"/>
        <w:spacing w:lineRule="auto" w:line="120" w:before="0" w:after="0"/>
        <w:ind w:left="144" w:right="144" w:hanging="0"/>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sz w:val="20"/>
        </w:rPr>
        <w:t>☐</w:t>
      </w:r>
    </w:p>
    <w:p>
      <w:pPr>
        <w:pStyle w:val="TextBody"/>
        <w:spacing w:lineRule="auto" w:line="168" w:before="0" w:after="0"/>
        <w:ind w:left="0" w:right="0" w:hanging="0"/>
        <w:rPr/>
      </w:pPr>
      <w:r>
        <w:rPr/>
        <w:t> </w:t>
      </w:r>
    </w:p>
    <w:tbl>
      <w:tblPr>
        <w:tblW w:w="169" w:type="dxa"/>
        <w:jc w:val="left"/>
        <w:tblInd w:w="0" w:type="dxa"/>
        <w:tblCellMar>
          <w:top w:w="0" w:type="dxa"/>
          <w:left w:w="0" w:type="dxa"/>
          <w:bottom w:w="0" w:type="dxa"/>
          <w:right w:w="0" w:type="dxa"/>
        </w:tblCellMar>
      </w:tblPr>
      <w:tblGrid>
        <w:gridCol w:w="169"/>
      </w:tblGrid>
      <w:tr>
        <w:trPr/>
        <w:tc>
          <w:tcPr>
            <w:tcW w:w="169" w:type="dxa"/>
            <w:tcBorders/>
            <w:shd w:fill="auto" w:val="clear"/>
            <w:vAlign w:val="center"/>
          </w:tcPr>
          <w:p>
            <w:pPr>
              <w:pStyle w:val="TableContents"/>
              <w:spacing w:before="0" w:after="283"/>
              <w:rPr/>
            </w:pPr>
            <w:r>
              <w:rPr/>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rPr>
          <w:rFonts w:ascii="Times New Roman" w:hAnsi="Times New Roman"/>
          <w:sz w:val="20"/>
        </w:rPr>
      </w:pPr>
      <w:r>
        <w:rPr>
          <w:rFonts w:ascii="Times New Roman" w:hAnsi="Times New Roman"/>
          <w:sz w:val="20"/>
        </w:rPr>
      </w:r>
    </w:p>
    <w:p>
      <w:pPr>
        <w:pStyle w:val="TextBody"/>
        <w:spacing w:before="0" w:after="0"/>
        <w:ind w:left="0" w:right="0" w:hanging="0"/>
        <w:rPr>
          <w:rFonts w:ascii="times new roman;times" w:hAnsi="times new roman;times"/>
          <w:sz w:val="20"/>
        </w:rPr>
      </w:pPr>
      <w:r>
        <w:rPr>
          <w:rFonts w:ascii="Times New Roman" w:hAnsi="Times New Roman"/>
          <w:sz w:val="20"/>
        </w:rPr>
        <w:t xml:space="preserve">Indicate by check mark whether the registrant is a shell Company (as defined in Rule 12b-2 of the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spacing w:lineRule="auto" w:line="120" w:before="0" w:after="0"/>
        <w:ind w:left="0" w:right="0" w:hanging="0"/>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aggregate market value of the shares of voting common stock held by non-affiliates was approximately $11.5 million at June 30, 2020</w:t>
      </w:r>
      <w:r>
        <w:rPr>
          <w:rFonts w:ascii="Times New Roman" w:hAnsi="Times New Roman"/>
          <w:b/>
          <w:sz w:val="20"/>
        </w:rPr>
        <w:t>,</w:t>
      </w:r>
      <w:r>
        <w:rPr>
          <w:rFonts w:ascii="times new roman;times" w:hAnsi="times new roman;times"/>
          <w:sz w:val="20"/>
        </w:rPr>
        <w:t xml:space="preserve"> </w:t>
      </w:r>
      <w:r>
        <w:rPr>
          <w:rFonts w:ascii="Times New Roman" w:hAnsi="Times New Roman"/>
          <w:sz w:val="20"/>
        </w:rPr>
        <w:t>(the Company’s most recently completed second fiscal quarter), based on the $2.00</w:t>
      </w:r>
      <w:r>
        <w:rPr>
          <w:rFonts w:ascii="times new roman;times" w:hAnsi="times new roman;times"/>
          <w:sz w:val="20"/>
        </w:rPr>
        <w:t xml:space="preserve"> </w:t>
      </w:r>
      <w:r>
        <w:rPr>
          <w:rFonts w:ascii="Times New Roman" w:hAnsi="Times New Roman"/>
          <w:sz w:val="20"/>
        </w:rPr>
        <w:t>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pStyle w:val="TextBody"/>
        <w:spacing w:before="0" w:after="0"/>
        <w:ind w:left="0" w:right="0" w:hanging="0"/>
        <w:jc w:val="both"/>
        <w:rPr/>
      </w:pPr>
      <w:r>
        <w:rPr/>
        <w:t> </w:t>
      </w:r>
    </w:p>
    <w:p>
      <w:pPr>
        <w:pStyle w:val="TextBody"/>
        <w:spacing w:before="0" w:after="0"/>
        <w:ind w:left="0" w:right="0" w:hanging="0"/>
        <w:rPr>
          <w:rFonts w:ascii="times new roman;times" w:hAnsi="times new roman;times"/>
          <w:sz w:val="20"/>
        </w:rPr>
      </w:pPr>
      <w:r>
        <w:rPr>
          <w:rFonts w:ascii="Times New Roman" w:hAnsi="Times New Roman"/>
          <w:sz w:val="20"/>
        </w:rPr>
        <w:t xml:space="preserve">The number of shares of ClearOne common stock outstanding as of </w:t>
      </w:r>
      <w:r>
        <w:rPr>
          <w:rFonts w:ascii="times new roman;times" w:hAnsi="times new roman;times"/>
          <w:sz w:val="20"/>
        </w:rPr>
        <w:t xml:space="preserve">March 30, 2021 </w:t>
      </w:r>
      <w:r>
        <w:rPr>
          <w:rFonts w:ascii="Times New Roman" w:hAnsi="Times New Roman"/>
          <w:sz w:val="20"/>
        </w:rPr>
        <w:t xml:space="preserve">was </w:t>
      </w:r>
      <w:r>
        <w:rPr>
          <w:rFonts w:ascii="Times New Roman" w:hAnsi="Times New Roman"/>
          <w:sz w:val="20"/>
        </w:rPr>
        <w:t>18,775,773</w:t>
      </w:r>
      <w:r>
        <w:rPr>
          <w:rFonts w:ascii="Times New Roman" w:hAnsi="Times New Roman"/>
          <w:sz w:val="20"/>
        </w:rPr>
        <w:t>.</w:t>
      </w:r>
      <w:r>
        <w:rPr>
          <w:rFonts w:ascii="times new roman;times" w:hAnsi="times new roman;times"/>
          <w:sz w:val="20"/>
        </w:rPr>
        <w:t> </w:t>
      </w:r>
    </w:p>
    <w:p>
      <w:pPr>
        <w:pStyle w:val="TextBody"/>
        <w:spacing w:before="0" w:after="0"/>
        <w:ind w:left="0" w:right="0" w:hanging="0"/>
        <w:rPr>
          <w:rFonts w:ascii="Times New Roman" w:hAnsi="Times New Roman"/>
          <w:sz w:val="20"/>
        </w:rPr>
      </w:pPr>
      <w:r>
        <w:rPr>
          <w:rFonts w:ascii="Times New Roman" w:hAnsi="Times New Roman"/>
          <w:sz w:val="20"/>
        </w:rPr>
      </w:r>
    </w:p>
    <w:p>
      <w:pPr>
        <w:pStyle w:val="TextBody"/>
        <w:spacing w:before="0" w:after="0"/>
        <w:ind w:left="0" w:right="0" w:hanging="0"/>
        <w:rPr>
          <w:rFonts w:ascii="Times New Roman" w:hAnsi="Times New Roman"/>
          <w:sz w:val="20"/>
        </w:rPr>
      </w:pPr>
      <w:r>
        <w:rPr>
          <w:rFonts w:ascii="Times New Roman" w:hAnsi="Times New Roman"/>
          <w:b/>
          <w:sz w:val="20"/>
        </w:rPr>
        <w:t>Documents Incorporated by Reference:</w:t>
      </w:r>
      <w:r>
        <w:rPr>
          <w:rFonts w:ascii="Times New Roman" w:hAnsi="Times New Roman"/>
          <w:sz w:val="20"/>
        </w:rPr>
        <w:t xml:space="preserve"> None</w:t>
      </w:r>
    </w:p>
    <w:p>
      <w:pPr>
        <w:pStyle w:val="TextBody"/>
        <w:spacing w:before="0" w:after="0"/>
        <w:ind w:left="144" w:right="294" w:hanging="0"/>
        <w:rPr>
          <w:rFonts w:ascii="Times New Roman" w:hAnsi="Times New Roman"/>
          <w:sz w:val="20"/>
        </w:rPr>
      </w:pPr>
      <w:r>
        <w:rPr>
          <w:rFonts w:ascii="Times New Roman" w:hAnsi="Times New Roman"/>
          <w:sz w:val="20"/>
        </w:rPr>
      </w:r>
    </w:p>
    <w:tbl>
      <w:tblPr>
        <w:tblW w:w="169" w:type="dxa"/>
        <w:jc w:val="left"/>
        <w:tblInd w:w="0" w:type="dxa"/>
        <w:tblCellMar>
          <w:top w:w="0" w:type="dxa"/>
          <w:left w:w="0" w:type="dxa"/>
          <w:bottom w:w="0" w:type="dxa"/>
          <w:right w:w="0" w:type="dxa"/>
        </w:tblCellMar>
      </w:tblPr>
      <w:tblGrid>
        <w:gridCol w:w="169"/>
      </w:tblGrid>
      <w:tr>
        <w:trPr/>
        <w:tc>
          <w:tcPr>
            <w:tcW w:w="169"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spacing w:before="0" w:after="0"/>
        <w:ind w:left="0" w:right="0" w:hanging="0"/>
        <w:rPr/>
      </w:pPr>
      <w:r>
        <w:rPr/>
        <w:t> </w:t>
      </w:r>
    </w:p>
    <w:p>
      <w:pPr>
        <w:pStyle w:val="TextBody"/>
        <w:spacing w:before="0" w:after="0"/>
        <w:ind w:left="0" w:right="0" w:hanging="0"/>
        <w:jc w:val="center"/>
        <w:rPr>
          <w:rFonts w:ascii="times new roman;times" w:hAnsi="times new roman;times"/>
          <w:sz w:val="20"/>
        </w:rPr>
      </w:pPr>
      <w:r>
        <w:rPr>
          <w:rFonts w:ascii="Times New Roman" w:hAnsi="Times New Roman"/>
          <w:b/>
          <w:sz w:val="20"/>
        </w:rPr>
        <w:t>Annual Report on Form 10-K For the year ended</w:t>
      </w:r>
      <w:r>
        <w:rPr>
          <w:rFonts w:ascii="times new roman;times" w:hAnsi="times new roman;times"/>
          <w:sz w:val="20"/>
        </w:rPr>
        <w:t xml:space="preserve"> </w:t>
      </w:r>
      <w:r>
        <w:rPr>
          <w:rFonts w:ascii="times new roman;times" w:hAnsi="times new roman;times"/>
          <w:b/>
          <w:sz w:val="20"/>
        </w:rPr>
        <w:t>December 31, 2020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144" w:right="144" w:hanging="0"/>
        <w:rPr/>
      </w:pPr>
      <w:r>
        <w:rPr/>
        <w:t>​</w:t>
      </w:r>
    </w:p>
    <w:tbl>
      <w:tblPr>
        <w:tblW w:w="5000" w:type="pct"/>
        <w:jc w:val="left"/>
        <w:tblInd w:w="0" w:type="dxa"/>
        <w:tblCellMar>
          <w:top w:w="0" w:type="dxa"/>
          <w:left w:w="0" w:type="dxa"/>
          <w:bottom w:w="0" w:type="dxa"/>
          <w:right w:w="0" w:type="dxa"/>
        </w:tblCellMar>
      </w:tblPr>
      <w:tblGrid>
        <w:gridCol w:w="707"/>
        <w:gridCol w:w="9011"/>
        <w:gridCol w:w="487"/>
      </w:tblGrid>
      <w:tr>
        <w:trPr/>
        <w:tc>
          <w:tcPr>
            <w:tcW w:w="707" w:type="dxa"/>
            <w:tcBorders/>
            <w:shd w:fill="auto" w:val="clear"/>
            <w:vAlign w:val="center"/>
          </w:tcPr>
          <w:p>
            <w:pPr>
              <w:pStyle w:val="TableContents"/>
              <w:spacing w:before="0" w:after="283"/>
              <w:jc w:val="center"/>
              <w:rPr/>
            </w:pPr>
            <w:r>
              <w:rPr/>
              <w:t> </w:t>
            </w:r>
          </w:p>
        </w:tc>
        <w:tc>
          <w:tcPr>
            <w:tcW w:w="9011" w:type="dxa"/>
            <w:tcBorders/>
            <w:shd w:fill="auto" w:val="clear"/>
            <w:vAlign w:val="center"/>
          </w:tcPr>
          <w:p>
            <w:pPr>
              <w:pStyle w:val="TableContents"/>
              <w:spacing w:before="0" w:after="283"/>
              <w:jc w:val="left"/>
              <w:rPr/>
            </w:pPr>
            <w:r>
              <w:rPr/>
            </w:r>
          </w:p>
        </w:tc>
        <w:tc>
          <w:tcPr>
            <w:tcW w:w="487" w:type="dxa"/>
            <w:tcBorders>
              <w:bottom w:val="single" w:sz="8" w:space="0" w:color="000000"/>
            </w:tcBorders>
            <w:shd w:fill="auto" w:val="clear"/>
            <w:tcMar>
              <w:bottom w:w="28" w:type="dxa"/>
            </w:tcMar>
            <w:vAlign w:val="center"/>
          </w:tcPr>
          <w:p>
            <w:pPr>
              <w:pStyle w:val="TableContents"/>
              <w:spacing w:before="0" w:after="283"/>
              <w:jc w:val="center"/>
              <w:rPr/>
            </w:pPr>
            <w:r>
              <w:rPr/>
              <w:t>Page</w:t>
            </w:r>
          </w:p>
        </w:tc>
      </w:tr>
      <w:tr>
        <w:trPr/>
        <w:tc>
          <w:tcPr>
            <w:tcW w:w="707" w:type="dxa"/>
            <w:tcBorders/>
            <w:shd w:fill="auto" w:val="clear"/>
            <w:vAlign w:val="center"/>
          </w:tcPr>
          <w:p>
            <w:pPr>
              <w:pStyle w:val="TableContents"/>
              <w:spacing w:before="0" w:after="283"/>
              <w:rPr/>
            </w:pPr>
            <w:r>
              <w:rPr/>
            </w:r>
          </w:p>
        </w:tc>
        <w:tc>
          <w:tcPr>
            <w:tcW w:w="9011" w:type="dxa"/>
            <w:tcBorders/>
            <w:shd w:fill="auto" w:val="clear"/>
            <w:vAlign w:val="center"/>
          </w:tcPr>
          <w:p>
            <w:pPr>
              <w:pStyle w:val="TableContents"/>
              <w:spacing w:before="0" w:after="283"/>
              <w:jc w:val="center"/>
              <w:rPr/>
            </w:pPr>
            <w:hyperlink w:anchor="BA_CFOVR5EM8000000000000000000000">
              <w:r>
                <w:rPr>
                  <w:rStyle w:val="InternetLink"/>
                  <w:rFonts w:ascii="times new roman;times" w:hAnsi="times new roman;times"/>
                  <w:sz w:val="20"/>
                </w:rPr>
                <w:t>PART I</w:t>
              </w:r>
            </w:hyperlink>
          </w:p>
        </w:tc>
        <w:tc>
          <w:tcPr>
            <w:tcW w:w="487" w:type="dxa"/>
            <w:tcBorders/>
            <w:shd w:fill="auto" w:val="clear"/>
            <w:vAlign w:val="center"/>
          </w:tcPr>
          <w:p>
            <w:pPr>
              <w:pStyle w:val="TableContents"/>
              <w:spacing w:before="0" w:after="283"/>
              <w:jc w:val="center"/>
              <w:rPr/>
            </w:pPr>
            <w:r>
              <w:rPr/>
              <w:t>1</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p>
        </w:tc>
        <w:tc>
          <w:tcPr>
            <w:tcW w:w="9011" w:type="dxa"/>
            <w:tcBorders/>
            <w:shd w:fill="auto" w:val="clear"/>
            <w:vAlign w:val="center"/>
          </w:tcPr>
          <w:p>
            <w:pPr>
              <w:pStyle w:val="TableContents"/>
              <w:spacing w:before="0" w:after="283"/>
              <w:rPr/>
            </w:pPr>
            <w:hyperlink w:anchor="BB_SWO1LCYT7400000000000000000000">
              <w:r>
                <w:rPr>
                  <w:rStyle w:val="InternetLink"/>
                  <w:rFonts w:ascii="times new roman;times" w:hAnsi="times new roman;times"/>
                  <w:sz w:val="20"/>
                </w:rPr>
                <w:t>Business</w:t>
              </w:r>
            </w:hyperlink>
          </w:p>
        </w:tc>
        <w:tc>
          <w:tcPr>
            <w:tcW w:w="487" w:type="dxa"/>
            <w:tcBorders/>
            <w:shd w:fill="auto" w:val="clear"/>
            <w:vAlign w:val="center"/>
          </w:tcPr>
          <w:p>
            <w:pPr>
              <w:pStyle w:val="TableContents"/>
              <w:spacing w:before="0" w:after="283"/>
              <w:jc w:val="center"/>
              <w:rPr/>
            </w:pPr>
            <w:r>
              <w:rPr/>
              <w:t>1</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p>
        </w:tc>
        <w:tc>
          <w:tcPr>
            <w:tcW w:w="9011" w:type="dxa"/>
            <w:tcBorders/>
            <w:shd w:fill="auto" w:val="clear"/>
            <w:vAlign w:val="center"/>
          </w:tcPr>
          <w:p>
            <w:pPr>
              <w:pStyle w:val="TableContents"/>
              <w:spacing w:before="0" w:after="283"/>
              <w:rPr/>
            </w:pPr>
            <w:hyperlink w:anchor="BRF_KNJT6EYARK00000000000000000000">
              <w:r>
                <w:rPr>
                  <w:rStyle w:val="InternetLink"/>
                  <w:rFonts w:ascii="times new roman;times" w:hAnsi="times new roman;times"/>
                  <w:sz w:val="20"/>
                </w:rPr>
                <w:t>Risk Factors</w:t>
              </w:r>
            </w:hyperlink>
          </w:p>
        </w:tc>
        <w:tc>
          <w:tcPr>
            <w:tcW w:w="487" w:type="dxa"/>
            <w:tcBorders/>
            <w:shd w:fill="auto" w:val="clear"/>
            <w:vAlign w:val="center"/>
          </w:tcPr>
          <w:p>
            <w:pPr>
              <w:pStyle w:val="TableContents"/>
              <w:spacing w:before="0" w:after="283"/>
              <w:jc w:val="center"/>
              <w:rPr/>
            </w:pPr>
            <w:r>
              <w:rPr/>
              <w:t>15</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1B.</w:t>
            </w:r>
          </w:p>
        </w:tc>
        <w:tc>
          <w:tcPr>
            <w:tcW w:w="9011" w:type="dxa"/>
            <w:tcBorders/>
            <w:shd w:fill="auto" w:val="clear"/>
            <w:vAlign w:val="center"/>
          </w:tcPr>
          <w:p>
            <w:pPr>
              <w:pStyle w:val="TableContents"/>
              <w:spacing w:before="0" w:after="283"/>
              <w:rPr/>
            </w:pPr>
            <w:hyperlink w:anchor="BAAA_B36RTR4S7400000000000000000000">
              <w:r>
                <w:rPr>
                  <w:rStyle w:val="InternetLink"/>
                  <w:rFonts w:ascii="times new roman;times" w:hAnsi="times new roman;times"/>
                  <w:sz w:val="20"/>
                </w:rPr>
                <w:t>Unresolved Staff Comments</w:t>
              </w:r>
            </w:hyperlink>
          </w:p>
        </w:tc>
        <w:tc>
          <w:tcPr>
            <w:tcW w:w="487" w:type="dxa"/>
            <w:tcBorders/>
            <w:shd w:fill="auto" w:val="clear"/>
            <w:vAlign w:val="center"/>
          </w:tcPr>
          <w:p>
            <w:pPr>
              <w:pStyle w:val="TableContents"/>
              <w:spacing w:before="0" w:after="283"/>
              <w:jc w:val="center"/>
              <w:rPr/>
            </w:pPr>
            <w:r>
              <w:rPr/>
              <w:t>24</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p>
        </w:tc>
        <w:tc>
          <w:tcPr>
            <w:tcW w:w="9011" w:type="dxa"/>
            <w:tcBorders/>
            <w:shd w:fill="auto" w:val="clear"/>
            <w:vAlign w:val="center"/>
          </w:tcPr>
          <w:p>
            <w:pPr>
              <w:pStyle w:val="TableContents"/>
              <w:spacing w:before="0" w:after="283"/>
              <w:rPr/>
            </w:pPr>
            <w:hyperlink w:anchor="BE_HMXOBBKDZ400000000000000000000">
              <w:r>
                <w:rPr>
                  <w:rStyle w:val="InternetLink"/>
                  <w:rFonts w:ascii="times new roman;times" w:hAnsi="times new roman;times"/>
                  <w:sz w:val="20"/>
                </w:rPr>
                <w:t>Properties</w:t>
              </w:r>
            </w:hyperlink>
          </w:p>
        </w:tc>
        <w:tc>
          <w:tcPr>
            <w:tcW w:w="487" w:type="dxa"/>
            <w:tcBorders/>
            <w:shd w:fill="auto" w:val="clear"/>
            <w:vAlign w:val="center"/>
          </w:tcPr>
          <w:p>
            <w:pPr>
              <w:pStyle w:val="TableContents"/>
              <w:spacing w:before="0" w:after="283"/>
              <w:jc w:val="center"/>
              <w:rPr/>
            </w:pPr>
            <w:r>
              <w:rPr/>
              <w:t>24</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p>
        </w:tc>
        <w:tc>
          <w:tcPr>
            <w:tcW w:w="9011" w:type="dxa"/>
            <w:tcBorders/>
            <w:shd w:fill="auto" w:val="clear"/>
            <w:vAlign w:val="center"/>
          </w:tcPr>
          <w:p>
            <w:pPr>
              <w:pStyle w:val="TableContents"/>
              <w:spacing w:before="0" w:after="283"/>
              <w:rPr/>
            </w:pPr>
            <w:hyperlink w:anchor="BF_6R0M0IZUU800000000000000000000">
              <w:r>
                <w:rPr>
                  <w:rStyle w:val="InternetLink"/>
                  <w:rFonts w:ascii="times new roman;times" w:hAnsi="times new roman;times"/>
                  <w:sz w:val="20"/>
                </w:rPr>
                <w:t>Legal Proceedings</w:t>
              </w:r>
            </w:hyperlink>
          </w:p>
        </w:tc>
        <w:tc>
          <w:tcPr>
            <w:tcW w:w="487" w:type="dxa"/>
            <w:tcBorders/>
            <w:shd w:fill="auto" w:val="clear"/>
            <w:vAlign w:val="center"/>
          </w:tcPr>
          <w:p>
            <w:pPr>
              <w:pStyle w:val="TableContents"/>
              <w:spacing w:before="0" w:after="283"/>
              <w:jc w:val="center"/>
              <w:rPr/>
            </w:pPr>
            <w:r>
              <w:rPr/>
              <w:t>24</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p>
        </w:tc>
        <w:tc>
          <w:tcPr>
            <w:tcW w:w="9011" w:type="dxa"/>
            <w:tcBorders/>
            <w:shd w:fill="auto" w:val="clear"/>
            <w:vAlign w:val="center"/>
          </w:tcPr>
          <w:p>
            <w:pPr>
              <w:pStyle w:val="TableContents"/>
              <w:spacing w:before="0" w:after="283"/>
              <w:rPr/>
            </w:pPr>
            <w:hyperlink w:anchor="BG_ODMGIDN1RK00000000000000000000">
              <w:r>
                <w:rPr>
                  <w:rStyle w:val="InternetLink"/>
                  <w:rFonts w:ascii="times new roman;times" w:hAnsi="times new roman;times"/>
                  <w:sz w:val="20"/>
                </w:rPr>
                <w:t>Mine Safety Disclosures</w:t>
              </w:r>
            </w:hyperlink>
          </w:p>
        </w:tc>
        <w:tc>
          <w:tcPr>
            <w:tcW w:w="487" w:type="dxa"/>
            <w:tcBorders/>
            <w:shd w:fill="auto" w:val="clear"/>
            <w:vAlign w:val="center"/>
          </w:tcPr>
          <w:p>
            <w:pPr>
              <w:pStyle w:val="TableContents"/>
              <w:spacing w:before="0" w:after="283"/>
              <w:jc w:val="center"/>
              <w:rPr/>
            </w:pPr>
            <w:r>
              <w:rPr/>
              <w:t>24</w:t>
            </w:r>
          </w:p>
        </w:tc>
      </w:tr>
      <w:tr>
        <w:trPr/>
        <w:tc>
          <w:tcPr>
            <w:tcW w:w="707" w:type="dxa"/>
            <w:tcBorders/>
            <w:shd w:fill="auto" w:val="clear"/>
            <w:vAlign w:val="center"/>
          </w:tcPr>
          <w:p>
            <w:pPr>
              <w:pStyle w:val="TableContents"/>
              <w:spacing w:before="0" w:after="283"/>
              <w:rPr/>
            </w:pPr>
            <w:r>
              <w:rPr/>
            </w:r>
          </w:p>
        </w:tc>
        <w:tc>
          <w:tcPr>
            <w:tcW w:w="9011" w:type="dxa"/>
            <w:tcBorders/>
            <w:shd w:fill="auto" w:val="clear"/>
            <w:vAlign w:val="center"/>
          </w:tcPr>
          <w:p>
            <w:pPr>
              <w:pStyle w:val="TableContents"/>
              <w:spacing w:before="0" w:after="283"/>
              <w:jc w:val="center"/>
              <w:rPr/>
            </w:pPr>
            <w:hyperlink w:anchor="BH_Q9L7TKCHZ400000000000000000000">
              <w:r>
                <w:rPr>
                  <w:rStyle w:val="InternetLink"/>
                  <w:rFonts w:ascii="times new roman;times" w:hAnsi="times new roman;times"/>
                  <w:sz w:val="20"/>
                </w:rPr>
                <w:t>PART II</w:t>
              </w:r>
            </w:hyperlink>
          </w:p>
        </w:tc>
        <w:tc>
          <w:tcPr>
            <w:tcW w:w="487" w:type="dxa"/>
            <w:tcBorders/>
            <w:shd w:fill="auto" w:val="clear"/>
            <w:vAlign w:val="center"/>
          </w:tcPr>
          <w:p>
            <w:pPr>
              <w:pStyle w:val="TableContents"/>
              <w:spacing w:before="0" w:after="283"/>
              <w:jc w:val="center"/>
              <w:rPr/>
            </w:pPr>
            <w:r>
              <w:rPr/>
              <w:t>25</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p>
        </w:tc>
        <w:tc>
          <w:tcPr>
            <w:tcW w:w="9011" w:type="dxa"/>
            <w:tcBorders/>
            <w:shd w:fill="auto" w:val="clear"/>
            <w:vAlign w:val="center"/>
          </w:tcPr>
          <w:p>
            <w:pPr>
              <w:pStyle w:val="TableContents"/>
              <w:spacing w:before="0" w:after="283"/>
              <w:rPr/>
            </w:pPr>
            <w:hyperlink w:anchor="BI_LPR1G1JEZ400000000000000000000">
              <w:r>
                <w:rPr>
                  <w:rStyle w:val="InternetLink"/>
                  <w:rFonts w:ascii="times new roman;times" w:hAnsi="times new roman;times"/>
                  <w:sz w:val="20"/>
                </w:rPr>
                <w:t>Market for Registrant’s Common Equity, Related Stockholder Matters and Issuer Purchases of Equity Securities</w:t>
              </w:r>
            </w:hyperlink>
          </w:p>
        </w:tc>
        <w:tc>
          <w:tcPr>
            <w:tcW w:w="487" w:type="dxa"/>
            <w:tcBorders/>
            <w:shd w:fill="auto" w:val="clear"/>
            <w:vAlign w:val="center"/>
          </w:tcPr>
          <w:p>
            <w:pPr>
              <w:pStyle w:val="TableContents"/>
              <w:spacing w:before="0" w:after="283"/>
              <w:jc w:val="center"/>
              <w:rPr/>
            </w:pPr>
            <w:r>
              <w:rPr/>
              <w:t>25</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p>
        </w:tc>
        <w:tc>
          <w:tcPr>
            <w:tcW w:w="9011" w:type="dxa"/>
            <w:tcBorders/>
            <w:shd w:fill="auto" w:val="clear"/>
            <w:vAlign w:val="center"/>
          </w:tcPr>
          <w:p>
            <w:pPr>
              <w:pStyle w:val="TableContents"/>
              <w:spacing w:before="0" w:after="283"/>
              <w:rPr/>
            </w:pPr>
            <w:hyperlink w:anchor="BJ_E6DCU6PUGG00000000000000000000">
              <w:r>
                <w:rPr>
                  <w:rStyle w:val="InternetLink"/>
                  <w:rFonts w:ascii="times new roman;times" w:hAnsi="times new roman;times"/>
                  <w:sz w:val="20"/>
                </w:rPr>
                <w:t>Selected Financial Data</w:t>
              </w:r>
            </w:hyperlink>
          </w:p>
        </w:tc>
        <w:tc>
          <w:tcPr>
            <w:tcW w:w="487" w:type="dxa"/>
            <w:tcBorders/>
            <w:shd w:fill="auto" w:val="clear"/>
            <w:vAlign w:val="center"/>
          </w:tcPr>
          <w:p>
            <w:pPr>
              <w:pStyle w:val="TableContents"/>
              <w:spacing w:before="0" w:after="283"/>
              <w:jc w:val="center"/>
              <w:rPr/>
            </w:pPr>
            <w:r>
              <w:rPr/>
              <w:t>25</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w:t>
            </w:r>
          </w:p>
        </w:tc>
        <w:tc>
          <w:tcPr>
            <w:tcW w:w="9011" w:type="dxa"/>
            <w:tcBorders/>
            <w:shd w:fill="auto" w:val="clear"/>
            <w:vAlign w:val="center"/>
          </w:tcPr>
          <w:p>
            <w:pPr>
              <w:pStyle w:val="TableContents"/>
              <w:spacing w:before="0" w:after="283"/>
              <w:rPr/>
            </w:pPr>
            <w:hyperlink w:anchor="BK_SAPU2DDP7K00000000000000000000">
              <w:r>
                <w:rPr>
                  <w:rStyle w:val="InternetLink"/>
                  <w:rFonts w:ascii="times new roman;times" w:hAnsi="times new roman;times"/>
                  <w:sz w:val="20"/>
                </w:rPr>
                <w:t>Management’s Discussion and Analysis of Financial Condition and Results of Operations</w:t>
              </w:r>
            </w:hyperlink>
          </w:p>
        </w:tc>
        <w:tc>
          <w:tcPr>
            <w:tcW w:w="487" w:type="dxa"/>
            <w:tcBorders/>
            <w:shd w:fill="auto" w:val="clear"/>
            <w:vAlign w:val="center"/>
          </w:tcPr>
          <w:p>
            <w:pPr>
              <w:pStyle w:val="TableContents"/>
              <w:spacing w:before="0" w:after="283"/>
              <w:jc w:val="center"/>
              <w:rPr/>
            </w:pPr>
            <w:r>
              <w:rPr/>
              <w:t>26</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7A.</w:t>
            </w:r>
          </w:p>
        </w:tc>
        <w:tc>
          <w:tcPr>
            <w:tcW w:w="9011" w:type="dxa"/>
            <w:tcBorders/>
            <w:shd w:fill="auto" w:val="clear"/>
            <w:vAlign w:val="center"/>
          </w:tcPr>
          <w:p>
            <w:pPr>
              <w:pStyle w:val="TableContents"/>
              <w:spacing w:before="0" w:after="283"/>
              <w:rPr/>
            </w:pPr>
            <w:hyperlink w:anchor="BL_KEF9VQT3PC00000000000000000000">
              <w:r>
                <w:rPr>
                  <w:rStyle w:val="InternetLink"/>
                  <w:rFonts w:ascii="times new roman;times" w:hAnsi="times new roman;times"/>
                  <w:sz w:val="20"/>
                </w:rPr>
                <w:t>Quantitative and Qualitative Disclosures about Market Risk</w:t>
              </w:r>
            </w:hyperlink>
          </w:p>
        </w:tc>
        <w:tc>
          <w:tcPr>
            <w:tcW w:w="487" w:type="dxa"/>
            <w:tcBorders/>
            <w:shd w:fill="auto" w:val="clear"/>
            <w:vAlign w:val="center"/>
          </w:tcPr>
          <w:p>
            <w:pPr>
              <w:pStyle w:val="TableContents"/>
              <w:spacing w:before="0" w:after="283"/>
              <w:jc w:val="center"/>
              <w:rPr/>
            </w:pPr>
            <w:r>
              <w:rPr/>
              <w:t>35</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8.</w:t>
            </w:r>
          </w:p>
        </w:tc>
        <w:tc>
          <w:tcPr>
            <w:tcW w:w="9011" w:type="dxa"/>
            <w:tcBorders/>
            <w:shd w:fill="auto" w:val="clear"/>
            <w:vAlign w:val="center"/>
          </w:tcPr>
          <w:p>
            <w:pPr>
              <w:pStyle w:val="TableContents"/>
              <w:spacing w:before="0" w:after="283"/>
              <w:rPr/>
            </w:pPr>
            <w:hyperlink w:anchor="BIt8_1BI6QLLEZ400000000000000000000">
              <w:r>
                <w:rPr>
                  <w:rStyle w:val="InternetLink"/>
                  <w:rFonts w:ascii="times new roman;times" w:hAnsi="times new roman;times"/>
                  <w:sz w:val="20"/>
                </w:rPr>
                <w:t>Financial Statements and Supplementary Data</w:t>
              </w:r>
            </w:hyperlink>
          </w:p>
        </w:tc>
        <w:tc>
          <w:tcPr>
            <w:tcW w:w="487" w:type="dxa"/>
            <w:tcBorders/>
            <w:shd w:fill="auto" w:val="clear"/>
            <w:vAlign w:val="center"/>
          </w:tcPr>
          <w:p>
            <w:pPr>
              <w:pStyle w:val="TableContents"/>
              <w:spacing w:before="0" w:after="283"/>
              <w:jc w:val="center"/>
              <w:rPr/>
            </w:pPr>
            <w:r>
              <w:rPr/>
              <w:t>35</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w:t>
            </w:r>
          </w:p>
        </w:tc>
        <w:tc>
          <w:tcPr>
            <w:tcW w:w="9011" w:type="dxa"/>
            <w:tcBorders/>
            <w:shd w:fill="auto" w:val="clear"/>
            <w:vAlign w:val="center"/>
          </w:tcPr>
          <w:p>
            <w:pPr>
              <w:pStyle w:val="TableContents"/>
              <w:spacing w:before="0" w:after="283"/>
              <w:rPr/>
            </w:pPr>
            <w:hyperlink w:anchor="BN_656CSYXQWG00000000000000000000">
              <w:r>
                <w:rPr>
                  <w:rStyle w:val="InternetLink"/>
                  <w:rFonts w:ascii="times new roman;times" w:hAnsi="times new roman;times"/>
                  <w:sz w:val="20"/>
                </w:rPr>
                <w:t>Changes in and Disagreements with Accountants on Accounting and Financial Disclosure</w:t>
              </w:r>
            </w:hyperlink>
          </w:p>
        </w:tc>
        <w:tc>
          <w:tcPr>
            <w:tcW w:w="487" w:type="dxa"/>
            <w:tcBorders/>
            <w:shd w:fill="auto" w:val="clear"/>
            <w:vAlign w:val="center"/>
          </w:tcPr>
          <w:p>
            <w:pPr>
              <w:pStyle w:val="TableContents"/>
              <w:spacing w:before="0" w:after="283"/>
              <w:jc w:val="center"/>
              <w:rPr/>
            </w:pPr>
            <w:r>
              <w:rPr/>
              <w:t>36</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9A.</w:t>
            </w:r>
          </w:p>
        </w:tc>
        <w:tc>
          <w:tcPr>
            <w:tcW w:w="9011" w:type="dxa"/>
            <w:tcBorders/>
            <w:shd w:fill="auto" w:val="clear"/>
            <w:vAlign w:val="center"/>
          </w:tcPr>
          <w:p>
            <w:pPr>
              <w:pStyle w:val="TableContents"/>
              <w:spacing w:before="0" w:after="283"/>
              <w:rPr/>
            </w:pPr>
            <w:hyperlink w:anchor="BO_XFEHFTGHAO00000000000000000000">
              <w:r>
                <w:rPr>
                  <w:rStyle w:val="InternetLink"/>
                  <w:rFonts w:ascii="times new roman;times" w:hAnsi="times new roman;times"/>
                  <w:sz w:val="20"/>
                </w:rPr>
                <w:t>Controls and Procedures</w:t>
              </w:r>
            </w:hyperlink>
          </w:p>
        </w:tc>
        <w:tc>
          <w:tcPr>
            <w:tcW w:w="487" w:type="dxa"/>
            <w:tcBorders/>
            <w:shd w:fill="auto" w:val="clear"/>
            <w:vAlign w:val="center"/>
          </w:tcPr>
          <w:p>
            <w:pPr>
              <w:pStyle w:val="TableContents"/>
              <w:spacing w:before="0" w:after="283"/>
              <w:jc w:val="center"/>
              <w:rPr/>
            </w:pPr>
            <w:r>
              <w:rPr/>
              <w:t>36</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9B.</w:t>
            </w:r>
          </w:p>
        </w:tc>
        <w:tc>
          <w:tcPr>
            <w:tcW w:w="9011" w:type="dxa"/>
            <w:tcBorders/>
            <w:shd w:fill="auto" w:val="clear"/>
            <w:vAlign w:val="center"/>
          </w:tcPr>
          <w:p>
            <w:pPr>
              <w:pStyle w:val="TableContents"/>
              <w:spacing w:before="0" w:after="283"/>
              <w:rPr/>
            </w:pPr>
            <w:hyperlink w:anchor="BP_VPZ8QCDNYO00000000000000000000">
              <w:r>
                <w:rPr>
                  <w:rStyle w:val="InternetLink"/>
                  <w:rFonts w:ascii="times new roman;times" w:hAnsi="times new roman;times"/>
                  <w:sz w:val="20"/>
                </w:rPr>
                <w:t>Other Information</w:t>
              </w:r>
            </w:hyperlink>
          </w:p>
        </w:tc>
        <w:tc>
          <w:tcPr>
            <w:tcW w:w="487" w:type="dxa"/>
            <w:tcBorders/>
            <w:shd w:fill="auto" w:val="clear"/>
            <w:vAlign w:val="center"/>
          </w:tcPr>
          <w:p>
            <w:pPr>
              <w:pStyle w:val="TableContents"/>
              <w:spacing w:before="0" w:after="283"/>
              <w:jc w:val="center"/>
              <w:rPr/>
            </w:pPr>
            <w:r>
              <w:rPr/>
              <w:t>36</w:t>
            </w:r>
          </w:p>
        </w:tc>
      </w:tr>
      <w:tr>
        <w:trPr/>
        <w:tc>
          <w:tcPr>
            <w:tcW w:w="707" w:type="dxa"/>
            <w:tcBorders/>
            <w:shd w:fill="auto" w:val="clear"/>
            <w:vAlign w:val="center"/>
          </w:tcPr>
          <w:p>
            <w:pPr>
              <w:pStyle w:val="TableContents"/>
              <w:spacing w:before="0" w:after="283"/>
              <w:rPr/>
            </w:pPr>
            <w:r>
              <w:rPr/>
            </w:r>
          </w:p>
        </w:tc>
        <w:tc>
          <w:tcPr>
            <w:tcW w:w="9011" w:type="dxa"/>
            <w:tcBorders/>
            <w:shd w:fill="auto" w:val="clear"/>
            <w:vAlign w:val="center"/>
          </w:tcPr>
          <w:p>
            <w:pPr>
              <w:pStyle w:val="TableContents"/>
              <w:spacing w:before="0" w:after="283"/>
              <w:jc w:val="center"/>
              <w:rPr/>
            </w:pPr>
            <w:hyperlink w:anchor="BQ_IUEDPQACSW00000000000000000000">
              <w:r>
                <w:rPr>
                  <w:rStyle w:val="InternetLink"/>
                  <w:rFonts w:ascii="times new roman;times" w:hAnsi="times new roman;times"/>
                  <w:sz w:val="20"/>
                </w:rPr>
                <w:t>PART III</w:t>
              </w:r>
            </w:hyperlink>
          </w:p>
        </w:tc>
        <w:tc>
          <w:tcPr>
            <w:tcW w:w="487" w:type="dxa"/>
            <w:tcBorders/>
            <w:shd w:fill="auto" w:val="clear"/>
            <w:vAlign w:val="center"/>
          </w:tcPr>
          <w:p>
            <w:pPr>
              <w:pStyle w:val="TableContents"/>
              <w:spacing w:before="0" w:after="283"/>
              <w:jc w:val="center"/>
              <w:rPr/>
            </w:pPr>
            <w:r>
              <w:rPr/>
              <w:t>37</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10.</w:t>
            </w:r>
          </w:p>
        </w:tc>
        <w:tc>
          <w:tcPr>
            <w:tcW w:w="9011" w:type="dxa"/>
            <w:tcBorders/>
            <w:shd w:fill="auto" w:val="clear"/>
            <w:vAlign w:val="center"/>
          </w:tcPr>
          <w:p>
            <w:pPr>
              <w:pStyle w:val="TableContents"/>
              <w:spacing w:before="0" w:after="283"/>
              <w:rPr/>
            </w:pPr>
            <w:hyperlink w:anchor="BR_3C14CBQWS000000000000000000000">
              <w:r>
                <w:rPr>
                  <w:rStyle w:val="InternetLink"/>
                  <w:rFonts w:ascii="times new roman;times" w:hAnsi="times new roman;times"/>
                  <w:sz w:val="20"/>
                </w:rPr>
                <w:t>Directors, Executive Officers and Corporate Governance</w:t>
              </w:r>
            </w:hyperlink>
          </w:p>
        </w:tc>
        <w:tc>
          <w:tcPr>
            <w:tcW w:w="487" w:type="dxa"/>
            <w:tcBorders/>
            <w:shd w:fill="auto" w:val="clear"/>
            <w:vAlign w:val="center"/>
          </w:tcPr>
          <w:p>
            <w:pPr>
              <w:pStyle w:val="TableContents"/>
              <w:spacing w:before="0" w:after="283"/>
              <w:jc w:val="center"/>
              <w:rPr/>
            </w:pPr>
            <w:r>
              <w:rPr/>
              <w:t>37</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11.</w:t>
            </w:r>
          </w:p>
        </w:tc>
        <w:tc>
          <w:tcPr>
            <w:tcW w:w="9011" w:type="dxa"/>
            <w:tcBorders/>
            <w:shd w:fill="auto" w:val="clear"/>
            <w:vAlign w:val="center"/>
          </w:tcPr>
          <w:p>
            <w:pPr>
              <w:pStyle w:val="TableContents"/>
              <w:spacing w:before="0" w:after="283"/>
              <w:rPr/>
            </w:pPr>
            <w:hyperlink w:anchor="BS_9H0211KAKW00000000000000000000">
              <w:r>
                <w:rPr>
                  <w:rStyle w:val="InternetLink"/>
                  <w:rFonts w:ascii="times new roman;times" w:hAnsi="times new roman;times"/>
                  <w:sz w:val="20"/>
                </w:rPr>
                <w:t>Executive Compensation</w:t>
              </w:r>
            </w:hyperlink>
          </w:p>
        </w:tc>
        <w:tc>
          <w:tcPr>
            <w:tcW w:w="487" w:type="dxa"/>
            <w:tcBorders/>
            <w:shd w:fill="auto" w:val="clear"/>
            <w:vAlign w:val="center"/>
          </w:tcPr>
          <w:p>
            <w:pPr>
              <w:pStyle w:val="TableContents"/>
              <w:spacing w:before="0" w:after="283"/>
              <w:jc w:val="center"/>
              <w:rPr/>
            </w:pPr>
            <w:r>
              <w:rPr/>
              <w:t>39</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12.</w:t>
            </w:r>
          </w:p>
        </w:tc>
        <w:tc>
          <w:tcPr>
            <w:tcW w:w="9011" w:type="dxa"/>
            <w:tcBorders/>
            <w:shd w:fill="auto" w:val="clear"/>
            <w:vAlign w:val="center"/>
          </w:tcPr>
          <w:p>
            <w:pPr>
              <w:pStyle w:val="TableContents"/>
              <w:spacing w:before="0" w:after="283"/>
              <w:rPr/>
            </w:pPr>
            <w:hyperlink w:anchor="BT_7T31KB3JZ400000000000000000000">
              <w:r>
                <w:rPr>
                  <w:rStyle w:val="InternetLink"/>
                  <w:rFonts w:ascii="times new roman;times" w:hAnsi="times new roman;times"/>
                  <w:sz w:val="20"/>
                </w:rPr>
                <w:t>Security Ownership of Certain Beneficial Owners and Management and Related Stockholder Matters</w:t>
              </w:r>
            </w:hyperlink>
          </w:p>
        </w:tc>
        <w:tc>
          <w:tcPr>
            <w:tcW w:w="487" w:type="dxa"/>
            <w:tcBorders/>
            <w:shd w:fill="auto" w:val="clear"/>
            <w:vAlign w:val="center"/>
          </w:tcPr>
          <w:p>
            <w:pPr>
              <w:pStyle w:val="TableContents"/>
              <w:spacing w:before="0" w:after="283"/>
              <w:jc w:val="center"/>
              <w:rPr/>
            </w:pPr>
            <w:r>
              <w:rPr/>
              <w:t>40</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13.</w:t>
            </w:r>
          </w:p>
        </w:tc>
        <w:tc>
          <w:tcPr>
            <w:tcW w:w="9011" w:type="dxa"/>
            <w:tcBorders/>
            <w:shd w:fill="auto" w:val="clear"/>
            <w:vAlign w:val="center"/>
          </w:tcPr>
          <w:p>
            <w:pPr>
              <w:pStyle w:val="TableContents"/>
              <w:spacing w:before="0" w:after="283"/>
              <w:rPr/>
            </w:pPr>
            <w:hyperlink w:anchor="BU_NXPJ5NC69S00000000000000000000">
              <w:r>
                <w:rPr>
                  <w:rStyle w:val="InternetLink"/>
                  <w:rFonts w:ascii="times new roman;times" w:hAnsi="times new roman;times"/>
                  <w:sz w:val="20"/>
                </w:rPr>
                <w:t>Certain Relationships and Related Transactions, and Director Independence</w:t>
              </w:r>
            </w:hyperlink>
          </w:p>
        </w:tc>
        <w:tc>
          <w:tcPr>
            <w:tcW w:w="487" w:type="dxa"/>
            <w:tcBorders/>
            <w:shd w:fill="auto" w:val="clear"/>
            <w:vAlign w:val="center"/>
          </w:tcPr>
          <w:p>
            <w:pPr>
              <w:pStyle w:val="TableContents"/>
              <w:spacing w:before="0" w:after="283"/>
              <w:jc w:val="center"/>
              <w:rPr/>
            </w:pPr>
            <w:r>
              <w:rPr/>
              <w:t>42</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14.</w:t>
            </w:r>
          </w:p>
        </w:tc>
        <w:tc>
          <w:tcPr>
            <w:tcW w:w="9011" w:type="dxa"/>
            <w:tcBorders/>
            <w:shd w:fill="auto" w:val="clear"/>
            <w:vAlign w:val="center"/>
          </w:tcPr>
          <w:p>
            <w:pPr>
              <w:pStyle w:val="TableContents"/>
              <w:spacing w:before="0" w:after="283"/>
              <w:rPr/>
            </w:pPr>
            <w:hyperlink w:anchor="BV_5JJDQA3YDC00000000000000000000">
              <w:r>
                <w:rPr>
                  <w:rStyle w:val="InternetLink"/>
                  <w:rFonts w:ascii="times new roman;times" w:hAnsi="times new roman;times"/>
                  <w:sz w:val="20"/>
                </w:rPr>
                <w:t>Principal Accounting Fees and Services</w:t>
              </w:r>
            </w:hyperlink>
          </w:p>
        </w:tc>
        <w:tc>
          <w:tcPr>
            <w:tcW w:w="487" w:type="dxa"/>
            <w:tcBorders/>
            <w:shd w:fill="auto" w:val="clear"/>
            <w:vAlign w:val="center"/>
          </w:tcPr>
          <w:p>
            <w:pPr>
              <w:pStyle w:val="TableContents"/>
              <w:spacing w:before="0" w:after="283"/>
              <w:jc w:val="center"/>
              <w:rPr/>
            </w:pPr>
            <w:r>
              <w:rPr/>
              <w:t>43</w:t>
            </w:r>
          </w:p>
        </w:tc>
      </w:tr>
      <w:tr>
        <w:trPr/>
        <w:tc>
          <w:tcPr>
            <w:tcW w:w="707" w:type="dxa"/>
            <w:tcBorders/>
            <w:shd w:fill="auto" w:val="clear"/>
            <w:vAlign w:val="center"/>
          </w:tcPr>
          <w:p>
            <w:pPr>
              <w:pStyle w:val="TableContents"/>
              <w:spacing w:before="0" w:after="283"/>
              <w:rPr/>
            </w:pPr>
            <w:r>
              <w:rPr/>
            </w:r>
          </w:p>
        </w:tc>
        <w:tc>
          <w:tcPr>
            <w:tcW w:w="9011" w:type="dxa"/>
            <w:tcBorders/>
            <w:shd w:fill="auto" w:val="clear"/>
            <w:vAlign w:val="center"/>
          </w:tcPr>
          <w:p>
            <w:pPr>
              <w:pStyle w:val="TableContents"/>
              <w:spacing w:before="0" w:after="283"/>
              <w:jc w:val="center"/>
              <w:rPr/>
            </w:pPr>
            <w:hyperlink w:anchor="BW_NL3ULECWZK00000000000000000000">
              <w:r>
                <w:rPr>
                  <w:rStyle w:val="InternetLink"/>
                  <w:rFonts w:ascii="times new roman;times" w:hAnsi="times new roman;times"/>
                  <w:sz w:val="20"/>
                </w:rPr>
                <w:t>PART IV</w:t>
              </w:r>
            </w:hyperlink>
          </w:p>
        </w:tc>
        <w:tc>
          <w:tcPr>
            <w:tcW w:w="487" w:type="dxa"/>
            <w:tcBorders/>
            <w:shd w:fill="auto" w:val="clear"/>
            <w:vAlign w:val="center"/>
          </w:tcPr>
          <w:p>
            <w:pPr>
              <w:pStyle w:val="TableContents"/>
              <w:spacing w:before="0" w:after="283"/>
              <w:jc w:val="center"/>
              <w:rPr/>
            </w:pPr>
            <w:r>
              <w:rPr/>
              <w:t>44</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15.</w:t>
            </w:r>
          </w:p>
        </w:tc>
        <w:tc>
          <w:tcPr>
            <w:tcW w:w="9011" w:type="dxa"/>
            <w:tcBorders/>
            <w:shd w:fill="auto" w:val="clear"/>
            <w:vAlign w:val="center"/>
          </w:tcPr>
          <w:p>
            <w:pPr>
              <w:pStyle w:val="TableContents"/>
              <w:spacing w:before="0" w:after="283"/>
              <w:rPr/>
            </w:pPr>
            <w:hyperlink w:anchor="BX_02V3936Q3K00000000000000000000">
              <w:r>
                <w:rPr>
                  <w:rStyle w:val="InternetLink"/>
                  <w:rFonts w:ascii="times new roman;times" w:hAnsi="times new roman;times"/>
                  <w:sz w:val="20"/>
                </w:rPr>
                <w:t>Exhibits, Financial Statement Schedules</w:t>
              </w:r>
            </w:hyperlink>
          </w:p>
        </w:tc>
        <w:tc>
          <w:tcPr>
            <w:tcW w:w="487" w:type="dxa"/>
            <w:tcBorders/>
            <w:shd w:fill="auto" w:val="clear"/>
            <w:vAlign w:val="center"/>
          </w:tcPr>
          <w:p>
            <w:pPr>
              <w:pStyle w:val="TableContents"/>
              <w:spacing w:before="0" w:after="283"/>
              <w:jc w:val="center"/>
              <w:rPr/>
            </w:pPr>
            <w:r>
              <w:rPr/>
              <w:t>44</w:t>
            </w:r>
          </w:p>
        </w:tc>
      </w:tr>
      <w:tr>
        <w:trPr/>
        <w:tc>
          <w:tcPr>
            <w:tcW w:w="707"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16.</w:t>
            </w:r>
          </w:p>
        </w:tc>
        <w:tc>
          <w:tcPr>
            <w:tcW w:w="9011" w:type="dxa"/>
            <w:tcBorders/>
            <w:shd w:fill="auto" w:val="clear"/>
            <w:vAlign w:val="center"/>
          </w:tcPr>
          <w:p>
            <w:pPr>
              <w:pStyle w:val="TableContents"/>
              <w:spacing w:before="0" w:after="283"/>
              <w:rPr/>
            </w:pPr>
            <w:hyperlink w:anchor="BY_4Q3RWEAEAO00000000000000000000">
              <w:r>
                <w:rPr>
                  <w:rStyle w:val="InternetLink"/>
                  <w:rFonts w:ascii="times new roman;times" w:hAnsi="times new roman;times"/>
                  <w:sz w:val="20"/>
                </w:rPr>
                <w:t>Form 10-K Summary</w:t>
              </w:r>
            </w:hyperlink>
          </w:p>
        </w:tc>
        <w:tc>
          <w:tcPr>
            <w:tcW w:w="487" w:type="dxa"/>
            <w:tcBorders/>
            <w:shd w:fill="auto" w:val="clear"/>
            <w:vAlign w:val="center"/>
          </w:tcPr>
          <w:p>
            <w:pPr>
              <w:pStyle w:val="TableContents"/>
              <w:spacing w:before="0" w:after="283"/>
              <w:jc w:val="center"/>
              <w:rPr/>
            </w:pPr>
            <w:r>
              <w:rPr/>
              <w:t>44</w:t>
            </w:r>
          </w:p>
        </w:tc>
      </w:tr>
    </w:tbl>
    <w:p>
      <w:pPr>
        <w:pStyle w:val="TextBody"/>
        <w:spacing w:before="0" w:after="0"/>
        <w:ind w:left="144" w:right="144" w:hanging="0"/>
        <w:rPr/>
      </w:pPr>
      <w:r>
        <w:rPr/>
        <w:t>​</w:t>
      </w:r>
    </w:p>
    <w:tbl>
      <w:tblPr>
        <w:tblW w:w="169" w:type="dxa"/>
        <w:jc w:val="left"/>
        <w:tblInd w:w="0" w:type="dxa"/>
        <w:tblCellMar>
          <w:top w:w="0" w:type="dxa"/>
          <w:left w:w="0" w:type="dxa"/>
          <w:bottom w:w="0" w:type="dxa"/>
          <w:right w:w="0" w:type="dxa"/>
        </w:tblCellMar>
      </w:tblPr>
      <w:tblGrid>
        <w:gridCol w:w="169"/>
      </w:tblGrid>
      <w:tr>
        <w:trPr/>
        <w:tc>
          <w:tcPr>
            <w:tcW w:w="169" w:type="dxa"/>
            <w:tcBorders/>
            <w:shd w:fill="auto" w:val="clear"/>
            <w:vAlign w:val="center"/>
          </w:tcPr>
          <w:p>
            <w:pPr>
              <w:pStyle w:val="TableContents"/>
              <w:spacing w:before="0" w:after="283"/>
              <w:rPr/>
            </w:pPr>
            <w:r>
              <w:rPr/>
            </w:r>
          </w:p>
        </w:tc>
      </w:tr>
    </w:tbl>
    <w:p>
      <w:pPr>
        <w:pStyle w:val="HorizontalLine"/>
        <w:spacing w:before="0" w:after="0"/>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spacing w:before="0" w:after="0"/>
        <w:ind w:left="144" w:right="144"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SPECIAL NOTE REGARDING FORWARD-LOOKING STATEMENTS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  </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169" w:type="dxa"/>
        <w:jc w:val="left"/>
        <w:tblInd w:w="0" w:type="dxa"/>
        <w:tblCellMar>
          <w:top w:w="0" w:type="dxa"/>
          <w:left w:w="0" w:type="dxa"/>
          <w:bottom w:w="0" w:type="dxa"/>
          <w:right w:w="0" w:type="dxa"/>
        </w:tblCellMar>
      </w:tblPr>
      <w:tblGrid>
        <w:gridCol w:w="169"/>
      </w:tblGrid>
      <w:tr>
        <w:trPr/>
        <w:tc>
          <w:tcPr>
            <w:tcW w:w="169" w:type="dxa"/>
            <w:tcBorders/>
            <w:shd w:fill="auto" w:val="clear"/>
            <w:vAlign w:val="center"/>
          </w:tcPr>
          <w:p>
            <w:pPr>
              <w:pStyle w:val="TableContents"/>
              <w:spacing w:before="0" w:after="283"/>
              <w:rPr/>
            </w:pPr>
            <w:r>
              <w:rPr/>
            </w:r>
          </w:p>
        </w:tc>
      </w:tr>
    </w:tbl>
    <w:p>
      <w:pPr>
        <w:pStyle w:val="HorizontalLine"/>
        <w:spacing w:before="0" w:after="0"/>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pPr>
      <w:hyperlink r:id="rId2">
        <w:r>
          <w:rPr>
            <w:rStyle w:val="VisitedInternetLink"/>
            <w:rFonts w:ascii="Times New Roman" w:hAnsi="Times New Roman"/>
            <w:b/>
            <w:strike w:val="false"/>
            <w:dstrike w:val="false"/>
            <w:color w:val="000000"/>
            <w:sz w:val="20"/>
            <w:u w:val="none"/>
            <w:effect w:val="none"/>
          </w:rPr>
          <w:t>PART I</w:t>
        </w:r>
      </w:hyperlink>
    </w:p>
    <w:p>
      <w:pPr>
        <w:pStyle w:val="TextBody"/>
        <w:spacing w:lineRule="auto" w:line="264" w:before="20" w:after="20"/>
        <w:ind w:left="0" w:right="0" w:hanging="0"/>
        <w:jc w:val="center"/>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References in this Annual Report on Form 10-K to “ClearOne,” “we,” “us,” “CLRO” or “the Company” refer to ClearOne, Inc., a Delaware</w:t>
      </w:r>
      <w:r>
        <w:rPr>
          <w:rFonts w:ascii="times new roman;times" w:hAnsi="times new roman;times"/>
          <w:sz w:val="20"/>
        </w:rPr>
        <w:t> </w:t>
      </w:r>
      <w:r>
        <w:rPr>
          <w:rFonts w:ascii="Times New Roman" w:hAnsi="Times New Roman"/>
          <w:sz w:val="20"/>
        </w:rPr>
        <w:t>corporation, and, unless the context otherwise requires or is otherwise expressly stated, its subsidiaries.</w:t>
      </w:r>
    </w:p>
    <w:p>
      <w:pPr>
        <w:pStyle w:val="TextBody"/>
        <w:spacing w:lineRule="auto" w:line="264" w:before="0" w:after="0"/>
        <w:ind w:left="0" w:right="0" w:hanging="0"/>
        <w:jc w:val="both"/>
        <w:rPr>
          <w:rFonts w:ascii="Times New Roman" w:hAnsi="Times New Roman"/>
          <w:b/>
          <w:sz w:val="20"/>
        </w:rPr>
      </w:pPr>
      <w:r>
        <w:rPr>
          <w:rFonts w:ascii="Times New Roman" w:hAnsi="Times New Roman"/>
          <w:b/>
          <w:sz w:val="20"/>
        </w:rPr>
      </w:r>
    </w:p>
    <w:p>
      <w:pPr>
        <w:pStyle w:val="TextBody"/>
        <w:spacing w:lineRule="auto" w:line="264" w:before="0" w:after="0"/>
        <w:ind w:left="0" w:right="0" w:hanging="0"/>
        <w:jc w:val="both"/>
        <w:rPr/>
      </w:pPr>
      <w:hyperlink r:id="rId3">
        <w:r>
          <w:rPr>
            <w:rStyle w:val="VisitedInternetLink"/>
            <w:rFonts w:ascii="Times New Roman" w:hAnsi="Times New Roman"/>
            <w:b/>
            <w:strike w:val="false"/>
            <w:dstrike w:val="false"/>
            <w:color w:val="000000"/>
            <w:sz w:val="20"/>
            <w:u w:val="none"/>
            <w:effect w:val="none"/>
          </w:rPr>
          <w:t>ITEM 1. BUSINESS</w:t>
        </w:r>
      </w:hyperlink>
      <w:r>
        <w:rPr>
          <w:rFonts w:ascii="times new roman;times" w:hAnsi="times new roman;times"/>
          <w:sz w:val="20"/>
        </w:rPr>
        <w:t> </w:t>
      </w:r>
    </w:p>
    <w:p>
      <w:pPr>
        <w:pStyle w:val="TextBody"/>
        <w:spacing w:lineRule="auto" w:line="264" w:before="0" w:after="0"/>
        <w:ind w:left="0" w:right="0" w:hanging="0"/>
        <w:jc w:val="left"/>
        <w:rPr>
          <w:rFonts w:ascii="Times New Roman" w:hAnsi="Times New Roman"/>
          <w:b/>
          <w:sz w:val="20"/>
        </w:rPr>
      </w:pPr>
      <w:r>
        <w:rPr>
          <w:rFonts w:ascii="Times New Roman" w:hAnsi="Times New Roman"/>
          <w:b/>
          <w:sz w:val="20"/>
        </w:rPr>
      </w:r>
    </w:p>
    <w:p>
      <w:pPr>
        <w:pStyle w:val="TextBody"/>
        <w:spacing w:lineRule="auto" w:line="264" w:before="0" w:after="0"/>
        <w:ind w:left="0" w:right="0" w:hanging="0"/>
        <w:jc w:val="left"/>
        <w:rPr>
          <w:rFonts w:ascii="Times New Roman" w:hAnsi="Times New Roman"/>
          <w:b/>
          <w:sz w:val="20"/>
        </w:rPr>
      </w:pPr>
      <w:r>
        <w:rPr>
          <w:rFonts w:ascii="Times New Roman" w:hAnsi="Times New Roman"/>
          <w:b/>
          <w:sz w:val="20"/>
        </w:rPr>
        <w:t>GENERAL</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ClearOne, Inc. (the Company) was incorporated in Utah in 1983 and reincorporated in Delaware on October 25, 2018. The Company is headquartered in Salt Lake City, Utah. The Company has other locations in Gainesville, Florida; Austin, Texas; Zaragoza, Spain; Chennai, India; and Dubai, United Arab Emirates.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Our comprehensive line of high-quality conferencing and collaboration products are targeted for</w:t>
      </w:r>
      <w:r>
        <w:rPr>
          <w:rFonts w:ascii="times new roman;times" w:hAnsi="times new roman;times"/>
          <w:sz w:val="20"/>
        </w:rPr>
        <w:t> </w:t>
      </w:r>
      <w:r>
        <w:rPr>
          <w:rFonts w:ascii="Times New Roman" w:hAnsi="Times New Roman"/>
          <w:sz w:val="20"/>
        </w:rPr>
        <w:t>large, medium and small businesses, as well as for personal use. We</w:t>
      </w:r>
      <w:r>
        <w:rPr>
          <w:rFonts w:ascii="times new roman;times" w:hAnsi="times new roman;times"/>
          <w:sz w:val="20"/>
        </w:rPr>
        <w:t> </w:t>
      </w:r>
      <w:r>
        <w:rPr>
          <w:rFonts w:ascii="Times New Roman" w:hAnsi="Times New Roman"/>
          <w:sz w:val="20"/>
        </w:rPr>
        <w:t>have been</w:t>
      </w:r>
      <w:r>
        <w:rPr>
          <w:rFonts w:ascii="times new roman;times" w:hAnsi="times new roman;times"/>
          <w:sz w:val="20"/>
        </w:rPr>
        <w:t> </w:t>
      </w:r>
      <w:r>
        <w:rPr>
          <w:rFonts w:ascii="Times New Roman" w:hAnsi="Times New Roman"/>
          <w:sz w:val="20"/>
        </w:rPr>
        <w:t>a global market leader in the installed professional audio conferencing</w:t>
      </w:r>
      <w:r>
        <w:rPr>
          <w:rFonts w:ascii="times new roman;times" w:hAnsi="times new roman;times"/>
          <w:sz w:val="20"/>
        </w:rPr>
        <w:t xml:space="preserve"> </w:t>
      </w:r>
      <w:r>
        <w:rPr>
          <w:rFonts w:ascii="Times New Roman" w:hAnsi="Times New Roman"/>
          <w:sz w:val="20"/>
        </w:rPr>
        <w:t>market, where our products are used in numerous industries such as enterprise, healthcare, education, government, legal and finance.  </w:t>
      </w:r>
    </w:p>
    <w:p>
      <w:pPr>
        <w:pStyle w:val="TextBody"/>
        <w:spacing w:lineRule="auto" w:line="264" w:before="20" w:after="2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w:t>
      </w:r>
      <w:r>
        <w:rPr>
          <w:rFonts w:ascii="times new roman;times" w:hAnsi="times new roman;times"/>
          <w:sz w:val="20"/>
        </w:rPr>
        <w:t> </w:t>
      </w:r>
      <w:r>
        <w:rPr>
          <w:rFonts w:ascii="Times New Roman" w:hAnsi="Times New Roman"/>
          <w:sz w:val="20"/>
        </w:rPr>
        <w:t>project design and support costs</w:t>
      </w:r>
      <w:r>
        <w:rPr>
          <w:rFonts w:ascii="times new roman;times" w:hAnsi="times new roman;times"/>
          <w:sz w:val="20"/>
        </w:rPr>
        <w:t> </w:t>
      </w:r>
      <w:r>
        <w:rPr>
          <w:rFonts w:ascii="Times New Roman" w:hAnsi="Times New Roman"/>
          <w:sz w:val="20"/>
        </w:rPr>
        <w:t>with our products designed and built to work with each other seamlessly. </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On December 17, 2019, the Company completed the issuance and sale of $3,000,000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w:t>
      </w:r>
      <w:r>
        <w:rPr>
          <w:rFonts w:ascii="times new roman;times" w:hAnsi="times new roman;times"/>
          <w:sz w:val="20"/>
        </w:rPr>
        <w:t>The Notes are convertible to shares of the Company’s common stock at an initial conversion price of $2.11 per share, and the Warrants have an initial exercise price of $1.76 per share. </w:t>
      </w:r>
    </w:p>
    <w:p>
      <w:pPr>
        <w:pStyle w:val="TextBody"/>
        <w:spacing w:lineRule="auto" w:line="264" w:before="20" w:after="20"/>
        <w:ind w:left="0" w:right="0" w:hanging="0"/>
        <w:jc w:val="both"/>
        <w:rPr>
          <w:sz w:val="20"/>
        </w:rPr>
      </w:pPr>
      <w:r>
        <w:rPr>
          <w:sz w:val="20"/>
        </w:rPr>
      </w:r>
    </w:p>
    <w:p>
      <w:pPr>
        <w:pStyle w:val="TextBody"/>
        <w:spacing w:lineRule="auto" w:line="264" w:before="20" w:after="20"/>
        <w:ind w:left="0" w:right="0" w:hanging="0"/>
        <w:jc w:val="both"/>
        <w:rPr>
          <w:rFonts w:ascii="times new roman;times" w:hAnsi="times new roman;times"/>
          <w:sz w:val="20"/>
        </w:rPr>
      </w:pPr>
      <w:r>
        <w:rPr>
          <w:rFonts w:ascii="Times New Roman;serif" w:hAnsi="Times New Roman;serif"/>
          <w:color w:val="000000"/>
          <w:sz w:val="20"/>
        </w:rPr>
        <w:t>On September 13, 2020, the Company, entered into a Securities Purchase Agreement (the “Purchase Agreement”) with certain purchasers named therein (the “Purchasers”), pursuant to which the Company issued and sold in a registered direct offering 2,116,050 shares (the “Shares”) of the Company’s common stock, par value $0.001 per share (the “Common Stock”) at an offering price of $2.4925 per share, (the “Registered Offering”). The Company received gross proceeds of approximately $5,275,000 ($4,764,000 net of issuance costs) in connection with the Registered Offering, before deducting placement agent fees and related offering expenses. In a concurrent private placement, the Company issued to the Purchasers who participated in the Registered Offering warrants exercisable for an aggregate of 1,058,025 shares of common stock at an exercise price of $2.43 per share. Each warrant became immediately exercisable and had an expiry term of five years from the issuance date.</w:t>
      </w:r>
      <w:r>
        <w:rPr>
          <w:rFonts w:ascii="times new roman;times" w:hAnsi="times new roman;times"/>
          <w:sz w:val="20"/>
        </w:rPr>
        <w:t xml:space="preserve"> </w:t>
      </w:r>
    </w:p>
    <w:p>
      <w:pPr>
        <w:pStyle w:val="TextBody"/>
        <w:widowControl/>
        <w:spacing w:before="0" w:after="0"/>
        <w:ind w:left="0" w:right="0" w:hanging="0"/>
        <w:jc w:val="center"/>
        <w:rPr>
          <w:rFonts w:ascii="Times New Roman" w:hAnsi="Times New Roman"/>
          <w:b/>
          <w:sz w:val="20"/>
        </w:rPr>
      </w:pPr>
      <w:r>
        <w:rPr>
          <w:rFonts w:ascii="Times New Roman" w:hAnsi="Times New Roman"/>
          <w:b/>
          <w:sz w:val="20"/>
        </w:rPr>
      </w:r>
    </w:p>
    <w:p>
      <w:pPr>
        <w:pStyle w:val="TextBody"/>
        <w:widowControl/>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Company Information</w:t>
      </w:r>
    </w:p>
    <w:p>
      <w:pPr>
        <w:pStyle w:val="TextBody"/>
        <w:spacing w:lineRule="auto" w:line="264" w:before="0" w:after="0"/>
        <w:ind w:left="0" w:right="0" w:hanging="0"/>
        <w:jc w:val="both"/>
        <w:rPr>
          <w:rFonts w:ascii="Times New Roman;serif" w:hAnsi="Times New Roman;serif"/>
          <w:color w:val="000000"/>
          <w:sz w:val="20"/>
        </w:rPr>
      </w:pPr>
      <w:r>
        <w:rPr>
          <w:rFonts w:ascii="Times New Roman;serif" w:hAnsi="Times New Roman;serif"/>
          <w:color w:val="000000"/>
          <w:sz w:val="20"/>
        </w:rPr>
      </w:r>
    </w:p>
    <w:p>
      <w:pPr>
        <w:pStyle w:val="TextBody"/>
        <w:spacing w:lineRule="auto" w:line="264" w:before="20" w:after="20"/>
        <w:ind w:left="0" w:right="0" w:hanging="0"/>
        <w:jc w:val="both"/>
        <w:rPr>
          <w:rFonts w:ascii="Times New Roman;serif" w:hAnsi="Times New Roman;serif"/>
          <w:color w:val="000000"/>
          <w:sz w:val="20"/>
        </w:rPr>
      </w:pPr>
      <w:r>
        <w:rPr>
          <w:rFonts w:ascii="Times New Roman;serif" w:hAnsi="Times New Roman;serif"/>
          <w:color w:val="000000"/>
          <w:sz w:val="20"/>
        </w:rPr>
        <w:t>Our website address is http://www.clearone.com.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 These reports are also available on the SEC’s website, which is located at http://www.sec.gov.</w:t>
      </w:r>
    </w:p>
    <w:p>
      <w:pPr>
        <w:pStyle w:val="TextBody"/>
        <w:spacing w:lineRule="auto" w:line="264" w:before="20" w:after="20"/>
        <w:ind w:left="0" w:right="0" w:hanging="0"/>
        <w:jc w:val="both"/>
        <w:rPr>
          <w:rFonts w:ascii="Times New Roman;serif" w:hAnsi="Times New Roman;serif"/>
          <w:color w:val="000000"/>
          <w:sz w:val="20"/>
        </w:rPr>
      </w:pPr>
      <w:r>
        <w:rPr>
          <w:rFonts w:ascii="Times New Roman;serif" w:hAnsi="Times New Roman;serif"/>
          <w:color w:val="000000"/>
          <w:sz w:val="20"/>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1</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widowControl/>
        <w:spacing w:before="20" w:after="20"/>
        <w:ind w:left="0" w:right="0" w:hanging="0"/>
        <w:jc w:val="center"/>
        <w:rPr>
          <w:rFonts w:ascii="Times New Roman;serif" w:hAnsi="Times New Roman;serif"/>
          <w:b w:val="false"/>
          <w:i w:val="false"/>
          <w:caps w:val="false"/>
          <w:smallCaps w:val="false"/>
          <w:strike w:val="false"/>
          <w:dstrike w:val="false"/>
          <w:color w:val="000000"/>
          <w:spacing w:val="0"/>
          <w:sz w:val="20"/>
          <w:u w:val="none"/>
          <w:effect w:val="none"/>
        </w:rPr>
      </w:pPr>
      <w:r>
        <w:rPr>
          <w:rFonts w:ascii="Times New Roman;serif" w:hAnsi="Times New Roman;serif"/>
          <w:b w:val="false"/>
          <w:i w:val="false"/>
          <w:caps w:val="false"/>
          <w:smallCaps w:val="false"/>
          <w:strike w:val="false"/>
          <w:dstrike w:val="false"/>
          <w:color w:val="000000"/>
          <w:spacing w:val="0"/>
          <w:sz w:val="20"/>
          <w:u w:val="none"/>
          <w:effect w:val="none"/>
        </w:rPr>
        <w:t>ITEM 1-BUSINESS </w:t>
      </w:r>
    </w:p>
    <w:p>
      <w:pPr>
        <w:pStyle w:val="TextBody"/>
        <w:widowControl/>
        <w:spacing w:before="20" w:after="20"/>
        <w:ind w:left="0" w:right="0" w:hanging="0"/>
        <w:jc w:val="center"/>
        <w:rPr>
          <w:rFonts w:ascii="Times New Roman;serif" w:hAnsi="Times New Roman;serif"/>
          <w:b w:val="false"/>
          <w:i w:val="false"/>
          <w:caps w:val="false"/>
          <w:smallCaps w:val="false"/>
          <w:strike w:val="false"/>
          <w:dstrike w:val="false"/>
          <w:color w:val="000000"/>
          <w:spacing w:val="0"/>
          <w:sz w:val="20"/>
          <w:u w:val="none"/>
          <w:effect w:val="none"/>
        </w:rPr>
      </w:pPr>
      <w:r>
        <w:rPr>
          <w:rFonts w:ascii="Times New Roman;serif" w:hAnsi="Times New Roman;serif"/>
          <w:b w:val="false"/>
          <w:i w:val="false"/>
          <w:caps w:val="false"/>
          <w:smallCaps w:val="false"/>
          <w:strike w:val="false"/>
          <w:dstrike w:val="false"/>
          <w:color w:val="000000"/>
          <w:spacing w:val="0"/>
          <w:sz w:val="20"/>
          <w:u w:val="none"/>
          <w:effect w:val="none"/>
        </w:rPr>
      </w:r>
    </w:p>
    <w:p>
      <w:pPr>
        <w:pStyle w:val="TextBody"/>
        <w:widowControl/>
        <w:spacing w:before="20" w:after="20"/>
        <w:ind w:left="0" w:right="0" w:hanging="0"/>
        <w:jc w:val="center"/>
        <w:rPr>
          <w:rFonts w:ascii="Times New Roman;serif" w:hAnsi="Times New Roman;serif"/>
          <w:b w:val="false"/>
          <w:i w:val="false"/>
          <w:caps w:val="false"/>
          <w:smallCaps w:val="false"/>
          <w:strike w:val="false"/>
          <w:dstrike w:val="false"/>
          <w:color w:val="000000"/>
          <w:spacing w:val="0"/>
          <w:sz w:val="20"/>
          <w:u w:val="none"/>
          <w:effect w:val="none"/>
        </w:rPr>
      </w:pPr>
      <w:r>
        <w:rPr>
          <w:rFonts w:ascii="Times New Roman;serif" w:hAnsi="Times New Roman;serif"/>
          <w:b w:val="false"/>
          <w:i w:val="false"/>
          <w:caps w:val="false"/>
          <w:smallCaps w:val="false"/>
          <w:strike w:val="false"/>
          <w:dstrike w:val="false"/>
          <w:color w:val="000000"/>
          <w:spacing w:val="0"/>
          <w:sz w:val="20"/>
          <w:u w:val="none"/>
          <w:effect w:val="none"/>
        </w:rPr>
        <w:t>For a discussion of certain risks applicable to our business, results of operations, financial position, and liquidity, see the risk factors described in “Item 1A, Risk Factors” below.</w:t>
      </w:r>
    </w:p>
    <w:p>
      <w:pPr>
        <w:pStyle w:val="TextBody"/>
        <w:spacing w:lineRule="auto" w:line="264" w:before="0" w:after="0"/>
        <w:ind w:left="0" w:right="0" w:hanging="0"/>
        <w:jc w:val="left"/>
        <w:rPr>
          <w:rFonts w:ascii="Times New Roman" w:hAnsi="Times New Roman"/>
          <w:b/>
          <w:sz w:val="20"/>
        </w:rPr>
      </w:pPr>
      <w:r>
        <w:rPr>
          <w:rFonts w:ascii="Times New Roman" w:hAnsi="Times New Roman"/>
          <w:b/>
          <w:sz w:val="20"/>
        </w:rPr>
      </w:r>
    </w:p>
    <w:p>
      <w:pPr>
        <w:pStyle w:val="TextBody"/>
        <w:spacing w:lineRule="auto" w:line="264" w:before="0" w:after="0"/>
        <w:ind w:left="0" w:right="0" w:hanging="0"/>
        <w:jc w:val="left"/>
        <w:rPr>
          <w:rFonts w:ascii="Times New Roman" w:hAnsi="Times New Roman"/>
          <w:b/>
          <w:sz w:val="20"/>
        </w:rPr>
      </w:pPr>
      <w:r>
        <w:rPr>
          <w:rFonts w:ascii="Times New Roman" w:hAnsi="Times New Roman"/>
          <w:b/>
          <w:sz w:val="20"/>
        </w:rPr>
        <w:t>Our Business Strategy</w:t>
      </w:r>
    </w:p>
    <w:p>
      <w:pPr>
        <w:pStyle w:val="TextBody"/>
        <w:spacing w:lineRule="auto" w:line="264" w:before="0" w:after="0"/>
        <w:ind w:left="0" w:right="0" w:hanging="0"/>
        <w:jc w:val="left"/>
        <w:rPr/>
      </w:pPr>
      <w:r>
        <w:rPr/>
        <w:t> </w:t>
      </w:r>
    </w:p>
    <w:p>
      <w:pPr>
        <w:pStyle w:val="TextBody"/>
        <w:spacing w:lineRule="auto" w:line="264" w:before="0" w:after="0"/>
        <w:ind w:left="0" w:right="0" w:hanging="0"/>
        <w:jc w:val="left"/>
        <w:rPr>
          <w:rFonts w:ascii="Times New Roman" w:hAnsi="Times New Roman"/>
          <w:sz w:val="20"/>
        </w:rPr>
      </w:pPr>
      <w:r>
        <w:rPr>
          <w:rFonts w:ascii="Times New Roman" w:hAnsi="Times New Roman"/>
          <w:sz w:val="20"/>
        </w:rPr>
        <w:t>The Company’s primary challenge is the loss in revenue due to infringement of our patents by competitors and consequent reduction in cash flows due to operating losses and litigation costs. Our current strategy consists of the following three elements to overcome this adverse situation:</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tbl>
      <w:tblPr>
        <w:tblW w:w="5000" w:type="pct"/>
        <w:jc w:val="center"/>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2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Continue our product innovation to bring to market products that are needed by our partners and end-users </w:t>
            </w:r>
          </w:p>
        </w:tc>
      </w:tr>
      <w:tr>
        <w:trPr/>
        <w:tc>
          <w:tcPr>
            <w:tcW w:w="278"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27" w:type="dxa"/>
            <w:tcBorders/>
            <w:shd w:fill="auto" w:val="clear"/>
            <w:vAlign w:val="center"/>
          </w:tcPr>
          <w:p>
            <w:pPr>
              <w:pStyle w:val="TableContents"/>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Cut costs to operate efficiently</w:t>
            </w:r>
          </w:p>
        </w:tc>
      </w:tr>
      <w:tr>
        <w:trPr/>
        <w:tc>
          <w:tcPr>
            <w:tcW w:w="278"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27" w:type="dxa"/>
            <w:tcBorders/>
            <w:shd w:fill="auto" w:val="clear"/>
            <w:vAlign w:val="center"/>
          </w:tcPr>
          <w:p>
            <w:pPr>
              <w:pStyle w:val="TableContents"/>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Defend our intellectual property through litigation</w:t>
            </w:r>
          </w:p>
        </w:tc>
      </w:tr>
    </w:tbl>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We currently participate in the following markets:</w:t>
      </w:r>
    </w:p>
    <w:p>
      <w:pPr>
        <w:pStyle w:val="TextBody"/>
        <w:spacing w:lineRule="auto" w:line="264" w:before="20" w:after="20"/>
        <w:ind w:left="0" w:right="0" w:hanging="0"/>
        <w:jc w:val="both"/>
        <w:rPr/>
      </w:pPr>
      <w:r>
        <w:rPr/>
        <w:t> </w:t>
      </w:r>
    </w:p>
    <w:tbl>
      <w:tblPr>
        <w:tblW w:w="5000" w:type="pct"/>
        <w:jc w:val="center"/>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All aspects of audio conferencing including installed professional audio conferencing through DSP mixers, USB based speakerphones and table-top conferencing;  </w:t>
            </w:r>
          </w:p>
        </w:tc>
      </w:tr>
      <w:tr>
        <w:trPr/>
        <w:tc>
          <w:tcPr>
            <w:tcW w:w="213"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Professional microphones to support audio and video collaboration through patented beamforming microphones, ceiling microphones and wireless microphones; </w:t>
            </w:r>
          </w:p>
        </w:tc>
      </w:tr>
      <w:tr>
        <w:trPr/>
        <w:tc>
          <w:tcPr>
            <w:tcW w:w="213"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Visual collaboration in all forms including low-cost room appliances, professional cameras, Bring-Your-Own-Device and cloud video services encompassing conferencing, interactive whiteboarding, webinar, and wireless sharing; and </w:t>
            </w:r>
          </w:p>
        </w:tc>
      </w:tr>
      <w:tr>
        <w:trPr/>
        <w:tc>
          <w:tcPr>
            <w:tcW w:w="213"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Audio Visual Networking which includes network media streaming, video walls, sound reinforcement and audio distribution. </w:t>
            </w:r>
          </w:p>
        </w:tc>
      </w:tr>
    </w:tbl>
    <w:p>
      <w:pPr>
        <w:pStyle w:val="TextBody"/>
        <w:spacing w:lineRule="auto" w:line="264" w:before="20" w:after="20"/>
        <w:ind w:left="0" w:right="0" w:hanging="0"/>
        <w:jc w:val="center"/>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Our business goals are to:</w:t>
      </w:r>
    </w:p>
    <w:p>
      <w:pPr>
        <w:pStyle w:val="TextBody"/>
        <w:spacing w:lineRule="auto" w:line="264" w:before="20" w:after="20"/>
        <w:ind w:left="0" w:right="0" w:hanging="0"/>
        <w:jc w:val="both"/>
        <w:rPr/>
      </w:pPr>
      <w:r>
        <w:rPr/>
        <w:t> </w:t>
      </w:r>
    </w:p>
    <w:tbl>
      <w:tblPr>
        <w:tblW w:w="5000" w:type="pct"/>
        <w:jc w:val="center"/>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Improve our global market share in professional installed audio conferencing products for large businesses and organizations; </w:t>
            </w:r>
          </w:p>
        </w:tc>
      </w:tr>
      <w:tr>
        <w:trPr/>
        <w:tc>
          <w:tcPr>
            <w:tcW w:w="21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Position ClearOne as the preferred AV channel partner uniquely offering a complete value-chain of natively integrated solutions from audio to video maximizing AV channel partner profitability; </w:t>
            </w:r>
          </w:p>
        </w:tc>
      </w:tr>
      <w:tr>
        <w:trPr/>
        <w:tc>
          <w:tcPr>
            <w:tcW w:w="21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Extend total addressable market from installed audio conferencing beachhead to adjacent complementary markets – microphones, video collaboration and AV networking; </w:t>
            </w:r>
          </w:p>
        </w:tc>
      </w:tr>
      <w:tr>
        <w:trPr/>
        <w:tc>
          <w:tcPr>
            <w:tcW w:w="21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Continue to leverage the video conferencing, collaboration and AV networking technologies to enlarge our current market share; </w:t>
            </w:r>
          </w:p>
        </w:tc>
      </w:tr>
      <w:tr>
        <w:trPr/>
        <w:tc>
          <w:tcPr>
            <w:tcW w:w="21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Focus on the small and medium business market with appropriately scaled, lower cost and less complex products and solutions; </w:t>
            </w:r>
          </w:p>
        </w:tc>
      </w:tr>
      <w:tr>
        <w:trPr/>
        <w:tc>
          <w:tcPr>
            <w:tcW w:w="21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Capitalize on the growing influence of information technology channels in the audio-visual market and introduce more solutions to these channels; </w:t>
            </w:r>
          </w:p>
        </w:tc>
      </w:tr>
      <w:tr>
        <w:trPr/>
        <w:tc>
          <w:tcPr>
            <w:tcW w:w="21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Capitalize on the convergence of audio visual and information technology to meet enterprise and commercial multimedia needs and the end-users’ transition from high-priced systems to low cost, complete AV room solutions and cloud services; </w:t>
            </w:r>
          </w:p>
        </w:tc>
      </w:tr>
      <w:tr>
        <w:trPr/>
        <w:tc>
          <w:tcPr>
            <w:tcW w:w="21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Leverage software-based platforms across all our product lines; and </w:t>
            </w:r>
          </w:p>
        </w:tc>
      </w:tr>
      <w:tr>
        <w:trPr/>
        <w:tc>
          <w:tcPr>
            <w:tcW w:w="21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Expand and strengthen our sales channels. </w:t>
            </w:r>
          </w:p>
        </w:tc>
      </w:tr>
    </w:tbl>
    <w:p>
      <w:pPr>
        <w:pStyle w:val="TextBody"/>
        <w:spacing w:lineRule="auto" w:line="264" w:before="20" w:after="20"/>
        <w:ind w:left="0" w:right="0" w:hanging="0"/>
        <w:jc w:val="center"/>
        <w:rPr/>
      </w:pPr>
      <w:r>
        <w:rPr/>
        <w:t> </w:t>
      </w:r>
    </w:p>
    <w:p>
      <w:pPr>
        <w:pStyle w:val="TextBody"/>
        <w:widowControl/>
        <w:spacing w:before="20" w:after="2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will continue to focus on our core strengths, which include the following:</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tbl>
      <w:tblPr>
        <w:tblW w:w="5000" w:type="pct"/>
        <w:jc w:val="center"/>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Providing a superior conferencing and collaboration experience; </w:t>
            </w:r>
          </w:p>
        </w:tc>
      </w:tr>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Delivering the complete value chain for audio visual communication; </w:t>
            </w:r>
          </w:p>
        </w:tc>
      </w:tr>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Extending our capabilities in product innovation through software-based video collaboration and AV networking </w:t>
            </w:r>
          </w:p>
        </w:tc>
      </w:tr>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Offering greater innovation, interoperability and value to our end-users and channel partners; </w:t>
            </w:r>
          </w:p>
        </w:tc>
      </w:tr>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Leveraging and extending ClearOne technology, leadership and innovation; </w:t>
            </w:r>
          </w:p>
        </w:tc>
      </w:tr>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Leveraging our strong domestic and international channels to distribute new products; and </w:t>
            </w:r>
          </w:p>
        </w:tc>
      </w:tr>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Strengthening existing end-user and channel partner relationships through dedicated and comprehensive support. </w:t>
            </w:r>
          </w:p>
        </w:tc>
      </w:tr>
    </w:tbl>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2</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rFonts w:ascii="times new roman;times" w:hAnsi="times new roman;times"/>
          <w:sz w:val="20"/>
        </w:rPr>
      </w:pPr>
      <w:r>
        <w:rPr>
          <w:rFonts w:ascii="Times New Roman" w:hAnsi="Times New Roman"/>
          <w:b/>
          <w:sz w:val="20"/>
        </w:rPr>
        <w:t>ITEM 1- BUSINESS</w:t>
      </w:r>
      <w:r>
        <w:rPr>
          <w:rFonts w:ascii="times new roman;times" w:hAnsi="times new roman;times"/>
          <w:sz w:val="20"/>
        </w:rPr>
        <w:t xml:space="preserve">  </w:t>
      </w:r>
    </w:p>
    <w:p>
      <w:pPr>
        <w:pStyle w:val="TextBody"/>
        <w:spacing w:lineRule="auto" w:line="264" w:before="0" w:after="0"/>
        <w:ind w:left="0" w:right="0" w:hanging="0"/>
        <w:jc w:val="left"/>
        <w:rPr/>
      </w:pPr>
      <w:r>
        <w:rPr/>
        <w:t> </w:t>
      </w:r>
    </w:p>
    <w:p>
      <w:pPr>
        <w:pStyle w:val="TextBody"/>
        <w:spacing w:lineRule="auto" w:line="264" w:before="0" w:after="0"/>
        <w:ind w:left="0" w:right="0" w:hanging="0"/>
        <w:jc w:val="left"/>
        <w:rPr>
          <w:rFonts w:ascii="Times New Roman" w:hAnsi="Times New Roman"/>
          <w:b/>
          <w:sz w:val="20"/>
        </w:rPr>
      </w:pPr>
      <w:r>
        <w:rPr>
          <w:rFonts w:ascii="Times New Roman" w:hAnsi="Times New Roman"/>
          <w:b/>
          <w:sz w:val="20"/>
        </w:rPr>
        <w:t>PRODUCTS</w:t>
      </w:r>
    </w:p>
    <w:p>
      <w:pPr>
        <w:pStyle w:val="TextBody"/>
        <w:spacing w:lineRule="auto" w:line="264" w:before="0" w:after="0"/>
        <w:ind w:left="0" w:right="0" w:hanging="0"/>
        <w:jc w:val="left"/>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Our products can be broadly categorized into the following:</w:t>
      </w:r>
    </w:p>
    <w:p>
      <w:pPr>
        <w:pStyle w:val="TextBody"/>
        <w:spacing w:lineRule="auto" w:line="264" w:before="20" w:after="20"/>
        <w:ind w:left="0" w:right="0" w:hanging="0"/>
        <w:jc w:val="both"/>
        <w:rPr/>
      </w:pPr>
      <w:r>
        <w:rPr/>
        <w:t> </w:t>
      </w:r>
    </w:p>
    <w:tbl>
      <w:tblPr>
        <w:tblW w:w="5000" w:type="pct"/>
        <w:jc w:val="center"/>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Audio conferencing including installed DSP based professional audio conferencing, USB-based speakerphones and table-top audio conferencing </w:t>
            </w:r>
          </w:p>
        </w:tc>
      </w:tr>
      <w:tr>
        <w:trPr/>
        <w:tc>
          <w:tcPr>
            <w:tcW w:w="233"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Professional microphones consisting of patented beamforming microphones, ceiling microphones and wireless microphones; and </w:t>
            </w:r>
          </w:p>
        </w:tc>
      </w:tr>
      <w:tr>
        <w:trPr/>
        <w:tc>
          <w:tcPr>
            <w:tcW w:w="233"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Video products including video collaboration and AV networking </w:t>
            </w:r>
          </w:p>
        </w:tc>
      </w:tr>
    </w:tbl>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b/>
          <w:i/>
          <w:sz w:val="20"/>
        </w:rPr>
      </w:pPr>
      <w:r>
        <w:rPr>
          <w:rFonts w:ascii="Times New Roman" w:hAnsi="Times New Roman"/>
          <w:b/>
          <w:i/>
          <w:sz w:val="20"/>
        </w:rPr>
        <w:t>AUDIO CONFERENCING</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Our full range of audio conferencing products include (i) professional installed DSP based audio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(iii) affordable USB-based speakerphones that can be used with PCs, laptops, tablets, smartphones, and other portable devices, and (iv) traditional tabletop conferencing phones used in conference rooms and offices.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Our audio conferencing</w:t>
      </w:r>
      <w:r>
        <w:rPr>
          <w:rFonts w:ascii="times new roman;times" w:hAnsi="times new roman;times"/>
          <w:sz w:val="20"/>
        </w:rPr>
        <w:t xml:space="preserve"> </w:t>
      </w:r>
      <w:r>
        <w:rPr>
          <w:rFonts w:ascii="Times New Roman" w:hAnsi="Times New Roman"/>
          <w:sz w:val="20"/>
        </w:rPr>
        <w:t>products feature our proprietary HDConference</w:t>
      </w:r>
      <w:r>
        <w:rPr>
          <w:rFonts w:ascii="Times New Roman" w:hAnsi="Times New Roman"/>
          <w:position w:val="7"/>
          <w:sz w:val="16"/>
          <w:sz w:val="20"/>
        </w:rPr>
        <w:t>®</w:t>
      </w:r>
      <w:r>
        <w:rPr>
          <w:rFonts w:ascii="Times New Roman" w:hAnsi="Times New Roman"/>
          <w:sz w:val="20"/>
        </w:rPr>
        <w:t>, Distributed Echo Cancellation</w:t>
      </w:r>
      <w:r>
        <w:rPr>
          <w:rFonts w:ascii="Times New Roman" w:hAnsi="Times New Roman"/>
          <w:position w:val="7"/>
          <w:sz w:val="16"/>
          <w:sz w:val="20"/>
        </w:rPr>
        <w:t>®</w:t>
      </w:r>
      <w:r>
        <w:rPr>
          <w:rFonts w:ascii="Times New Roman" w:hAnsi="Times New Roman"/>
          <w:sz w:val="20"/>
        </w:rPr>
        <w:t xml:space="preserve"> and noise cancellation technologies to enhance communication during a conference call by eliminating echo and background noise. Most of our products also feature some of our other HDConference</w:t>
      </w:r>
      <w:r>
        <w:rPr>
          <w:rFonts w:ascii="times new roman;times" w:hAnsi="times new roman;times"/>
          <w:sz w:val="20"/>
        </w:rPr>
        <w:t xml:space="preserve"> </w:t>
      </w:r>
      <w:r>
        <w:rPr>
          <w:rFonts w:ascii="Times New Roman" w:hAnsi="Times New Roman"/>
          <w:sz w:val="20"/>
        </w:rPr>
        <w:t>proprietary audio processing technologies such as adaptive modeling and first-microphone priority, which combine to deliver clear, crisp and full-duplex audio. These technologies enable natural and fatigue-free communication between distant conferencing participants.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Our audio conferencing</w:t>
      </w:r>
      <w:r>
        <w:rPr>
          <w:rFonts w:ascii="times new roman;times" w:hAnsi="times new roman;times"/>
          <w:sz w:val="20"/>
        </w:rPr>
        <w:t xml:space="preserve"> </w:t>
      </w:r>
      <w:r>
        <w:rPr>
          <w:rFonts w:ascii="Times New Roman" w:hAnsi="Times New Roman"/>
          <w:sz w:val="20"/>
        </w:rPr>
        <w:t>products contributed 37.6%</w:t>
      </w:r>
      <w:r>
        <w:rPr>
          <w:rFonts w:ascii="times new roman;times" w:hAnsi="times new roman;times"/>
          <w:sz w:val="20"/>
        </w:rPr>
        <w:t xml:space="preserve"> </w:t>
      </w:r>
      <w:r>
        <w:rPr>
          <w:rFonts w:ascii="Times New Roman" w:hAnsi="Times New Roman"/>
          <w:sz w:val="20"/>
        </w:rPr>
        <w:t>and 46.3% of our consolidated revenue in 2020 and 2019, respectively.</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t>Professional installed audio conferencing and sound reinforcement</w:t>
      </w:r>
    </w:p>
    <w:p>
      <w:pPr>
        <w:pStyle w:val="TextBody"/>
        <w:spacing w:lineRule="auto" w:line="264" w:before="20" w:after="20"/>
        <w:ind w:left="0" w:right="0" w:hanging="0"/>
        <w:jc w:val="center"/>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We have been a global market leader in the professional installed audio conferencing</w:t>
      </w:r>
      <w:r>
        <w:rPr>
          <w:rFonts w:ascii="times new roman;times" w:hAnsi="times new roman;times"/>
          <w:sz w:val="20"/>
        </w:rPr>
        <w:t xml:space="preserve"> </w:t>
      </w:r>
      <w:r>
        <w:rPr>
          <w:rFonts w:ascii="Times New Roman" w:hAnsi="Times New Roman"/>
          <w:sz w:val="20"/>
        </w:rPr>
        <w:t>market. We have been a pioneer in the development of high-end, professional conferencing products and we have established strong brand recognition for these products worldwide. Our installed professional conferencing products include the CONVERGE</w:t>
      </w:r>
      <w:r>
        <w:rPr>
          <w:rFonts w:ascii="Times New Roman" w:hAnsi="Times New Roman"/>
          <w:position w:val="6"/>
          <w:sz w:val="13"/>
          <w:sz w:val="17"/>
        </w:rPr>
        <w:t>®</w:t>
      </w:r>
      <w:r>
        <w:rPr>
          <w:rFonts w:ascii="times new roman;times" w:hAnsi="times new roman;times"/>
          <w:sz w:val="20"/>
        </w:rPr>
        <w:t xml:space="preserve"> </w:t>
      </w:r>
      <w:r>
        <w:rPr>
          <w:rFonts w:ascii="Times New Roman" w:hAnsi="Times New Roman"/>
          <w:sz w:val="20"/>
        </w:rPr>
        <w:t>Pro 2, CONVERGE Pro and CONVERGE SR product lines.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Our flagship CONVERGE Pro 2 and CONVERGE Pro</w:t>
      </w:r>
      <w:r>
        <w:rPr>
          <w:rFonts w:ascii="times new roman;times" w:hAnsi="times new roman;times"/>
          <w:sz w:val="20"/>
        </w:rPr>
        <w:t> </w:t>
      </w:r>
      <w:r>
        <w:rPr>
          <w:rFonts w:ascii="Times New Roman" w:hAnsi="Times New Roman"/>
          <w:sz w:val="20"/>
        </w:rPr>
        <w:t>product lines lead our professionally installed audio products line. The CONVERGE Pro product line includes the CONVERGE Pro 880, CONVERGE Pro 880T, CONVERGE Pro 880TA, CONVERGE Pro 840T, CONVERGE Pro 8i, CONVERGE Pro TH20 and CONVERGE Pro VH20, and the CONVERGE SR product line including CONVERGE SR1212 and SR1212A which together offer various levels of integration and features to allow a commercial system integrator to optimize a system to fit diverse conferencing applications and environments.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We began shipping a limited number of SKUs of the latest generation of CONVERGE Pro products broadly called as CONVERGE Pro 2 at the end of 2016. We added more SKUs to CONVERGE Pro 2 line which now includes CONVERGE Pro 2 128, CONVERGE Pro 2 128D, CONVERGE Pro 2 128T, CONVERGE Pro 2 128TD, CONVERGE Pro 2 128V, CONVERGE Pro 2 128VD, CONVERGE Pro 2 128VT,</w:t>
      </w:r>
      <w:r>
        <w:rPr>
          <w:rFonts w:ascii="times new roman;times" w:hAnsi="times new roman;times"/>
          <w:sz w:val="20"/>
        </w:rPr>
        <w:t xml:space="preserve"> </w:t>
      </w:r>
      <w:r>
        <w:rPr>
          <w:rFonts w:ascii="Times New Roman" w:hAnsi="Times New Roman"/>
          <w:sz w:val="20"/>
        </w:rPr>
        <w:t>CONVERGE Pro 2 128VTD,</w:t>
      </w:r>
      <w:r>
        <w:rPr>
          <w:rFonts w:ascii="times new roman;times" w:hAnsi="times new roman;times"/>
          <w:sz w:val="20"/>
        </w:rPr>
        <w:t xml:space="preserve"> </w:t>
      </w:r>
      <w:r>
        <w:rPr>
          <w:rFonts w:ascii="Times New Roman" w:hAnsi="Times New Roman"/>
          <w:sz w:val="20"/>
        </w:rPr>
        <w:t>CONVERGE Pro 2 120, CONVERGE Pro 2 012, CONVERGE Pro 2 48T, CONVERGE Pro 2 48V,</w:t>
      </w:r>
      <w:r>
        <w:rPr>
          <w:rFonts w:ascii="times new roman;times" w:hAnsi="times new roman;times"/>
          <w:sz w:val="20"/>
        </w:rPr>
        <w:t xml:space="preserve"> </w:t>
      </w:r>
      <w:r>
        <w:rPr>
          <w:rFonts w:ascii="Times New Roman" w:hAnsi="Times New Roman"/>
          <w:sz w:val="20"/>
        </w:rPr>
        <w:t>CONVERGE Pro 2 48VT, CONVERGE Pro 2 48VTD,</w:t>
      </w:r>
      <w:r>
        <w:rPr>
          <w:rFonts w:ascii="times new roman;times" w:hAnsi="times new roman;times"/>
          <w:sz w:val="20"/>
        </w:rPr>
        <w:t xml:space="preserve"> </w:t>
      </w:r>
      <w:r>
        <w:rPr>
          <w:rFonts w:ascii="Times New Roman" w:hAnsi="Times New Roman"/>
          <w:sz w:val="20"/>
        </w:rPr>
        <w:t>CONVERGE Pro 2 128SR and CONVERGE Pro 2 128SRD.</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CONVERGE Pro 2’s broad DSP platform satisfies clients’ diverse audio needs with these features:</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3</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rFonts w:ascii="Times New Roman" w:hAnsi="Times New Roman"/>
          <w:b/>
          <w:sz w:val="20"/>
        </w:rPr>
      </w:pPr>
      <w:r>
        <w:rPr>
          <w:rFonts w:ascii="Times New Roman" w:hAnsi="Times New Roman"/>
          <w:b/>
          <w:sz w:val="20"/>
        </w:rPr>
        <w:t>ITEM 1 - BUSINESS</w:t>
      </w:r>
    </w:p>
    <w:p>
      <w:pPr>
        <w:pStyle w:val="TextBody"/>
        <w:spacing w:lineRule="auto" w:line="264" w:before="20" w:after="20"/>
        <w:ind w:left="0" w:right="0" w:hanging="0"/>
        <w:jc w:val="both"/>
        <w:rPr/>
      </w:pPr>
      <w:r>
        <w:rPr/>
        <w:t> </w:t>
      </w:r>
    </w:p>
    <w:tbl>
      <w:tblPr>
        <w:tblW w:w="5000" w:type="pct"/>
        <w:jc w:val="center"/>
        <w:tblInd w:w="0" w:type="dxa"/>
        <w:tblCellMar>
          <w:top w:w="0" w:type="dxa"/>
          <w:left w:w="0" w:type="dxa"/>
          <w:bottom w:w="0" w:type="dxa"/>
          <w:right w:w="0" w:type="dxa"/>
        </w:tblCellMar>
      </w:tblPr>
      <w:tblGrid>
        <w:gridCol w:w="201"/>
        <w:gridCol w:w="10004"/>
      </w:tblGrid>
      <w:tr>
        <w:trPr/>
        <w:tc>
          <w:tcPr>
            <w:tcW w:w="201"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4"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Best-in-class audio delivered through next-gen Acoustic Echo Cancellation and Noise Cancellation processing with Acoustic Intelligence, advanced microphone gating and built-in DARE™ feedback elimination. </w:t>
            </w:r>
          </w:p>
        </w:tc>
      </w:tr>
      <w:tr>
        <w:trPr/>
        <w:tc>
          <w:tcPr>
            <w:tcW w:w="201"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4"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Powerful architecture with smaller footprint – 12 Mic/line inputs per unit, built-in USB audio interface, built-in optional Dante™ for networked audio. </w:t>
            </w:r>
          </w:p>
        </w:tc>
      </w:tr>
      <w:tr>
        <w:trPr/>
        <w:tc>
          <w:tcPr>
            <w:tcW w:w="201"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4"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Daisy-chainable design to support up to 144 Mic/line inputs, C-Link expansion bus with 64 channels and P-Link bus for scalable connection of peripheral devices including any combination of ClearOne peripheral devices, such as the new Beamforming Microphone Array 2, USB Expander unit, GPIO Expander unit and/or the new DIALOG® 20 Wireless Microphone system. </w:t>
            </w:r>
          </w:p>
        </w:tc>
      </w:tr>
      <w:tr>
        <w:trPr/>
        <w:tc>
          <w:tcPr>
            <w:tcW w:w="201"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4"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Supports video conferencing, audio and web conferencing, Skype</w:t>
            </w:r>
            <w:r>
              <w:rPr>
                <w:rFonts w:ascii="Times New Roman" w:hAnsi="Times New Roman"/>
                <w:position w:val="7"/>
                <w:sz w:val="16"/>
                <w:sz w:val="20"/>
              </w:rPr>
              <w:t>®</w:t>
            </w:r>
            <w:r>
              <w:rPr>
                <w:rFonts w:ascii="Times New Roman" w:hAnsi="Times New Roman"/>
                <w:sz w:val="20"/>
              </w:rPr>
              <w:t xml:space="preserve"> for Business meetings, in-room meetings, wireless presentation, and more. </w:t>
            </w:r>
          </w:p>
        </w:tc>
      </w:tr>
      <w:tr>
        <w:trPr/>
        <w:tc>
          <w:tcPr>
            <w:tcW w:w="201"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4"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Integration of VoIP or telephony, USB, and Dante™ for maximum functionality. </w:t>
            </w:r>
          </w:p>
        </w:tc>
      </w:tr>
      <w:tr>
        <w:trPr/>
        <w:tc>
          <w:tcPr>
            <w:tcW w:w="201"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4"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 new expansion bus that delivers increased audio-channel scalability to support large audio projects. </w:t>
            </w:r>
          </w:p>
        </w:tc>
      </w:tr>
      <w:tr>
        <w:trPr/>
        <w:tc>
          <w:tcPr>
            <w:tcW w:w="201"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4"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Ability to control local meeting rooms and audio distribution applications with flexible options – touch panel controller, BYOD dialer apps or 3rd party control modules. </w:t>
            </w:r>
          </w:p>
        </w:tc>
      </w:tr>
      <w:tr>
        <w:trPr/>
        <w:tc>
          <w:tcPr>
            <w:tcW w:w="201"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4"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Configure, manage, monitor and troubleshoot the entire system of auto-discovered devices with MatrixView™ and FlowView™ for visualized audio signal paths. </w:t>
            </w:r>
          </w:p>
        </w:tc>
      </w:tr>
    </w:tbl>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CONVERGE Pro 2 line of products is ably supported by a touch panel controller, a GPIO expansion box, a USB expansion box</w:t>
      </w:r>
      <w:r>
        <w:rPr>
          <w:rFonts w:ascii="times new roman;times" w:hAnsi="times new roman;times"/>
          <w:sz w:val="20"/>
        </w:rPr>
        <w:t xml:space="preserve"> </w:t>
      </w:r>
      <w:r>
        <w:rPr>
          <w:rFonts w:ascii="Times New Roman" w:hAnsi="Times New Roman"/>
          <w:sz w:val="20"/>
        </w:rPr>
        <w:t>and a wall-mount Bluetooth Expander.</w:t>
      </w:r>
      <w:r>
        <w:rPr>
          <w:rFonts w:ascii="times new roman;times" w:hAnsi="times new roman;times"/>
          <w:sz w:val="20"/>
        </w:rPr>
        <w:t> </w:t>
      </w:r>
      <w:r>
        <w:rPr>
          <w:rFonts w:ascii="Times New Roman" w:hAnsi="Times New Roman"/>
          <w:sz w:val="20"/>
        </w:rPr>
        <w:t>CONVERGE Pro 2 VoIP SKUs are certified to interoperate with Cisco, Avaya and ShoreTel SIP based VoIP systems and also</w:t>
      </w:r>
      <w:r>
        <w:rPr>
          <w:rFonts w:ascii="times new roman;times" w:hAnsi="times new roman;times"/>
          <w:sz w:val="20"/>
        </w:rPr>
        <w:t xml:space="preserve"> </w:t>
      </w:r>
      <w:r>
        <w:rPr>
          <w:rFonts w:ascii="Times New Roman" w:hAnsi="Times New Roman"/>
          <w:sz w:val="20"/>
        </w:rPr>
        <w:t>interoperate with Microsoft Skype for Business.</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left"/>
        <w:rPr>
          <w:rFonts w:ascii="Times New Roman" w:hAnsi="Times New Roman"/>
          <w:sz w:val="20"/>
        </w:rPr>
      </w:pPr>
      <w:r>
        <w:rPr>
          <w:rFonts w:ascii="Times New Roman;serif" w:hAnsi="Times New Roman;serif"/>
          <w:color w:val="000000"/>
          <w:sz w:val="20"/>
        </w:rPr>
        <w:t>During February 2020, we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 pad. When paired with COLLABORATE Live, users can make and receive video calls as well as manage content sharing options.</w:t>
      </w:r>
      <w:r>
        <w:rPr>
          <w:rFonts w:ascii="Times New Roman" w:hAnsi="Times New Roman"/>
          <w:sz w:val="20"/>
        </w:rPr>
        <w:t xml:space="preserve">  </w:t>
      </w:r>
    </w:p>
    <w:p>
      <w:pPr>
        <w:pStyle w:val="TextBody"/>
        <w:spacing w:lineRule="auto" w:line="264" w:before="20" w:after="20"/>
        <w:ind w:left="0" w:right="0" w:hanging="0"/>
        <w:jc w:val="left"/>
        <w:rPr>
          <w:rFonts w:ascii="Times New Roman" w:hAnsi="Times New Roman"/>
          <w:sz w:val="20"/>
        </w:rPr>
      </w:pPr>
      <w:r>
        <w:rPr>
          <w:rFonts w:ascii="Times New Roman" w:hAnsi="Times New Roman"/>
          <w:sz w:val="20"/>
        </w:rPr>
      </w:r>
    </w:p>
    <w:p>
      <w:pPr>
        <w:pStyle w:val="TextBody"/>
        <w:spacing w:lineRule="auto" w:line="264" w:before="0" w:after="0"/>
        <w:ind w:left="0" w:right="0" w:hanging="0"/>
        <w:jc w:val="left"/>
        <w:rPr>
          <w:rFonts w:ascii="times new roman;times" w:hAnsi="times new roman;times"/>
          <w:sz w:val="20"/>
        </w:rPr>
      </w:pPr>
      <w:r>
        <w:rPr>
          <w:rFonts w:ascii="Times New Roman" w:hAnsi="Times New Roman"/>
          <w:sz w:val="20"/>
        </w:rPr>
        <w:t>Duri</w:t>
      </w:r>
      <w:r>
        <w:rPr>
          <w:rFonts w:ascii="Times New Roman;serif" w:hAnsi="Times New Roman;serif"/>
          <w:color w:val="000000"/>
          <w:sz w:val="20"/>
        </w:rPr>
        <w:t>ng September 2020, we shipped </w:t>
      </w:r>
      <w:r>
        <w:rPr>
          <w:rFonts w:ascii="Times New Roman;serif" w:hAnsi="Times New Roman;serif"/>
          <w:b w:val="false"/>
          <w:i w:val="false"/>
          <w:caps w:val="false"/>
          <w:smallCaps w:val="false"/>
          <w:strike w:val="false"/>
          <w:dstrike w:val="false"/>
          <w:color w:val="000000"/>
          <w:sz w:val="20"/>
          <w:u w:val="none"/>
          <w:effect w:val="none"/>
        </w:rPr>
        <w:t xml:space="preserve">Conference Controller with 10-inch touch screen designed for easy control of ClearOne’s CONVERGE® Pro 2 audio DSP mixers as well as COLLABORATE® Live video conferencing room systems from a single device. The Conference Controller functions can also be conveniently accessed from a personal mobile device, eliminating the need for touching shared surfaces by downloading the free </w:t>
      </w:r>
      <w:r>
        <w:rPr>
          <w:rFonts w:ascii="times new roman;times" w:hAnsi="times new roman;times"/>
          <w:b w:val="false"/>
          <w:i w:val="false"/>
          <w:caps w:val="false"/>
          <w:smallCaps w:val="false"/>
          <w:strike w:val="false"/>
          <w:dstrike w:val="false"/>
          <w:color w:val="000000"/>
          <w:sz w:val="20"/>
          <w:u w:val="none"/>
          <w:effect w:val="none"/>
        </w:rPr>
        <w:t>mobile</w:t>
      </w:r>
      <w:r>
        <w:rPr>
          <w:rFonts w:ascii="Times New Roman;serif" w:hAnsi="Times New Roman;serif"/>
          <w:b w:val="false"/>
          <w:i w:val="false"/>
          <w:caps w:val="false"/>
          <w:smallCaps w:val="false"/>
          <w:strike w:val="false"/>
          <w:dstrike w:val="false"/>
          <w:color w:val="000000"/>
          <w:sz w:val="20"/>
          <w:u w:val="none"/>
          <w:effect w:val="none"/>
        </w:rPr>
        <w:t xml:space="preserve"> apps. A perfect addition to ClearOne’s audio and video platforms, the Conference Controller can be paired with CONVERGE Pro 2 DSPs, allowing users to make and receive VoIP and/or PSTN conference calls and multiparty calls with the easy-to-use, on-screen dial pad.  When paired with COLLABORATE Live room video systems, users can make and receive video calls as well as manage content-sharing options. A modern user interface makes controlling conferencing functions as intuitive and simple as familiar mobile and tablet devices. The Conference Controller enables easy contact management with built-in search. In addition, the slim and modern industrial design blends well with modern conference-room aesthetics.</w:t>
      </w:r>
    </w:p>
    <w:p>
      <w:pPr>
        <w:pStyle w:val="TextBody"/>
        <w:spacing w:lineRule="auto" w:line="264" w:before="20" w:after="20"/>
        <w:ind w:left="0" w:right="0" w:hanging="0"/>
        <w:jc w:val="left"/>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times" w:hAnsi="times new roman;times"/>
          <w:sz w:val="20"/>
        </w:rPr>
      </w:pPr>
      <w:r>
        <w:rPr>
          <w:rFonts w:ascii="times new roman;times" w:hAnsi="times new roman;times"/>
          <w:sz w:val="20"/>
        </w:rPr>
        <w:t>During October 2020, we announced the latest update of CONVERGENCE AV Network Manager software. The new update now has an organizational portal for multiple user accounts with support for up to 2048 combined devices and users. It also includes LDAP support and two levels of access — a secure administrator level for full access and a viewer level for monitoring with 256-bit encrypted device and user password management. CONVERGENCE software is a unified AV network management platform to monitor, control, and audit ClearOne Pro Audio and Video products and services. Remote real-time system access provides at-a-glance and all-inclusive dashboard views with unlimited scalability designed to support organizations of any size. The solution provides a powerful and elegant user interface on any browser from desktop to mobile. Users can stay up to date with email status notifications and can search, sort, and filter to find what is needed quickly. Efficient batch firmware updates can be performed on multiple audio or video devices at once. Users can also download, back up, or restore project files simultaneously for multiple CONVERGE® Pro 2 and Huddle DSP mixers, as well as their P-Link peripherals.</w:t>
      </w:r>
    </w:p>
    <w:p>
      <w:pPr>
        <w:pStyle w:val="TextBody"/>
        <w:spacing w:lineRule="auto" w:line="264" w:before="20" w:after="20"/>
        <w:ind w:left="0" w:right="0" w:hanging="0"/>
        <w:jc w:val="left"/>
        <w:rPr/>
      </w:pPr>
      <w:r>
        <w:rPr/>
      </w:r>
    </w:p>
    <w:p>
      <w:pPr>
        <w:pStyle w:val="TextBody"/>
        <w:spacing w:lineRule="auto" w:line="264" w:before="20" w:after="20"/>
        <w:ind w:left="0" w:right="0" w:hanging="0"/>
        <w:jc w:val="both"/>
        <w:rPr>
          <w:rFonts w:ascii="times new roman;times" w:hAnsi="times new roman;times"/>
          <w:sz w:val="20"/>
        </w:rPr>
      </w:pPr>
      <w:r>
        <w:rPr>
          <w:rFonts w:ascii="times new roman;times" w:hAnsi="times new roman;times"/>
          <w:sz w:val="20"/>
        </w:rPr>
        <w:t>The software also offers many other features, such as: provisioning CONVERGE Pro 2 VoIP lines and viewing VoIP registration status; configuring and managing COLLABORATE® Live room codecs and COLLABORATE Space user accounts; and downloading logs and reports for devices, users, histories, and calls. CONVERGENCE supports integration with third-party management systems like IBM Cognos Analytics and Barco Overture via a RESTful web service interface. ClearOne’s AV network management platform is available in twelve languages.</w:t>
      </w:r>
    </w:p>
    <w:p>
      <w:pPr>
        <w:pStyle w:val="TextBody"/>
        <w:spacing w:lineRule="auto" w:line="264" w:before="20" w:after="20"/>
        <w:ind w:left="0" w:right="0" w:hanging="0"/>
        <w:jc w:val="left"/>
        <w:rPr/>
      </w:pPr>
      <w:r>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4</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widowControl/>
        <w:spacing w:lineRule="auto" w:line="264" w:before="20" w:after="20"/>
        <w:ind w:left="0" w:right="0" w:hanging="0"/>
        <w:jc w:val="center"/>
        <w:rPr>
          <w:rFonts w:ascii="times new roman;times" w:hAnsi="times new roman;times"/>
          <w:sz w:val="20"/>
        </w:rPr>
      </w:pPr>
      <w:r>
        <w:rPr>
          <w:rFonts w:ascii="Times New Roman" w:hAnsi="Times New Roman"/>
          <w:b/>
          <w:i w:val="false"/>
          <w:caps w:val="false"/>
          <w:smallCaps w:val="false"/>
          <w:color w:val="000000"/>
          <w:spacing w:val="0"/>
          <w:sz w:val="20"/>
        </w:rPr>
        <w:t>ITEM 1</w:t>
      </w:r>
      <w:r>
        <w:rPr>
          <w:rFonts w:ascii="times new roman;times" w:hAnsi="times new roman;times"/>
          <w:caps w:val="false"/>
          <w:smallCaps w:val="false"/>
          <w:color w:val="000000"/>
          <w:spacing w:val="0"/>
          <w:sz w:val="20"/>
        </w:rPr>
        <w:t> </w:t>
      </w:r>
      <w:r>
        <w:rPr>
          <w:rFonts w:ascii="Times New Roman" w:hAnsi="Times New Roman"/>
          <w:b/>
          <w:i w:val="false"/>
          <w:caps w:val="false"/>
          <w:smallCaps w:val="false"/>
          <w:color w:val="000000"/>
          <w:spacing w:val="0"/>
          <w:sz w:val="20"/>
        </w:rPr>
        <w:t>- BUSINESS</w:t>
      </w:r>
    </w:p>
    <w:p>
      <w:pPr>
        <w:pStyle w:val="TextBody"/>
        <w:spacing w:lineRule="auto" w:line="264" w:before="20" w:after="2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64" w:before="20" w:after="20"/>
        <w:ind w:left="0" w:right="0" w:hanging="0"/>
        <w:jc w:val="both"/>
        <w:rPr>
          <w:rFonts w:ascii="times new roman;times" w:hAnsi="times new roman;times"/>
          <w:i/>
          <w:sz w:val="20"/>
        </w:rPr>
      </w:pPr>
      <w:r>
        <w:rPr>
          <w:rFonts w:ascii="times new roman;times" w:hAnsi="times new roman;times"/>
          <w:i/>
          <w:sz w:val="20"/>
        </w:rPr>
        <w:t>Mid-Tier Premium Conferencing</w:t>
      </w:r>
    </w:p>
    <w:p>
      <w:pPr>
        <w:pStyle w:val="TextBody"/>
        <w:spacing w:lineRule="auto" w:line="264" w:before="20" w:after="20"/>
        <w:ind w:left="0" w:right="0" w:hanging="0"/>
        <w:jc w:val="both"/>
        <w:rPr/>
      </w:pPr>
      <w:r>
        <w:rPr/>
      </w:r>
    </w:p>
    <w:p>
      <w:pPr>
        <w:pStyle w:val="TextBody"/>
        <w:spacing w:lineRule="auto" w:line="264" w:before="20" w:after="20"/>
        <w:ind w:left="0" w:right="0" w:hanging="0"/>
        <w:jc w:val="both"/>
        <w:rPr>
          <w:rFonts w:ascii="times new roman;times" w:hAnsi="times new roman;times"/>
          <w:sz w:val="20"/>
        </w:rPr>
      </w:pPr>
      <w:r>
        <w:rPr>
          <w:rFonts w:ascii="times new roman;times" w:hAnsi="times new roman;times"/>
          <w:sz w:val="20"/>
        </w:rPr>
        <w:t>Our INTERACT</w:t>
      </w:r>
      <w:r>
        <w:rPr>
          <w:rFonts w:ascii="times new roman;times" w:hAnsi="times new roman;times"/>
          <w:position w:val="7"/>
          <w:sz w:val="16"/>
          <w:sz w:val="20"/>
        </w:rPr>
        <w:t>®</w:t>
      </w:r>
      <w:r>
        <w:rPr>
          <w:rFonts w:ascii="times new roman;times" w:hAnsi="times new roman;times"/>
          <w:sz w:val="20"/>
        </w:rPr>
        <w:t xml:space="preserve">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pStyle w:val="TextBody"/>
        <w:spacing w:lineRule="auto" w:line="264" w:before="20" w:after="2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During 2018, we introduced and started shipping CONVERGE Huddle, another addition to the mid-tier premium conferencing line. CONVERGE Huddle is a versatile solution for multiple use huddle room environments at a price point that meets budget requirements for audio and video collaboration applications.</w:t>
      </w:r>
      <w:r>
        <w:rPr>
          <w:rFonts w:ascii="times new roman;times" w:hAnsi="times new roman;times"/>
          <w:sz w:val="20"/>
        </w:rPr>
        <w:t> </w:t>
      </w:r>
      <w:r>
        <w:rPr>
          <w:rFonts w:ascii="Times New Roman" w:hAnsi="Times New Roman"/>
          <w:sz w:val="20"/>
        </w:rPr>
        <w:t>CONVERGE Huddle connects to ClearOne or third-party peripheral devices, such as microphones, speakers, cameras, and display screens and applications such as Spontania</w:t>
      </w:r>
      <w:r>
        <w:rPr>
          <w:rFonts w:ascii="Times New Roman" w:hAnsi="Times New Roman"/>
          <w:position w:val="7"/>
          <w:sz w:val="16"/>
          <w:sz w:val="20"/>
        </w:rPr>
        <w:t>®</w:t>
      </w:r>
      <w:r>
        <w:rPr>
          <w:rFonts w:ascii="Times New Roman" w:hAnsi="Times New Roman"/>
          <w:sz w:val="20"/>
        </w:rPr>
        <w:t>, Skype</w:t>
      </w:r>
      <w:r>
        <w:rPr>
          <w:rFonts w:ascii="Times New Roman" w:hAnsi="Times New Roman"/>
          <w:position w:val="7"/>
          <w:sz w:val="16"/>
          <w:sz w:val="20"/>
        </w:rPr>
        <w:t>®</w:t>
      </w:r>
      <w:r>
        <w:rPr>
          <w:rFonts w:ascii="Times New Roman" w:hAnsi="Times New Roman"/>
          <w:sz w:val="20"/>
        </w:rPr>
        <w:t xml:space="preserve"> for Business, GoToMeeting ™, WebEx</w:t>
      </w:r>
      <w:r>
        <w:rPr>
          <w:rFonts w:ascii="Times New Roman" w:hAnsi="Times New Roman"/>
          <w:position w:val="7"/>
          <w:sz w:val="16"/>
          <w:sz w:val="20"/>
        </w:rPr>
        <w:t>®</w:t>
      </w:r>
      <w:r>
        <w:rPr>
          <w:rFonts w:ascii="Times New Roman" w:hAnsi="Times New Roman"/>
          <w:sz w:val="20"/>
        </w:rPr>
        <w:t xml:space="preserve"> through single clutter-free connection via USB 3.0 to laptop. It comes with the latest Acoustic Echo Cancellation and Noise Cancellation algorithms and a user-friendly CONSOLE® software. It can be mounted easily under a table, behind a display, on a wall or in a rack.</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t>Speakerphone</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Our CHAT® product line of speakerphones includes affordable and stylish USB based personal and group speakerphones.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CHAT 50, CHAT 60 or CHAT 70 SKUs or as group speakerphones under CHAT 150, CHAT 160 and CHAT 170 SKUs.</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widowControl/>
        <w:spacing w:before="20" w:after="2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CHAT 50/60/70 personal speakerphones are approximately the size of a deck of cards, and connect to PCs and MACs for rich, clear, hands-free audio and playback. CHAT 150 group speakerphones are designed for small group use. These can also connect many of the same devices and applications as the CHAT personal speakerphones but feature three microphones in larger design for use by a larger number of participants. CHAT 150/160/170 group speakerphones have the ability to</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w:t>
      </w:r>
      <w:r>
        <w:rPr>
          <w:rFonts w:ascii="Times New Roman" w:hAnsi="Times New Roman"/>
          <w:b w:val="false"/>
          <w:i w:val="false"/>
          <w:caps w:val="false"/>
          <w:smallCaps w:val="false"/>
          <w:color w:val="000000"/>
          <w:spacing w:val="0"/>
          <w:position w:val="7"/>
          <w:sz w:val="16"/>
          <w:sz w:val="20"/>
        </w:rPr>
        <w:t>®</w:t>
      </w:r>
      <w:r>
        <w:rPr>
          <w:rFonts w:ascii="Times New Roman" w:hAnsi="Times New Roman"/>
          <w:b w:val="false"/>
          <w:i w:val="false"/>
          <w:caps w:val="false"/>
          <w:smallCaps w:val="false"/>
          <w:color w:val="000000"/>
          <w:spacing w:val="0"/>
          <w:sz w:val="20"/>
        </w:rPr>
        <w:t> is comprised of two CHAT 150 group speakerphones which can be daisy-chained together to function as a single conferencing system for much larger coverage than a single CHAT 150. CHAT group speakerphones are integral to our media collaboration product line as our media collaboration products are tightly integrated with CHAT group speakerphones for high quality audio experience.</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Tabletop Conferencing</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tabletop conferencing product line offered under MAX® brand is comprised of the following product families: MAX EX and MAXAttach</w:t>
      </w:r>
      <w:r>
        <w:rPr>
          <w:rFonts w:ascii="Times New Roman" w:hAnsi="Times New Roman"/>
          <w:b w:val="false"/>
          <w:i w:val="false"/>
          <w:caps w:val="false"/>
          <w:smallCaps w:val="false"/>
          <w:color w:val="000000"/>
          <w:spacing w:val="0"/>
          <w:position w:val="7"/>
          <w:sz w:val="16"/>
          <w:sz w:val="20"/>
        </w:rPr>
        <w:t>®</w:t>
      </w:r>
      <w:r>
        <w:rPr>
          <w:rFonts w:ascii="Times New Roman" w:hAnsi="Times New Roman"/>
          <w:b w:val="false"/>
          <w:i w:val="false"/>
          <w:caps w:val="false"/>
          <w:smallCaps w:val="false"/>
          <w:color w:val="000000"/>
          <w:spacing w:val="0"/>
          <w:sz w:val="20"/>
        </w:rPr>
        <w:t> wired conference phones; MAX Wireless and MAXAttach</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Wireless conference phones; and MAX IP and MAXAttach</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IP conferencing phones. Designed for use in executive offices or small conference rooms with multiple participants, MAX Wireless can be moved from room to room within 150 feet of its base station. MAXAttach</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Wireless was the industry’s first and remains the only dual-phone, completely wireless solution. This system gives customers tremendous flexibility in covering larger conference room areas. MAX EX and MAXAttach</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wired phones can be daisy chained together, up to a total of four phones. This provides even distribution of microphones, loudspeakers, and controls for better sound quality and improved user access in medium to large conference rooms. In addition, all MAXAttach</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wired phones can be used separately when they are not needed in a daisy-chain configuration. MAX IP and MAXAttach</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IP are VoIP tabletop conference phones which are based on the industry-standard SIP signaling protocol. These phones can also be daisy-chained together, up to a total of four phones.</w:t>
      </w:r>
    </w:p>
    <w:p>
      <w:pPr>
        <w:pStyle w:val="TextBody"/>
        <w:widowControl/>
        <w:spacing w:before="20" w:after="20"/>
        <w:ind w:left="0" w:right="0" w:hanging="0"/>
        <w:jc w:val="center"/>
        <w:rPr>
          <w:rFonts w:ascii="Times New Roman" w:hAnsi="Times New Roman"/>
          <w:sz w:val="20"/>
        </w:rPr>
      </w:pPr>
      <w:r>
        <w:rPr>
          <w:rFonts w:ascii="Times New Roman" w:hAnsi="Times New Roman"/>
          <w:sz w:val="20"/>
        </w:rPr>
      </w:r>
    </w:p>
    <w:p>
      <w:pPr>
        <w:pStyle w:val="TextBody"/>
        <w:widowControl/>
        <w:spacing w:before="20" w:after="20"/>
        <w:ind w:left="0" w:right="0" w:hanging="0"/>
        <w:jc w:val="center"/>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PROFESSIONAL MICROPHONES</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microphones contributed 31.5%</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35.2% of our consolidated revenue in 2020 and 2019, respectively.</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5</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rFonts w:ascii="Times New Roman" w:hAnsi="Times New Roman"/>
          <w:b/>
          <w:sz w:val="20"/>
        </w:rPr>
      </w:pPr>
      <w:r>
        <w:rPr>
          <w:rFonts w:ascii="Times New Roman" w:hAnsi="Times New Roman"/>
          <w:b/>
          <w:sz w:val="20"/>
        </w:rPr>
        <w:t xml:space="preserve">ITEM </w:t>
      </w:r>
      <w:r>
        <w:rPr>
          <w:rFonts w:ascii="Times New Roman" w:hAnsi="Times New Roman"/>
          <w:b/>
          <w:sz w:val="20"/>
        </w:rPr>
        <w:t>1</w:t>
      </w:r>
      <w:r>
        <w:rPr>
          <w:rFonts w:ascii="Times New Roman" w:hAnsi="Times New Roman"/>
          <w:b/>
          <w:sz w:val="20"/>
        </w:rPr>
        <w:t xml:space="preserve"> - BUSINESS</w:t>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Beamforming Microphone Array</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ClearOne began shipping the first generation</w:t>
      </w:r>
      <w:r>
        <w:rPr>
          <w:rFonts w:ascii="times new roman;times" w:hAnsi="times new roman;times"/>
          <w:sz w:val="20"/>
        </w:rPr>
        <w:t xml:space="preserve"> </w:t>
      </w:r>
      <w:r>
        <w:rPr>
          <w:rFonts w:ascii="Times New Roman" w:hAnsi="Times New Roman"/>
          <w:sz w:val="20"/>
        </w:rPr>
        <w:t>Beamforming Microphone Array in March 2013. This product works with CONVERGE Pro 880, CONVERGE Pro 880T, CONVERGE Pro 880TA and CONVERGE Pro 840T.</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Beamforming Microphone Array 2, the next generation Beamforming Microphone Array started shipping in the last quarter of 2017 and affirmed ClearOne’s</w:t>
      </w:r>
      <w:r>
        <w:rPr>
          <w:rFonts w:ascii="times new roman;times" w:hAnsi="times new roman;times"/>
          <w:sz w:val="20"/>
        </w:rPr>
        <w:t xml:space="preserve"> </w:t>
      </w:r>
      <w:r>
        <w:rPr>
          <w:rFonts w:ascii="Times New Roman" w:hAnsi="Times New Roman"/>
          <w:sz w:val="20"/>
        </w:rPr>
        <w:t>clear industry leadership with the following outstanding features:</w:t>
      </w:r>
    </w:p>
    <w:p>
      <w:pPr>
        <w:pStyle w:val="TextBody"/>
        <w:spacing w:lineRule="auto" w:line="264"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Significantly enhanced and new echo cancellation, using direction of arrival determination for demanding acoustic environments. </w:t>
            </w:r>
          </w:p>
        </w:tc>
      </w:tr>
      <w:tr>
        <w:trPr/>
        <w:tc>
          <w:tcPr>
            <w:tcW w:w="20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Acoustic intelligence with adaptive ambience - faster convergence and better adaptation to changes in room acoustics, such as ambient noise from chairs moving, doors closing, chatter in the background, or any spikes in sound that alter the path of the audio, using separate acoustic echo cancellation for each fixed beam and inhibiting beam selection when the far end is active. </w:t>
            </w:r>
          </w:p>
        </w:tc>
      </w:tr>
      <w:tr>
        <w:trPr/>
        <w:tc>
          <w:tcPr>
            <w:tcW w:w="20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Dramatically better mic pickup, including using an augmenting microphone signal, sharpening the capability to detect softer voices. </w:t>
            </w:r>
          </w:p>
        </w:tc>
      </w:tr>
      <w:tr>
        <w:trPr/>
        <w:tc>
          <w:tcPr>
            <w:tcW w:w="20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Natural and clearly intelligible audio, even when two people speak at once. </w:t>
            </w:r>
          </w:p>
        </w:tc>
      </w:tr>
      <w:tr>
        <w:trPr/>
        <w:tc>
          <w:tcPr>
            <w:tcW w:w="20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Zero consumption of analog I/O and signal processing in the DSP mixer leaving those resources available for other needs. </w:t>
            </w:r>
          </w:p>
        </w:tc>
      </w:tr>
      <w:tr>
        <w:trPr/>
        <w:tc>
          <w:tcPr>
            <w:tcW w:w="20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Single cable for power, audio and control. </w:t>
            </w:r>
          </w:p>
        </w:tc>
      </w:tr>
      <w:tr>
        <w:trPr/>
        <w:tc>
          <w:tcPr>
            <w:tcW w:w="20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Two power options – P-Link and POE. </w:t>
            </w:r>
          </w:p>
        </w:tc>
      </w:tr>
      <w:tr>
        <w:trPr/>
        <w:tc>
          <w:tcPr>
            <w:tcW w:w="20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Daisy-chains with all ClearOne P-Link devices and works with CONVERGE Pro 2 DSP AEC mixers. </w:t>
            </w:r>
          </w:p>
        </w:tc>
      </w:tr>
      <w:tr>
        <w:trPr/>
        <w:tc>
          <w:tcPr>
            <w:tcW w:w="20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Easy configuration and management through CONSOLE software. </w:t>
            </w:r>
          </w:p>
        </w:tc>
      </w:tr>
    </w:tbl>
    <w:p>
      <w:pPr>
        <w:pStyle w:val="TextBody"/>
        <w:spacing w:lineRule="auto" w:line="264" w:before="0" w:after="0"/>
        <w:ind w:left="0" w:right="0" w:hanging="0"/>
        <w:jc w:val="both"/>
        <w:rPr/>
      </w:pPr>
      <w:r>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During the first quarter of 2019, the Company began shipping our patented Beamforming Microphone Array Ceiling Tile (BMA CT) to our partners.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All</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 innovations developed for the BMA CT make the integrator’s job easier and more profitable. The BMA CT dramatically transforms how integrators can approach system design for ceiling tile installations, allowing for multi-array setups that can utilize a single, low-channel count DSP mixer while maintaining ClearOne’s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high level of performance and reliability.</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Further simplification comes from the array’s built-in power amplifier, which allows each array to drive two 10-Watt, 8-Ohm loudspeakers. The BMA CT also features ClearOne’s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proprietary adaptive steering technology (think of it as smart switching). This provides impeccable room coverage while eliminating the need to adjust individual beams.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Integrators can daisy chain ceiling tiles via P-Link (ClearOne’s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proprietary peripheral link) for larger conference setups – for simpler wiring and longer distances compared to networked home-run connections. P-Link also allows integrators to daisy chain additional peripherals such as wireless mics, USB Expanders, and GPIO Expanders.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 system supports all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this functionality with zero consumption of analog I/O and signal processing in the DSP mixer leaving those resources available for other needs.</w:t>
      </w:r>
    </w:p>
    <w:p>
      <w:pPr>
        <w:pStyle w:val="TextBody"/>
        <w:widowControl/>
        <w:spacing w:before="0" w:after="0"/>
        <w:ind w:left="0" w:right="0" w:hanging="0"/>
        <w:jc w:val="center"/>
        <w:rPr>
          <w:rFonts w:ascii="Times New Roman" w:hAnsi="Times New Roman"/>
          <w:sz w:val="20"/>
        </w:rPr>
      </w:pPr>
      <w:r>
        <w:rPr>
          <w:rFonts w:ascii="Times New Roman" w:hAnsi="Times New Roman"/>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the first quarter of 2020,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 COLLABORATE Versa Lite CT is a USB audio enabled BMA CTH room solution. This solution dramatically enhances the audio experience for any cloud-collaboration application such as COLLABORATE Space,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USB Expander to share room audio. The included 50-foot CAT6 cable connects the USB Expander to the BMA CTH.</w:t>
      </w:r>
    </w:p>
    <w:p>
      <w:pPr>
        <w:pStyle w:val="TextBody"/>
        <w:widowControl/>
        <w:spacing w:before="0" w:after="0"/>
        <w:ind w:left="0" w:right="0" w:hanging="0"/>
        <w:jc w:val="center"/>
        <w:rPr>
          <w:color w:val="000000"/>
          <w:sz w:val="20"/>
        </w:rPr>
      </w:pPr>
      <w:r>
        <w:rPr>
          <w:color w:val="000000"/>
          <w:sz w:val="20"/>
        </w:rPr>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During October 2020, we announced our new BMA </w:t>
      </w:r>
      <w:r>
        <w:rPr>
          <w:rFonts w:ascii="times new roman;times" w:hAnsi="times new roman;times"/>
          <w:b w:val="false"/>
          <w:i w:val="false"/>
          <w:caps w:val="false"/>
          <w:smallCaps w:val="false"/>
          <w:color w:val="000000"/>
          <w:spacing w:val="0"/>
          <w:sz w:val="20"/>
        </w:rPr>
        <w:t>360</w:t>
      </w:r>
      <w:r>
        <w:rPr>
          <w:rFonts w:ascii="Times New Roman" w:hAnsi="Times New Roman"/>
          <w:b w:val="false"/>
          <w:i w:val="false"/>
          <w:caps w:val="false"/>
          <w:smallCaps w:val="false"/>
          <w:color w:val="000000"/>
          <w:spacing w:val="0"/>
          <w:sz w:val="20"/>
        </w:rPr>
        <w:t>, the world’s most technologically advanced </w:t>
      </w:r>
      <w:r>
        <w:rPr>
          <w:rFonts w:ascii="times new roman;times" w:hAnsi="times new roman;times"/>
          <w:b w:val="false"/>
          <w:i w:val="false"/>
          <w:caps w:val="false"/>
          <w:smallCaps w:val="false"/>
          <w:color w:val="000000"/>
          <w:spacing w:val="0"/>
          <w:sz w:val="20"/>
        </w:rPr>
        <w:t>Beamforming </w:t>
      </w:r>
      <w:r>
        <w:rPr>
          <w:rFonts w:ascii="Times New Roman" w:hAnsi="Times New Roman"/>
          <w:b w:val="false"/>
          <w:i w:val="false"/>
          <w:caps w:val="false"/>
          <w:smallCaps w:val="false"/>
          <w:color w:val="000000"/>
          <w:spacing w:val="0"/>
          <w:sz w:val="20"/>
        </w:rPr>
        <w:t>Microphone Array Ceiling Tile, delivering unequaled audio performance and deployment ease. The </w:t>
      </w:r>
      <w:r>
        <w:rPr>
          <w:rFonts w:ascii="times new roman;times" w:hAnsi="times new roman;times"/>
          <w:b w:val="false"/>
          <w:i w:val="false"/>
          <w:caps w:val="false"/>
          <w:smallCaps w:val="false"/>
          <w:color w:val="000000"/>
          <w:spacing w:val="0"/>
          <w:sz w:val="20"/>
        </w:rPr>
        <w:t>ClearOne </w:t>
      </w:r>
      <w:r>
        <w:rPr>
          <w:rFonts w:ascii="Times New Roman" w:hAnsi="Times New Roman"/>
          <w:b w:val="false"/>
          <w:i w:val="false"/>
          <w:caps w:val="false"/>
          <w:smallCaps w:val="false"/>
          <w:color w:val="000000"/>
          <w:spacing w:val="0"/>
          <w:sz w:val="20"/>
        </w:rPr>
        <w:t>BMA </w:t>
      </w:r>
      <w:r>
        <w:rPr>
          <w:rFonts w:ascii="times new roman;times" w:hAnsi="times new roman;times"/>
          <w:b w:val="false"/>
          <w:i w:val="false"/>
          <w:caps w:val="false"/>
          <w:smallCaps w:val="false"/>
          <w:color w:val="000000"/>
          <w:spacing w:val="0"/>
          <w:sz w:val="20"/>
        </w:rPr>
        <w:t>360 </w:t>
      </w:r>
      <w:r>
        <w:rPr>
          <w:rFonts w:ascii="Times New Roman" w:hAnsi="Times New Roman"/>
          <w:b w:val="false"/>
          <w:i w:val="false"/>
          <w:caps w:val="false"/>
          <w:smallCaps w:val="false"/>
          <w:color w:val="000000"/>
          <w:spacing w:val="0"/>
          <w:sz w:val="20"/>
        </w:rPr>
        <w:t>is the world’s first truly wideband, frequency invariant </w:t>
      </w:r>
      <w:r>
        <w:rPr>
          <w:rFonts w:ascii="times new roman;times" w:hAnsi="times new roman;times"/>
          <w:b w:val="false"/>
          <w:i w:val="false"/>
          <w:caps w:val="false"/>
          <w:smallCaps w:val="false"/>
          <w:color w:val="000000"/>
          <w:spacing w:val="0"/>
          <w:sz w:val="20"/>
        </w:rPr>
        <w:t>beamforming mic </w:t>
      </w:r>
      <w:r>
        <w:rPr>
          <w:rFonts w:ascii="Times New Roman" w:hAnsi="Times New Roman"/>
          <w:b w:val="false"/>
          <w:i w:val="false"/>
          <w:caps w:val="false"/>
          <w:smallCaps w:val="false"/>
          <w:color w:val="000000"/>
          <w:spacing w:val="0"/>
          <w:sz w:val="20"/>
        </w:rPr>
        <w:t>array with uniform gain response across all frequency bands. With </w:t>
      </w:r>
      <w:r>
        <w:rPr>
          <w:rFonts w:ascii="times new roman;times" w:hAnsi="times new roman;times"/>
          <w:b w:val="false"/>
          <w:i w:val="false"/>
          <w:caps w:val="false"/>
          <w:smallCaps w:val="false"/>
          <w:color w:val="000000"/>
          <w:spacing w:val="0"/>
          <w:sz w:val="20"/>
        </w:rPr>
        <w:t>FiBeam™ </w:t>
      </w:r>
      <w:r>
        <w:rPr>
          <w:rFonts w:ascii="Times New Roman" w:hAnsi="Times New Roman"/>
          <w:b w:val="false"/>
          <w:i w:val="false"/>
          <w:caps w:val="false"/>
          <w:smallCaps w:val="false"/>
          <w:color w:val="000000"/>
          <w:spacing w:val="0"/>
          <w:sz w:val="20"/>
        </w:rPr>
        <w:t>technology, conference participants will experience the ultimate in natural and full fidelity audio across all beams and within a single beam. Deep </w:t>
      </w:r>
      <w:r>
        <w:rPr>
          <w:rFonts w:ascii="times new roman;times" w:hAnsi="times new roman;times"/>
          <w:b w:val="false"/>
          <w:i w:val="false"/>
          <w:caps w:val="false"/>
          <w:smallCaps w:val="false"/>
          <w:color w:val="000000"/>
          <w:spacing w:val="0"/>
          <w:sz w:val="20"/>
        </w:rPr>
        <w:t>sidelobe beamforming</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DsBeam™</w:t>
      </w:r>
      <w:r>
        <w:rPr>
          <w:rFonts w:ascii="Times New Roman" w:hAnsi="Times New Roman"/>
          <w:b w:val="false"/>
          <w:i w:val="false"/>
          <w:caps w:val="false"/>
          <w:smallCaps w:val="false"/>
          <w:color w:val="000000"/>
          <w:spacing w:val="0"/>
          <w:sz w:val="20"/>
        </w:rPr>
        <w:t>, provides unparalleled maximum </w:t>
      </w:r>
      <w:r>
        <w:rPr>
          <w:rFonts w:ascii="times new roman;times" w:hAnsi="times new roman;times"/>
          <w:b w:val="false"/>
          <w:i w:val="false"/>
          <w:caps w:val="false"/>
          <w:smallCaps w:val="false"/>
          <w:color w:val="000000"/>
          <w:spacing w:val="0"/>
          <w:sz w:val="20"/>
        </w:rPr>
        <w:t>sidelobe </w:t>
      </w:r>
      <w:r>
        <w:rPr>
          <w:rFonts w:ascii="Times New Roman" w:hAnsi="Times New Roman"/>
          <w:b w:val="false"/>
          <w:i w:val="false"/>
          <w:caps w:val="false"/>
          <w:smallCaps w:val="false"/>
          <w:color w:val="000000"/>
          <w:spacing w:val="0"/>
          <w:sz w:val="20"/>
        </w:rPr>
        <w:t>depth, below -</w:t>
      </w:r>
      <w:r>
        <w:rPr>
          <w:rFonts w:ascii="times new roman;times" w:hAnsi="times new roman;times"/>
          <w:b w:val="false"/>
          <w:i w:val="false"/>
          <w:caps w:val="false"/>
          <w:smallCaps w:val="false"/>
          <w:color w:val="000000"/>
          <w:spacing w:val="0"/>
          <w:sz w:val="20"/>
        </w:rPr>
        <w:t>40 </w:t>
      </w:r>
      <w:r>
        <w:rPr>
          <w:rFonts w:ascii="Times New Roman" w:hAnsi="Times New Roman"/>
          <w:b w:val="false"/>
          <w:i w:val="false"/>
          <w:caps w:val="false"/>
          <w:smallCaps w:val="false"/>
          <w:color w:val="000000"/>
          <w:spacing w:val="0"/>
          <w:sz w:val="20"/>
        </w:rPr>
        <w:t>dB, resulting in superior rejection of reverberation and noise in difficult spaces for superb clarity and intelligibility. </w:t>
      </w:r>
    </w:p>
    <w:p>
      <w:pPr>
        <w:pStyle w:val="TextBody"/>
        <w:widowControl/>
        <w:spacing w:before="20" w:after="20"/>
        <w:ind w:left="0" w:right="0" w:hanging="0"/>
        <w:jc w:val="center"/>
        <w:rPr>
          <w:color w:val="000000"/>
          <w:sz w:val="20"/>
        </w:rPr>
      </w:pPr>
      <w:r>
        <w:rPr>
          <w:color w:val="000000"/>
          <w:sz w:val="20"/>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6</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rFonts w:ascii="Times New Roman" w:hAnsi="Times New Roman"/>
          <w:b/>
          <w:sz w:val="20"/>
        </w:rPr>
      </w:pPr>
      <w:r>
        <w:rPr>
          <w:rFonts w:ascii="Times New Roman" w:hAnsi="Times New Roman"/>
          <w:b/>
          <w:sz w:val="20"/>
        </w:rPr>
        <w:t>ITEM 1 - BUSINESS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The BMA 360 is based on a dramatically new approach to beamforming that provides a new beam topology to easily achieve distortion-free, full 360-degree coverage of any room shape and any seating arrangement using ClearOne Audio Intelligence™. Further advancements in adaptive steering (think of it as smart switching) provide impeccable coverage of each conference participant as well as support for camera tracking. In addition to the advancements in beamforming technology, the 6G Acoustic Echo Cancellation (AEC) delivers unmatched per-beam full-duplex audio performance. On-board audio algorithms, like noise reduction, filtering, and Automatic Level Control, eliminate the need for per-beam processing in a DSP mixer - requiring fewer DSP mixer resources. Finally, robust built-in amplifiers, configurable as 4 x 15 Watt or 2 x 30 Watt, provide flexibility for driving loudspeakers. ClearOne’s breakthrough technologies, FiBeam, DsBeam, and 6G AEC combine to create VividVoice™, a significant advancement for professional conferencing. The integrated features in the BMA 360 significantly reduce system design complexity, simplify installation, consume less rack space, and lower system cost. The BMA 360 also supports daisy-chaining of up to three ceiling tiles via P-Link for divisible rooms, or larger conference setups – for simpler wiring, longer distances, and lower-cost deployments compared to networked “home-run” connections via Ethernet. ClearOne’s BMA technology is protected by at least a dozen patents and pending patent applications.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t>Ceiling Microphone Array</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r>
        <w:rPr>
          <w:rFonts w:ascii="times new roman;times" w:hAnsi="times new roman;times"/>
          <w:sz w:val="20"/>
        </w:rPr>
        <w:t> </w:t>
      </w:r>
    </w:p>
    <w:p>
      <w:pPr>
        <w:pStyle w:val="TextBody"/>
        <w:spacing w:lineRule="auto" w:line="264" w:before="20" w:after="20"/>
        <w:ind w:left="0" w:right="0" w:hanging="0"/>
        <w:jc w:val="both"/>
        <w:rPr/>
      </w:pPr>
      <w:r>
        <w:rPr/>
        <w:t> </w:t>
      </w:r>
    </w:p>
    <w:p>
      <w:pPr>
        <w:pStyle w:val="TextBody"/>
        <w:widowControl/>
        <w:spacing w:before="20" w:after="2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product line was further strengthened in 2018 by the introduction of the Ceiling Microphone Array Analog-X series of ceiling microphones. These products feature superior sound quality, adjustability for desired height from 0 to 7 feet and numbered microphone elements for easy identification. This product line was further expanded with the introduction of Ceiling Microphone Array Dante, a tri-element ceiling microphone array with built-in Dante audio networking for conferencing and sound reinforcement applications. Each Ceiling Microphone Array Dante utilizes three premium quality microphone elements to deliver 360-degree room coverage for boardrooms, conference rooms, telemedicine facilities and more. Dante networking technology offers simple installation with CAT5 or CAT6 cabling, and delivers uncompressed, multi-channel audio with near-zero latency and sample accurate time synchronization throughout the network.</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left"/>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Wireless Microphones</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2013, ClearOne introduced WS800 Wireless Microphone Systems, including four new models of wireless microphones/transmitters (Tabletop/boundary, Gooseneck, Handheld, Bodypack) and a base-station receiver with either 4 or 8 channels, which connect to professional audio mixers. Since the Sabine acquisition in 2014, our portfolio of wireless microphone systems was enhanced by the introduction of digital compressed versions, Dante standard compatible versions and more frequency ranges catering to various international markets.</w:t>
      </w:r>
    </w:p>
    <w:p>
      <w:pPr>
        <w:pStyle w:val="TextBody"/>
        <w:widowControl/>
        <w:spacing w:lineRule="auto" w:line="264" w:before="20" w:after="2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rPr>
        <w:t>During 2017, we started shipping DIALOG</w:t>
      </w:r>
      <w:r>
        <w:rPr>
          <w:rFonts w:ascii="Times New Roman" w:hAnsi="Times New Roman"/>
          <w:b w:val="false"/>
          <w:i w:val="false"/>
          <w:caps w:val="false"/>
          <w:smallCaps w:val="false"/>
          <w:color w:val="000000"/>
          <w:spacing w:val="0"/>
          <w:sz w:val="17"/>
        </w:rPr>
        <w:t>®</w:t>
      </w:r>
      <w:r>
        <w:rPr>
          <w:rFonts w:ascii="Times New Roman" w:hAnsi="Times New Roman"/>
          <w:caps w:val="false"/>
          <w:smallCaps w:val="false"/>
          <w:color w:val="000000"/>
          <w:spacing w:val="0"/>
          <w:position w:val="7"/>
          <w:sz w:val="16"/>
          <w:sz w:val="20"/>
        </w:rPr>
        <w:t> </w:t>
      </w:r>
      <w:r>
        <w:rPr>
          <w:rFonts w:ascii="Times New Roman" w:hAnsi="Times New Roman"/>
          <w:b w:val="false"/>
          <w:i w:val="false"/>
          <w:caps w:val="false"/>
          <w:smallCaps w:val="false"/>
          <w:color w:val="000000"/>
          <w:spacing w:val="0"/>
          <w:sz w:val="20"/>
        </w:rPr>
        <w:t>20, the two-channel wireless microphone system. Leveraging the full power of </w:t>
      </w:r>
      <w:r>
        <w:rPr>
          <w:rFonts w:ascii="Times New Roman" w:hAnsi="Times New Roman"/>
          <w:sz w:val="20"/>
        </w:rPr>
        <w:t>ClearOne's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robust, adaptive frequency-hopping "spread" spectrum technology within the 2.4 GHz unlicensed spectrum, DIALOG 20 has several advantages over fixed-frequency transmission. DIALOG 20 incorporates flexible features and multiple options usually available only in much larger systems. While DIALOG 20 works seamlessly with all commercially available mixers, it boasts additional features when natively interfacing with our new CONVERGE Pro 2 or new Beamforming Microphone Array 2.</w:t>
      </w:r>
    </w:p>
    <w:p>
      <w:pPr>
        <w:pStyle w:val="TextBody"/>
        <w:widowControl/>
        <w:spacing w:lineRule="auto" w:line="264" w:before="20" w:after="2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20" w:after="20"/>
        <w:ind w:left="0" w:right="0" w:hanging="0"/>
        <w:jc w:val="center"/>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VIDEO</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video products include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video collaboration and AV networking products. Our video products contributed 30.9%</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18.4% of our consolidated revenue in 2020 and 2019, respectively.</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Video Collaboration</w:t>
      </w:r>
      <w:r>
        <w:rPr>
          <w:rFonts w:ascii="Times New Roman" w:hAnsi="Times New Roman"/>
          <w:b w:val="false"/>
          <w:i w:val="false"/>
          <w:caps w:val="false"/>
          <w:smallCaps w:val="false"/>
          <w:color w:val="000000"/>
          <w:spacing w:val="0"/>
          <w:sz w:val="20"/>
        </w:rPr>
        <w:t>:</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Media Collaboration suite of products is led by our comprehensive portfolio of industry-leading</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COLLABORATE® branded videoconferencing and collaboration solutions.</w:t>
      </w:r>
      <w:r>
        <w:rPr>
          <w:rFonts w:ascii="times new roman;times" w:hAnsi="times new roman;times"/>
          <w:b w:val="false"/>
          <w:i w:val="false"/>
          <w:caps w:val="false"/>
          <w:smallCaps w:val="false"/>
          <w:color w:val="000000"/>
          <w:spacing w:val="0"/>
          <w:sz w:val="20"/>
        </w:rPr>
        <w:t> </w:t>
      </w:r>
    </w:p>
    <w:p>
      <w:pPr>
        <w:pStyle w:val="TextBody"/>
        <w:spacing w:lineRule="auto" w:line="264" w:before="20" w:after="20"/>
        <w:ind w:left="0" w:right="0" w:hanging="0"/>
        <w:jc w:val="both"/>
        <w:rPr/>
      </w:pPr>
      <w:r>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7</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rFonts w:ascii="Times New Roman" w:hAnsi="Times New Roman"/>
          <w:b/>
          <w:sz w:val="20"/>
        </w:rPr>
      </w:pPr>
      <w:r>
        <w:rPr>
          <w:rFonts w:ascii="Times New Roman" w:hAnsi="Times New Roman"/>
          <w:b/>
          <w:sz w:val="20"/>
        </w:rPr>
        <w:t>ITEM 1 - BUSINESS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COLLABORATE Live 300 includes a free 90-day COLLABORATE Space web conferencing subscription, a Skype for Business client, SIP/H.323 video conferencing, wireless presentation and interactive whiteboard capabilities — along with one CHAT 150 speakerphone and one UNITE 150 PTZ camera with 1080p30, 12x optical zoom.</w:t>
      </w:r>
      <w:r>
        <w:rPr>
          <w:rFonts w:ascii="times new roman;times" w:hAnsi="times new roman;times"/>
          <w:sz w:val="20"/>
        </w:rPr>
        <w:t xml:space="preserve"> </w:t>
      </w:r>
      <w:r>
        <w:rPr>
          <w:rFonts w:ascii="Times New Roman" w:hAnsi="Times New Roman"/>
          <w:sz w:val="20"/>
        </w:rPr>
        <w:t>COLLABORATE Live 300 succeeded COLLABORATE Pro 300, which</w:t>
      </w:r>
      <w:r>
        <w:rPr>
          <w:rFonts w:ascii="times new roman;times" w:hAnsi="times new roman;times"/>
          <w:sz w:val="20"/>
        </w:rPr>
        <w:t xml:space="preserve"> </w:t>
      </w:r>
      <w:r>
        <w:rPr>
          <w:rFonts w:ascii="Times New Roman" w:hAnsi="Times New Roman"/>
          <w:sz w:val="20"/>
        </w:rPr>
        <w:t>included</w:t>
      </w:r>
      <w:r>
        <w:rPr>
          <w:rFonts w:ascii="times new roman;times" w:hAnsi="times new roman;times"/>
          <w:sz w:val="20"/>
        </w:rPr>
        <w:t xml:space="preserve"> </w:t>
      </w:r>
      <w:r>
        <w:rPr>
          <w:rFonts w:ascii="Times New Roman" w:hAnsi="Times New Roman"/>
          <w:sz w:val="20"/>
        </w:rPr>
        <w:t>video appliance, UNITE</w:t>
      </w:r>
      <w:r>
        <w:rPr>
          <w:rFonts w:ascii="Times New Roman" w:hAnsi="Times New Roman"/>
          <w:position w:val="6"/>
          <w:sz w:val="13"/>
          <w:sz w:val="17"/>
        </w:rPr>
        <w:t>®</w:t>
      </w:r>
      <w:r>
        <w:rPr>
          <w:rFonts w:ascii="times new roman;times" w:hAnsi="times new roman;times"/>
          <w:sz w:val="20"/>
        </w:rPr>
        <w:t xml:space="preserve"> </w:t>
      </w:r>
      <w:r>
        <w:rPr>
          <w:rFonts w:ascii="Times New Roman" w:hAnsi="Times New Roman"/>
          <w:sz w:val="20"/>
        </w:rPr>
        <w:t>150 camera, CHAT</w:t>
      </w:r>
      <w:r>
        <w:rPr>
          <w:rFonts w:ascii="Times New Roman" w:hAnsi="Times New Roman"/>
          <w:position w:val="6"/>
          <w:sz w:val="13"/>
          <w:sz w:val="17"/>
        </w:rPr>
        <w:t>®</w:t>
      </w:r>
      <w:r>
        <w:rPr>
          <w:rFonts w:ascii="times new roman;times" w:hAnsi="times new roman;times"/>
          <w:sz w:val="20"/>
        </w:rPr>
        <w:t xml:space="preserve"> </w:t>
      </w:r>
      <w:r>
        <w:rPr>
          <w:rFonts w:ascii="Times New Roman" w:hAnsi="Times New Roman"/>
          <w:sz w:val="20"/>
        </w:rPr>
        <w:t>150C speakerphone and 90-days subscription to Spontania</w:t>
      </w:r>
      <w:r>
        <w:rPr>
          <w:rFonts w:ascii="times new roman;times" w:hAnsi="times new roman;times"/>
          <w:sz w:val="20"/>
        </w:rPr>
        <w:t xml:space="preserve"> </w:t>
      </w:r>
      <w:r>
        <w:rPr>
          <w:rFonts w:ascii="Times New Roman" w:hAnsi="Times New Roman"/>
          <w:sz w:val="20"/>
        </w:rPr>
        <w:t>cloud video, audio and web conferencing, SIP/H.323 video conferencing, in-room wireless presentation and optional Skype</w:t>
      </w:r>
      <w:r>
        <w:rPr>
          <w:rFonts w:ascii="Times New Roman" w:hAnsi="Times New Roman"/>
          <w:position w:val="6"/>
          <w:sz w:val="13"/>
          <w:sz w:val="17"/>
        </w:rPr>
        <w:t>®</w:t>
      </w:r>
      <w:r>
        <w:rPr>
          <w:rFonts w:ascii="times new roman;times" w:hAnsi="times new roman;times"/>
          <w:sz w:val="20"/>
        </w:rPr>
        <w:t xml:space="preserve"> </w:t>
      </w:r>
      <w:r>
        <w:rPr>
          <w:rFonts w:ascii="Times New Roman" w:hAnsi="Times New Roman"/>
          <w:sz w:val="20"/>
        </w:rPr>
        <w:t xml:space="preserve">for Business native integration. </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COLLABORATE Live 600 is a video collaboration system that delivers crystal-clear, full-duplex audio for medium-sized conference room environments.  It offers the same suite of built-in video conferencing capabilities, the UNITE 200 PTZ camera, an ultra-friendly user interface, and a 90-day free COLLABORATE Space trial subscription. For audio, the system features two ClearOne</w:t>
      </w:r>
      <w:r>
        <w:rPr>
          <w:rFonts w:ascii="times new roman;times" w:hAnsi="times new roman;times"/>
          <w:sz w:val="20"/>
        </w:rPr>
        <w:t xml:space="preserve"> </w:t>
      </w:r>
      <w:r>
        <w:rPr>
          <w:rFonts w:ascii="Times New Roman" w:hAnsi="Times New Roman"/>
          <w:sz w:val="20"/>
        </w:rPr>
        <w:t>CHAT</w:t>
      </w:r>
      <w:r>
        <w:rPr>
          <w:rFonts w:ascii="Times New Roman" w:hAnsi="Times New Roman"/>
          <w:position w:val="7"/>
          <w:sz w:val="16"/>
          <w:sz w:val="20"/>
        </w:rPr>
        <w:t>®</w:t>
      </w:r>
      <w:r>
        <w:rPr>
          <w:rFonts w:ascii="Times New Roman" w:hAnsi="Times New Roman"/>
          <w:sz w:val="20"/>
        </w:rPr>
        <w:t xml:space="preserve"> 150 speakerphones that daisy chain with CHATAttach</w:t>
      </w:r>
      <w:r>
        <w:rPr>
          <w:rFonts w:ascii="Times New Roman" w:hAnsi="Times New Roman"/>
          <w:position w:val="7"/>
          <w:sz w:val="16"/>
          <w:sz w:val="20"/>
        </w:rPr>
        <w:t>®</w:t>
      </w:r>
      <w:r>
        <w:rPr>
          <w:rFonts w:ascii="Times New Roman" w:hAnsi="Times New Roman"/>
          <w:sz w:val="20"/>
        </w:rPr>
        <w:t xml:space="preserve"> for crystal-clear audio quality. COLLABORATE Live 600 succeeded COLLABORATE Pro 600, which</w:t>
      </w:r>
      <w:r>
        <w:rPr>
          <w:rFonts w:ascii="times new roman;times" w:hAnsi="times new roman;times"/>
          <w:sz w:val="20"/>
        </w:rPr>
        <w:t xml:space="preserve"> </w:t>
      </w:r>
      <w:r>
        <w:rPr>
          <w:rFonts w:ascii="Times New Roman" w:hAnsi="Times New Roman"/>
          <w:sz w:val="20"/>
        </w:rPr>
        <w:t>included</w:t>
      </w:r>
      <w:r>
        <w:rPr>
          <w:rFonts w:ascii="times new roman;times" w:hAnsi="times new roman;times"/>
          <w:sz w:val="20"/>
        </w:rPr>
        <w:t xml:space="preserve"> </w:t>
      </w:r>
      <w:r>
        <w:rPr>
          <w:rFonts w:ascii="Times New Roman" w:hAnsi="Times New Roman"/>
          <w:sz w:val="20"/>
        </w:rPr>
        <w:t>video appliance, UNITE 200 camera, CHATAttach</w:t>
      </w:r>
      <w:r>
        <w:rPr>
          <w:rFonts w:ascii="Times New Roman" w:hAnsi="Times New Roman"/>
          <w:position w:val="6"/>
          <w:sz w:val="13"/>
          <w:sz w:val="17"/>
        </w:rPr>
        <w:t>®</w:t>
      </w:r>
      <w:r>
        <w:rPr>
          <w:rFonts w:ascii="times new roman;times" w:hAnsi="times new roman;times"/>
          <w:sz w:val="20"/>
        </w:rPr>
        <w:t xml:space="preserve"> </w:t>
      </w:r>
      <w:r>
        <w:rPr>
          <w:rFonts w:ascii="Times New Roman" w:hAnsi="Times New Roman"/>
          <w:sz w:val="20"/>
        </w:rPr>
        <w:t>150 speakerphones, and 90-days subscription to Spontania</w:t>
      </w:r>
      <w:r>
        <w:rPr>
          <w:rFonts w:ascii="times new roman;times" w:hAnsi="times new roman;times"/>
          <w:sz w:val="20"/>
        </w:rPr>
        <w:t xml:space="preserve"> </w:t>
      </w:r>
      <w:r>
        <w:rPr>
          <w:rFonts w:ascii="Times New Roman" w:hAnsi="Times New Roman"/>
          <w:sz w:val="20"/>
        </w:rPr>
        <w:t>cloud video, audio and web conferencing, SIP/H.323 video conferencing with 4-way built-in MCU, in-room wireless presentation, optional Skype for Business native integration, capture recording and streaming. This solution is targeted at medium-size rooms.</w:t>
      </w:r>
    </w:p>
    <w:p>
      <w:pPr>
        <w:pStyle w:val="TextBody"/>
        <w:spacing w:lineRule="auto" w:line="264" w:before="20" w:after="20"/>
        <w:ind w:left="0" w:right="0" w:hanging="0"/>
        <w:jc w:val="both"/>
        <w:rPr/>
      </w:pPr>
      <w:r>
        <w:rPr/>
        <w:t> </w:t>
      </w:r>
    </w:p>
    <w:p>
      <w:pPr>
        <w:pStyle w:val="TextBody"/>
        <w:widowControl/>
        <w:spacing w:lineRule="auto" w:line="264" w:before="20" w:after="20"/>
        <w:ind w:left="0" w:right="0" w:hanging="0"/>
        <w:jc w:val="both"/>
        <w:rPr>
          <w:rFonts w:ascii="times new roman;times" w:hAnsi="times new roman;times"/>
          <w:sz w:val="20"/>
        </w:rPr>
      </w:pPr>
      <w:r>
        <w:rPr>
          <w:rFonts w:ascii="Times New Roman" w:hAnsi="Times New Roman"/>
          <w:sz w:val="20"/>
        </w:rPr>
        <w:t>For large-sized boardrooms, auditoriums, conference rooms, lecture halls, courtrooms, training centers and telemedicine facilities, COLLABORATE Live 900 delivers a complete professional quality collaboration system solution featuring a powerful combination of video components integrated with the most advanced audio DSP technology for the richest possible large meeting room collaboration experience.</w:t>
      </w:r>
      <w:r>
        <w:rPr>
          <w:rFonts w:ascii="times new roman;times" w:hAnsi="times new roman;times"/>
          <w:sz w:val="20"/>
        </w:rPr>
        <w:t xml:space="preserve"> </w:t>
      </w:r>
      <w:r>
        <w:rPr>
          <w:rFonts w:ascii="Times New Roman" w:hAnsi="Times New Roman"/>
          <w:sz w:val="20"/>
        </w:rPr>
        <w:t>COLLABORATE 900 features a suite of built-in video conferencing capabilities including a Skype</w:t>
      </w:r>
      <w:r>
        <w:rPr>
          <w:rFonts w:ascii="Times New Roman" w:hAnsi="Times New Roman"/>
          <w:b w:val="false"/>
          <w:i w:val="false"/>
          <w:caps w:val="false"/>
          <w:smallCaps w:val="false"/>
          <w:color w:val="000000"/>
          <w:spacing w:val="0"/>
          <w:position w:val="7"/>
          <w:sz w:val="16"/>
          <w:sz w:val="20"/>
        </w:rPr>
        <w:t>®</w:t>
      </w:r>
      <w:r>
        <w:rPr>
          <w:rFonts w:ascii="Times New Roman" w:hAnsi="Times New Roman"/>
          <w:sz w:val="20"/>
        </w:rPr>
        <w:t> for Business client, SIP/H.323 video conferencing, wireless presentation, interactive whiteboard, recording and streaming and a user interface that’s as simple and familiar as the interface found on a tablet or mobile device. It also includes a CONVERGE</w:t>
      </w:r>
      <w:r>
        <w:rPr>
          <w:rFonts w:ascii="Times New Roman" w:hAnsi="Times New Roman"/>
          <w:position w:val="7"/>
          <w:sz w:val="16"/>
          <w:sz w:val="20"/>
        </w:rPr>
        <w:t>®</w:t>
      </w:r>
      <w:r>
        <w:rPr>
          <w:rFonts w:ascii="Times New Roman" w:hAnsi="Times New Roman"/>
          <w:sz w:val="20"/>
        </w:rPr>
        <w:t xml:space="preserve"> Pro 2 DSP mixer, the industry’s most advanced audio processor and ClearOne’s</w:t>
      </w:r>
      <w:r>
        <w:rPr>
          <w:rFonts w:ascii="times new roman;times" w:hAnsi="times new roman;times"/>
          <w:sz w:val="20"/>
        </w:rPr>
        <w:t xml:space="preserve"> </w:t>
      </w:r>
      <w:r>
        <w:rPr>
          <w:rFonts w:ascii="Times New Roman" w:hAnsi="Times New Roman"/>
          <w:sz w:val="20"/>
        </w:rPr>
        <w:t>Beamforming Microphone Array 2, which features adaptive steering technology (think of it as smart switching) to provide unsurpassed audio pick-up coverage of an entire room.  For high-quality video capture of all participants in the room, the COLLABORATE Live 900 comes with the UNITE® 200 PTZ 1080p60 camera with 12x optical zoom. The system also includes a 90-day free trial of the ClearOne</w:t>
      </w:r>
      <w:r>
        <w:rPr>
          <w:rFonts w:ascii="times new roman;times" w:hAnsi="times new roman;times"/>
          <w:sz w:val="20"/>
        </w:rPr>
        <w:t xml:space="preserve"> </w:t>
      </w:r>
      <w:r>
        <w:rPr>
          <w:rFonts w:ascii="Times New Roman" w:hAnsi="Times New Roman"/>
          <w:sz w:val="20"/>
        </w:rPr>
        <w:t>COLLABORATE Space cloud-based video conferencing application. COLLABORATE Live 900 succeeded COLLABORATE Pro 900, which included</w:t>
      </w:r>
      <w:r>
        <w:rPr>
          <w:rFonts w:ascii="times new roman;times" w:hAnsi="times new roman;times"/>
          <w:sz w:val="20"/>
        </w:rPr>
        <w:t xml:space="preserve"> </w:t>
      </w:r>
      <w:r>
        <w:rPr>
          <w:rFonts w:ascii="Times New Roman" w:hAnsi="Times New Roman"/>
          <w:sz w:val="20"/>
        </w:rPr>
        <w:t>video appliance, UNITE 200 camera, CONVERGE</w:t>
      </w:r>
      <w:r>
        <w:rPr>
          <w:rFonts w:ascii="Times New Roman" w:hAnsi="Times New Roman"/>
          <w:position w:val="6"/>
          <w:sz w:val="13"/>
          <w:sz w:val="17"/>
        </w:rPr>
        <w:t>®</w:t>
      </w:r>
      <w:r>
        <w:rPr>
          <w:rFonts w:ascii="times new roman;times" w:hAnsi="times new roman;times"/>
          <w:sz w:val="20"/>
        </w:rPr>
        <w:t xml:space="preserve"> </w:t>
      </w:r>
      <w:r>
        <w:rPr>
          <w:rFonts w:ascii="Times New Roman" w:hAnsi="Times New Roman"/>
          <w:sz w:val="20"/>
        </w:rPr>
        <w:t>Pro installed audio endpoint, Beamforming Microphone Array and 90-days subscription to Spontania</w:t>
      </w:r>
      <w:r>
        <w:rPr>
          <w:rFonts w:ascii="times new roman;times" w:hAnsi="times new roman;times"/>
          <w:sz w:val="20"/>
        </w:rPr>
        <w:t xml:space="preserve"> </w:t>
      </w:r>
      <w:r>
        <w:rPr>
          <w:rFonts w:ascii="Times New Roman" w:hAnsi="Times New Roman"/>
          <w:sz w:val="20"/>
        </w:rPr>
        <w:t>cloud video, audio and web conferencing, SIP/H.323 video conferencing with 4-way built-in MCU, multi-user in-room wireless presentation, optional Skype for Business native integration, capture recording and streaming. This solution is targeted at medium and large-size rooms.</w:t>
      </w:r>
    </w:p>
    <w:p>
      <w:pPr>
        <w:pStyle w:val="TextBody"/>
        <w:spacing w:lineRule="auto" w:line="264" w:before="20" w:after="20"/>
        <w:ind w:left="0" w:right="0" w:hanging="0"/>
        <w:jc w:val="both"/>
        <w:rPr/>
      </w:pPr>
      <w:r>
        <w:rPr/>
        <w:t> </w:t>
      </w:r>
    </w:p>
    <w:p>
      <w:pPr>
        <w:pStyle w:val="TextBody"/>
        <w:widowControl/>
        <w:spacing w:lineRule="auto" w:line="264" w:before="20" w:after="20"/>
        <w:ind w:left="0" w:right="0" w:hanging="0"/>
        <w:jc w:val="both"/>
        <w:rPr>
          <w:rFonts w:ascii="times new roman;times" w:hAnsi="times new roman;times"/>
          <w:sz w:val="20"/>
        </w:rPr>
      </w:pPr>
      <w:r>
        <w:rPr>
          <w:rFonts w:ascii="Times New Roman" w:hAnsi="Times New Roman"/>
          <w:sz w:val="20"/>
        </w:rPr>
        <w:t>COLLABORATE Live 1000 includes ClearOne’s</w:t>
      </w:r>
      <w:r>
        <w:rPr>
          <w:rFonts w:ascii="times new roman;times" w:hAnsi="times new roman;times"/>
          <w:sz w:val="20"/>
        </w:rPr>
        <w:t xml:space="preserve"> </w:t>
      </w:r>
      <w:r>
        <w:rPr>
          <w:rFonts w:ascii="Times New Roman" w:hAnsi="Times New Roman"/>
          <w:sz w:val="20"/>
        </w:rPr>
        <w:t>newest beamforming microphone product, the Beamforming Microphone Array Ceiling Tile (BMA CT). COLLABORATE Live 1000 also includes COLLABORATE Space cloud conferencing, Skype</w:t>
      </w:r>
      <w:r>
        <w:rPr>
          <w:rFonts w:ascii="Times New Roman" w:hAnsi="Times New Roman"/>
          <w:b w:val="false"/>
          <w:i w:val="false"/>
          <w:caps w:val="false"/>
          <w:smallCaps w:val="false"/>
          <w:color w:val="000000"/>
          <w:spacing w:val="0"/>
          <w:position w:val="7"/>
          <w:sz w:val="16"/>
          <w:sz w:val="20"/>
        </w:rPr>
        <w:t>®</w:t>
      </w:r>
      <w:r>
        <w:rPr>
          <w:rFonts w:ascii="Times New Roman" w:hAnsi="Times New Roman"/>
          <w:sz w:val="20"/>
        </w:rPr>
        <w:t> for Business client, SIP/H.323 video conferencing, wireless presentation, interactive whiteboard, recording, and streaming.</w:t>
      </w:r>
      <w:r>
        <w:rPr>
          <w:rFonts w:ascii="times new roman;times" w:hAnsi="times new roman;times"/>
          <w:sz w:val="20"/>
        </w:rPr>
        <w:t xml:space="preserve"> </w:t>
      </w:r>
      <w:r>
        <w:rPr>
          <w:rFonts w:ascii="Times New Roman" w:hAnsi="Times New Roman"/>
          <w:sz w:val="20"/>
        </w:rPr>
        <w:t>The system comes complete with the CONVERGE Pro 2 48VT DSP mixer, the industry’s most advanced audio processor, and a user interface that’s as simple and familiar as that found on a tablet or mobile device. A UNITE</w:t>
      </w:r>
      <w:r>
        <w:rPr>
          <w:rFonts w:ascii="Times New Roman" w:hAnsi="Times New Roman"/>
          <w:position w:val="7"/>
          <w:sz w:val="16"/>
          <w:sz w:val="20"/>
        </w:rPr>
        <w:t>®</w:t>
      </w:r>
      <w:r>
        <w:rPr>
          <w:rFonts w:ascii="Times New Roman" w:hAnsi="Times New Roman"/>
          <w:sz w:val="20"/>
        </w:rPr>
        <w:t xml:space="preserve"> 200 PTZ 1080p60 camera with 12x optical zoom ensures high-quality capture of all room participants.</w:t>
      </w:r>
      <w:r>
        <w:rPr>
          <w:rFonts w:ascii="times new roman;times" w:hAnsi="times new roman;times"/>
          <w:sz w:val="20"/>
        </w:rPr>
        <w:t xml:space="preserve"> </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Rounding out ClearOne’s</w:t>
      </w:r>
      <w:r>
        <w:rPr>
          <w:rFonts w:ascii="times new roman;times" w:hAnsi="times new roman;times"/>
          <w:sz w:val="20"/>
        </w:rPr>
        <w:t xml:space="preserve"> </w:t>
      </w:r>
      <w:r>
        <w:rPr>
          <w:rFonts w:ascii="Times New Roman" w:hAnsi="Times New Roman"/>
          <w:sz w:val="20"/>
        </w:rPr>
        <w:t>new COLLABORATE Live product line is COLLABORATE Live 200, a new video collaboration system with ultra-wide angle</w:t>
      </w:r>
      <w:r>
        <w:rPr>
          <w:rFonts w:ascii="times new roman;times" w:hAnsi="times new roman;times"/>
          <w:sz w:val="20"/>
        </w:rPr>
        <w:t xml:space="preserve"> </w:t>
      </w:r>
      <w:r>
        <w:rPr>
          <w:rFonts w:ascii="Times New Roman" w:hAnsi="Times New Roman"/>
          <w:sz w:val="20"/>
        </w:rPr>
        <w:t>video capture, which is critical for viewing all conference participants in huddle spaces and smaller room environments. Designed specifically to meet huddle space budgets, COLLABORATE Live 200 features the UNITE 50 EPTZ 1080p30 camera with 3x digital zoom and a 120-degree wide-angle field of view. Other features are similar to</w:t>
      </w:r>
      <w:r>
        <w:rPr>
          <w:rFonts w:ascii="times new roman;times" w:hAnsi="times new roman;times"/>
          <w:sz w:val="20"/>
        </w:rPr>
        <w:t xml:space="preserve"> </w:t>
      </w:r>
      <w:r>
        <w:rPr>
          <w:rFonts w:ascii="Times New Roman" w:hAnsi="Times New Roman"/>
          <w:sz w:val="20"/>
        </w:rPr>
        <w:t>those found in the COLLABORATE Live 300 system, including the free 90-day COLLABORATE Space subscription.</w:t>
      </w:r>
      <w:r>
        <w:rPr>
          <w:rFonts w:ascii="times new roman;times" w:hAnsi="times new roman;times"/>
          <w:sz w:val="20"/>
        </w:rPr>
        <w:t> </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Our Media Collaboration series also include COLLABORATE Space, a suite of solutions that unifies messaging, calls, meetings and, perhaps most importantly, minds in a way that will energize workflows and increase productivity for everyone involved in the enterprise.</w:t>
      </w:r>
      <w:r>
        <w:rPr>
          <w:rFonts w:ascii="times new roman;times" w:hAnsi="times new roman;times"/>
          <w:sz w:val="20"/>
        </w:rPr>
        <w:t xml:space="preserve"> </w:t>
      </w:r>
      <w:r>
        <w:rPr>
          <w:rFonts w:ascii="Times New Roman" w:hAnsi="Times New Roman"/>
          <w:sz w:val="20"/>
        </w:rPr>
        <w:t>Designed as a persistent, user-friendly collaboration suite, COLLABORATE Space contains many powerful UCC capabilities, as well as the seamless ability to make calls outside the network. By adding phone credits on the account, customers can reach anyone in the world on a standard landline or mobile phone with the system’s integrated phone dialer.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center"/>
        <w:rPr/>
      </w:pPr>
      <w:r>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8</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before="0" w:after="0"/>
        <w:jc w:val="center"/>
        <w:rPr>
          <w:rFonts w:ascii="times new roman;times" w:hAnsi="times new roman;times"/>
          <w:sz w:val="20"/>
        </w:rPr>
      </w:pPr>
      <w:r>
        <w:rPr>
          <w:rFonts w:ascii="Times New Roman" w:hAnsi="Times New Roman"/>
          <w:b/>
          <w:sz w:val="20"/>
        </w:rPr>
        <w:t>ITEM 1 - BUSINESS</w:t>
      </w:r>
      <w:r>
        <w:rPr>
          <w:rFonts w:ascii="times new roman;times" w:hAnsi="times new roman;times"/>
          <w:sz w:val="20"/>
        </w:rPr>
        <w:t xml:space="preserve">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 Team members wishing to move from email can also create searchable private and public channels, organized by topic, which can be accessed from anywhere. They can also search, access and store agendas, notes, messages, documents, whiteboards, session recordings, and more.  Finally, COLLABORATE Space runs on any device, from desktop to mobile, and on any standards-based video endpoint.</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COLLABORATE Space Enterprise has all the functionality people have come to expect from a full-featured cloud collaboration app, with the increased security and full, enterprise control associated with on-premise platforms. In addition to “Enterprise” platform, COLLABORATE Space is available in cloud-based “Basic” and “Pro” versions.</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COLLABORATE Space was preceded by Spontania</w:t>
      </w:r>
      <w:r>
        <w:rPr>
          <w:rFonts w:ascii="times new roman;times" w:hAnsi="times new roman;times"/>
          <w:sz w:val="20"/>
        </w:rPr>
        <w:t xml:space="preserve"> </w:t>
      </w:r>
      <w:r>
        <w:rPr>
          <w:rFonts w:ascii="Times New Roman" w:hAnsi="Times New Roman"/>
          <w:sz w:val="20"/>
        </w:rPr>
        <w:t>cloud video, audio and web conferencing service that can be deployed on-premises or in the cloud. Spontania</w:t>
      </w:r>
      <w:r>
        <w:rPr>
          <w:rFonts w:ascii="times new roman;times" w:hAnsi="times new roman;times"/>
          <w:sz w:val="20"/>
        </w:rPr>
        <w:t xml:space="preserve"> </w:t>
      </w:r>
      <w:r>
        <w:rPr>
          <w:rFonts w:ascii="Times New Roman" w:hAnsi="Times New Roman"/>
          <w:sz w:val="20"/>
        </w:rPr>
        <w:t>offered</w:t>
      </w:r>
      <w:r>
        <w:rPr>
          <w:rFonts w:ascii="times new roman;times" w:hAnsi="times new roman;times"/>
          <w:sz w:val="20"/>
        </w:rPr>
        <w:t xml:space="preserve"> </w:t>
      </w:r>
      <w:r>
        <w:rPr>
          <w:rFonts w:ascii="Times New Roman" w:hAnsi="Times New Roman"/>
          <w:sz w:val="20"/>
        </w:rPr>
        <w:t>all sorts of collaboration tools such as screen sharing, application sharing, whiteboard, annotation over presentation, recording, hand-raise and chat. The service is targeted for any workspace including mobile, desktop and rooms of any size; and multiple use cases including meetings, classrooms and training sessions.</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widowControl/>
        <w:spacing w:lineRule="auto" w:line="264" w:before="20" w:after="20"/>
        <w:ind w:left="0" w:right="0" w:hanging="0"/>
        <w:jc w:val="both"/>
        <w:rPr>
          <w:rFonts w:ascii="times new roman;times" w:hAnsi="times new roman;times"/>
          <w:sz w:val="20"/>
        </w:rPr>
      </w:pPr>
      <w:r>
        <w:rPr>
          <w:rFonts w:ascii="Times New Roman;serif" w:hAnsi="Times New Roman;serif"/>
          <w:color w:val="000000"/>
          <w:sz w:val="20"/>
        </w:rPr>
        <w:t>COLLABORATE Space, our powerful cloud-based collaboration solution, added two new valuable features in 2020 - webinar hosting and Web RTC. COLLABORATE Space Pro and Enterprise meeting plans can be upgraded to include the new Webinar feature allowing session hosts to conduct video and audio presentations for up to 1000 participants. The new Web RTC feature works with all popular browsers including Microsoft Edge, Google Chrome, Safari and Mozilla Firefox. The new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 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w:t>
      </w:r>
      <w:r>
        <w:rPr>
          <w:rFonts w:ascii="Times New Roman" w:hAnsi="Times New Roman"/>
          <w:sz w:val="20"/>
        </w:rPr>
        <w:t xml:space="preserve"> Bring your own video and web conferencing – COLLABORATE Versa series offer a USB PTZ camera, a speakerphone and a central hub that connects the laptop to the meeting room peripherals via single USB 3.0 connectivity. COLLABORATE Versa, compatible with Cisco WebEx</w:t>
      </w:r>
      <w:r>
        <w:rPr>
          <w:rFonts w:ascii="Times New Roman" w:hAnsi="Times New Roman"/>
          <w:b w:val="false"/>
          <w:i w:val="false"/>
          <w:caps w:val="false"/>
          <w:smallCaps w:val="false"/>
          <w:color w:val="000000"/>
          <w:spacing w:val="0"/>
          <w:sz w:val="20"/>
        </w:rPr>
        <w:t>®</w:t>
      </w:r>
      <w:r>
        <w:rPr>
          <w:rFonts w:ascii="Times New Roman" w:hAnsi="Times New Roman"/>
          <w:sz w:val="20"/>
        </w:rPr>
        <w:t>, Google Hangouts</w:t>
      </w:r>
      <w:r>
        <w:rPr>
          <w:rFonts w:ascii="Times New Roman" w:hAnsi="Times New Roman"/>
          <w:b w:val="false"/>
          <w:i w:val="false"/>
          <w:caps w:val="false"/>
          <w:smallCaps w:val="false"/>
          <w:color w:val="000000"/>
          <w:spacing w:val="0"/>
          <w:sz w:val="20"/>
        </w:rPr>
        <w:t>®</w:t>
      </w:r>
      <w:r>
        <w:rPr>
          <w:rFonts w:ascii="Times New Roman" w:hAnsi="Times New Roman"/>
          <w:sz w:val="20"/>
        </w:rPr>
        <w:t>, Microsoft Skype for Business</w:t>
      </w:r>
      <w:r>
        <w:rPr>
          <w:rFonts w:ascii="Times New Roman" w:hAnsi="Times New Roman"/>
          <w:b w:val="false"/>
          <w:i w:val="false"/>
          <w:caps w:val="false"/>
          <w:smallCaps w:val="false"/>
          <w:color w:val="000000"/>
          <w:spacing w:val="0"/>
          <w:sz w:val="20"/>
        </w:rPr>
        <w:t>®</w:t>
      </w:r>
      <w:r>
        <w:rPr>
          <w:rFonts w:ascii="Times New Roman" w:hAnsi="Times New Roman"/>
          <w:sz w:val="20"/>
        </w:rPr>
        <w:t xml:space="preserve"> and more, is also bundled with 90-days subscription of Spontania</w:t>
      </w:r>
      <w:r>
        <w:rPr>
          <w:rFonts w:ascii="times new roman;times" w:hAnsi="times new roman;times"/>
          <w:sz w:val="20"/>
        </w:rPr>
        <w:t xml:space="preserve"> </w:t>
      </w:r>
      <w:r>
        <w:rPr>
          <w:rFonts w:ascii="Times New Roman" w:hAnsi="Times New Roman"/>
          <w:sz w:val="20"/>
        </w:rPr>
        <w:t>cloud video, audio and web conferencing. This solution is targeted at huddle spaces and medium conference rooms.</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COLLABORATE Versa 50 features a ClearOne</w:t>
      </w:r>
      <w:r>
        <w:rPr>
          <w:rFonts w:ascii="times new roman;times" w:hAnsi="times new roman;times"/>
          <w:sz w:val="20"/>
        </w:rPr>
        <w:t xml:space="preserve"> </w:t>
      </w:r>
      <w:r>
        <w:rPr>
          <w:rFonts w:ascii="Times New Roman" w:hAnsi="Times New Roman"/>
          <w:sz w:val="20"/>
        </w:rPr>
        <w:t>UNITE® 50 EPTZ 3x zoom 1080p30 camera to capture all participants in the room; a central hub for connecting to dual displays, cameras, audio endpoints, networks and other peripherals; a CHAT</w:t>
      </w:r>
      <w:r>
        <w:rPr>
          <w:rFonts w:ascii="Times New Roman" w:hAnsi="Times New Roman"/>
          <w:position w:val="7"/>
          <w:sz w:val="16"/>
          <w:sz w:val="20"/>
        </w:rPr>
        <w:t>®</w:t>
      </w:r>
      <w:r>
        <w:rPr>
          <w:rFonts w:ascii="Times New Roman" w:hAnsi="Times New Roman"/>
          <w:sz w:val="20"/>
        </w:rPr>
        <w:t xml:space="preserve"> 150 speakerphone with advanced audio processing for a rich conferencing experience; and a complimentary 90-day trial of COLLABORATE Space, ClearOne’s</w:t>
      </w:r>
      <w:r>
        <w:rPr>
          <w:rFonts w:ascii="times new roman;times" w:hAnsi="times new roman;times"/>
          <w:sz w:val="20"/>
        </w:rPr>
        <w:t xml:space="preserve"> </w:t>
      </w:r>
      <w:r>
        <w:rPr>
          <w:rFonts w:ascii="Times New Roman" w:hAnsi="Times New Roman"/>
          <w:sz w:val="20"/>
        </w:rPr>
        <w:t>powerful cloud-based audio and video conferencing applications.</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The COLLABORATE Versa Pro 50 addresses today’s AV collaboration needs for COLLABORATE Space, MS Teams, Skype® for Business, Zoom, WebEx, GoToMeeting and Spontania with a complete huddle space solution. It features a CONVERGE</w:t>
      </w:r>
      <w:r>
        <w:rPr>
          <w:rFonts w:ascii="Times New Roman" w:hAnsi="Times New Roman"/>
          <w:position w:val="7"/>
          <w:sz w:val="16"/>
          <w:sz w:val="20"/>
        </w:rPr>
        <w:t>®</w:t>
      </w:r>
      <w:r>
        <w:rPr>
          <w:rFonts w:ascii="Times New Roman" w:hAnsi="Times New Roman"/>
          <w:sz w:val="20"/>
        </w:rPr>
        <w:t xml:space="preserve"> Huddle audio DSP mixer for a professional audio experience, a ClearOne UNITE</w:t>
      </w:r>
      <w:r>
        <w:rPr>
          <w:rFonts w:ascii="Times New Roman" w:hAnsi="Times New Roman"/>
          <w:position w:val="7"/>
          <w:sz w:val="16"/>
          <w:sz w:val="20"/>
        </w:rPr>
        <w:t>®</w:t>
      </w:r>
      <w:r>
        <w:rPr>
          <w:rFonts w:ascii="Times New Roman" w:hAnsi="Times New Roman"/>
          <w:sz w:val="20"/>
        </w:rPr>
        <w:t xml:space="preserve"> 50 EPTZ 3x zoom 1080p30 camera, a ceiling microphone array with 360-degree coverage reducing reverberation and noise, and a complimentary 90-day trial of ClearOne COLLABORATE Space. Customers purchasing the COLLABORATE Versa Pro 150 get upgraded to a 1080p30 UNITE® 150 PTZ camera with 12x optical zoom.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COLLABORATE Versa Pro CT, includes a Huddle DSP mixer and the Huddle-compatible and patented BMA CTH that is a perfect fit for small-to medium-sized rooms. The COLLABORATE Versa Pro CT is a great room solution for Bring Your Own Device (BYOD) collaboration using any cloud-based service. such as COLLABORATE® Space, Microsoft® Teams, WebEx</w:t>
      </w:r>
      <w:r>
        <w:rPr>
          <w:rFonts w:ascii="Times New Roman" w:hAnsi="Times New Roman"/>
          <w:position w:val="7"/>
          <w:sz w:val="16"/>
          <w:sz w:val="20"/>
        </w:rPr>
        <w:t>®</w:t>
      </w:r>
      <w:r>
        <w:rPr>
          <w:rFonts w:ascii="Times New Roman" w:hAnsi="Times New Roman"/>
          <w:sz w:val="20"/>
        </w:rPr>
        <w:t>, Zoom</w:t>
      </w:r>
      <w:r>
        <w:rPr>
          <w:rFonts w:ascii="Times New Roman" w:hAnsi="Times New Roman"/>
          <w:position w:val="7"/>
          <w:sz w:val="16"/>
          <w:sz w:val="20"/>
        </w:rPr>
        <w:t>®</w:t>
      </w:r>
      <w:r>
        <w:rPr>
          <w:rFonts w:ascii="Times New Roman" w:hAnsi="Times New Roman"/>
          <w:sz w:val="20"/>
        </w:rPr>
        <w:t>, and more. The system includes the Company’s new BMA CTH Beamforming Microphone Array Ceiling Tile with built-in AEC, providing the same impeccable room coverage as the BMA CT using adaptive steering (think of it as smart switching). The COLLABORATE Versa Pro CT system also includes mic/line inputs with AEC, line outputs, 4x10 Watt power amps, USB audio, mobile phone jack, and HDMI. The system comes preloaded with a project file ready for the most common room configuration. Or it can be further configured using CONSOLE</w:t>
      </w:r>
      <w:r>
        <w:rPr>
          <w:rFonts w:ascii="Times New Roman" w:hAnsi="Times New Roman"/>
          <w:position w:val="7"/>
          <w:sz w:val="16"/>
          <w:sz w:val="20"/>
        </w:rPr>
        <w:t>®</w:t>
      </w:r>
      <w:r>
        <w:rPr>
          <w:rFonts w:ascii="Times New Roman" w:hAnsi="Times New Roman"/>
          <w:sz w:val="20"/>
        </w:rPr>
        <w:t xml:space="preserve"> AI software, now with enhanced visualization and Audio Intelligence.</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9</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widowControl/>
        <w:spacing w:lineRule="auto" w:line="264" w:before="40" w:after="100"/>
        <w:ind w:left="0" w:right="0" w:hanging="0"/>
        <w:jc w:val="center"/>
        <w:rPr>
          <w:rFonts w:ascii="Times New Roman" w:hAnsi="Times New Roman"/>
          <w:sz w:val="20"/>
        </w:rPr>
      </w:pPr>
      <w:r>
        <w:rPr>
          <w:rFonts w:ascii="Times New Roman" w:hAnsi="Times New Roman"/>
          <w:b/>
          <w:i w:val="false"/>
          <w:caps w:val="false"/>
          <w:smallCaps w:val="false"/>
          <w:color w:val="000000"/>
          <w:spacing w:val="0"/>
          <w:sz w:val="20"/>
        </w:rPr>
        <w:t>ITEM 1</w:t>
      </w:r>
      <w:r>
        <w:rPr>
          <w:rFonts w:ascii="Times New Roman" w:hAnsi="Times New Roman"/>
          <w:caps w:val="false"/>
          <w:smallCaps w:val="false"/>
          <w:color w:val="000000"/>
          <w:spacing w:val="0"/>
          <w:sz w:val="20"/>
        </w:rPr>
        <w:t> </w:t>
      </w:r>
      <w:r>
        <w:rPr>
          <w:rFonts w:ascii="Times New Roman" w:hAnsi="Times New Roman"/>
          <w:b/>
          <w:i w:val="false"/>
          <w:caps w:val="false"/>
          <w:smallCaps w:val="false"/>
          <w:color w:val="000000"/>
          <w:spacing w:val="0"/>
          <w:sz w:val="20"/>
        </w:rPr>
        <w:t>- BUSINESS</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Additionally, both COLLABORATE Versa Pro 50 and Versa Pro 150 solutions feature a CONVERGE® Huddle audio DSP mixer for a professional audio experience, a Ceiling Microphone Array with 360-degree coverage that reduces reverberation and noise; and an optional clutter-free CONVERGE Huddle VESA mount.</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UNITE 200/150 is a professional-grade PTZ camera series supporting USB, HDMI and IP connectivity. It delivers 1080p HD resolution, 12X optical zoom and is compatible with PC-based and Pro-AV applications, supporting wide range of meeting spaces.</w:t>
      </w:r>
      <w:r>
        <w:rPr>
          <w:rFonts w:ascii="times new roman;times" w:hAnsi="times new roman;times"/>
          <w:sz w:val="20"/>
        </w:rPr>
        <w:t xml:space="preserve"> </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UNITE 50 4K camera is plug-and-play ready with 120-degree field-of-view, digital zoom and pairs easily with any microphone/speaker combination. The UNITE 50 4K camera’s ultra-wide-angle field-of-view is ideally suited for PC-based video conferencing, web conferencing and unified communications, and other collaboration experiences in huddle spaces and small conference rooms. The camera also supports the USB Video Class (UVC) 1.1 standard for maximum compatibility with a wide variety of cloud and room-based solutions. Along with 4K30 resolution, the autofocus camera features 3x digital zoom and a full-function USB 3.0 interface for video and power. Its wide dynamic range provides support for optimal image capture — critical for all video conferencing.</w:t>
      </w:r>
    </w:p>
    <w:p>
      <w:pPr>
        <w:pStyle w:val="TextBody"/>
        <w:spacing w:lineRule="auto" w:line="264" w:before="0" w:after="0"/>
        <w:ind w:left="0" w:right="0" w:hanging="0"/>
        <w:jc w:val="both"/>
        <w:rPr>
          <w:sz w:val="20"/>
        </w:rPr>
      </w:pPr>
      <w:r>
        <w:rPr>
          <w:sz w:val="20"/>
        </w:rPr>
      </w:r>
    </w:p>
    <w:p>
      <w:pPr>
        <w:pStyle w:val="TextBody"/>
        <w:spacing w:lineRule="auto" w:line="264" w:before="0" w:after="0"/>
        <w:ind w:left="0" w:right="0" w:hanging="0"/>
        <w:jc w:val="both"/>
        <w:rPr>
          <w:rFonts w:ascii="Times New Roman;serif" w:hAnsi="Times New Roman;serif"/>
          <w:sz w:val="24"/>
        </w:rPr>
      </w:pPr>
      <w:r>
        <w:rPr>
          <w:rFonts w:ascii="Times New Roman;serif" w:hAnsi="Times New Roman;serif"/>
          <w:sz w:val="20"/>
        </w:rPr>
        <w:t>During April 2020, we introduced UNITE 20 Pro Webcam, which easily mounts on a PC or laptop to provide full 1080p30 image with an ultra wide-angle field-of-view up to 120</w:t>
      </w:r>
      <w:r>
        <w:rPr>
          <w:rFonts w:ascii="proxima novaregular;serif" w:hAnsi="proxima novaregular;serif"/>
          <w:color w:val="666666"/>
          <w:sz w:val="24"/>
        </w:rPr>
        <w:t>°. </w:t>
      </w:r>
      <w:r>
        <w:rPr>
          <w:rFonts w:ascii="Times New Roman;serif" w:hAnsi="Times New Roman;serif"/>
          <w:sz w:val="24"/>
        </w:rPr>
        <w:t> </w:t>
      </w:r>
      <w:r>
        <w:rPr>
          <w:rFonts w:ascii="Times New Roman;serif" w:hAnsi="Times New Roman;serif"/>
          <w:sz w:val="20"/>
        </w:rPr>
        <w:t>A super-high signal-to-noise ratio and advanced 2D and 3D noise reduction provides superior desktop camera video quality.</w:t>
      </w:r>
    </w:p>
    <w:p>
      <w:pPr>
        <w:pStyle w:val="TextBody"/>
        <w:spacing w:lineRule="auto" w:line="264" w:before="0" w:after="0"/>
        <w:ind w:left="0" w:right="0" w:hanging="0"/>
        <w:jc w:val="both"/>
        <w:rPr/>
      </w:pPr>
      <w:r>
        <w:rPr/>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AV Networking</w:t>
      </w:r>
    </w:p>
    <w:p>
      <w:pPr>
        <w:pStyle w:val="TextBody"/>
        <w:spacing w:lineRule="auto" w:line="264" w:before="0" w:after="0"/>
        <w:ind w:left="0" w:right="0" w:hanging="0"/>
        <w:jc w:val="both"/>
        <w:rPr/>
      </w:pPr>
      <w:r>
        <w:rPr/>
        <w:t> </w:t>
      </w:r>
    </w:p>
    <w:p>
      <w:pPr>
        <w:pStyle w:val="TextBody"/>
        <w:widowControl/>
        <w:spacing w:lineRule="auto" w:line="264" w:before="0" w:after="0"/>
        <w:ind w:left="0" w:right="0" w:hanging="0"/>
        <w:jc w:val="both"/>
        <w:rPr>
          <w:rFonts w:ascii="times new roman;times" w:hAnsi="times new roman;times"/>
          <w:sz w:val="20"/>
        </w:rPr>
      </w:pPr>
      <w:r>
        <w:rPr>
          <w:rFonts w:ascii="Times New Roman" w:hAnsi="Times New Roman"/>
          <w:sz w:val="20"/>
        </w:rPr>
        <w:t>Our AV networking products are primarily sold under VIEW</w:t>
      </w:r>
      <w:r>
        <w:rPr>
          <w:rFonts w:ascii="Times New Roman" w:hAnsi="Times New Roman"/>
          <w:b w:val="false"/>
          <w:i w:val="false"/>
          <w:caps w:val="false"/>
          <w:smallCaps w:val="false"/>
          <w:color w:val="000000"/>
          <w:spacing w:val="0"/>
          <w:sz w:val="17"/>
        </w:rPr>
        <w:t>®</w:t>
      </w:r>
      <w:r>
        <w:rPr>
          <w:rFonts w:ascii="Times New Roman" w:hAnsi="Times New Roman"/>
          <w:sz w:val="20"/>
        </w:rPr>
        <w:t xml:space="preserve"> Pro and VIEW Lite brands and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VIEW Pro products are powered by ClearOne’s</w:t>
      </w:r>
      <w:r>
        <w:rPr>
          <w:rFonts w:ascii="times new roman;times" w:hAnsi="times new roman;times"/>
          <w:sz w:val="20"/>
        </w:rPr>
        <w:t xml:space="preserve"> </w:t>
      </w:r>
      <w:r>
        <w:rPr>
          <w:rFonts w:ascii="Times New Roman" w:hAnsi="Times New Roman"/>
          <w:sz w:val="20"/>
        </w:rPr>
        <w:t>patented StreamNet</w:t>
      </w:r>
      <w:r>
        <w:rPr>
          <w:rFonts w:ascii="Times New Roman" w:hAnsi="Times New Roman"/>
          <w:position w:val="7"/>
          <w:sz w:val="16"/>
          <w:sz w:val="20"/>
        </w:rPr>
        <w:t>®</w:t>
      </w:r>
      <w:r>
        <w:rPr>
          <w:rFonts w:ascii="Times New Roman" w:hAnsi="Times New Roman"/>
          <w:sz w:val="20"/>
        </w:rPr>
        <w:t xml:space="preserve">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can control the equipment connected to the system. VIEW Pro systems have no limits on the numbers of sources, displays, or amplifiers in a project and can be used in venues from high-end residential homes to large-scale commercial projects.</w:t>
      </w:r>
      <w:r>
        <w:rPr>
          <w:rFonts w:ascii="times new roman;times" w:hAnsi="times new roman;times"/>
          <w:sz w:val="20"/>
        </w:rPr>
        <w:t> </w:t>
      </w:r>
      <w:r>
        <w:rPr>
          <w:rFonts w:ascii="Times New Roman" w:hAnsi="Times New Roman"/>
          <w:sz w:val="20"/>
        </w:rPr>
        <w:t>The number of devices could be determined by the network bandwidth availability, number of media streams and its bandwidth requirements.</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Converting an audio or video signal to TCP/IP preserves the digital quality of the signal across the network. Unlike analog systems, which lose quality over long distances, TCP/IP packets are decoded to retain the same digital quality as</w:t>
      </w:r>
      <w:r>
        <w:rPr>
          <w:rFonts w:ascii="times new roman;times" w:hAnsi="times new roman;times"/>
          <w:sz w:val="20"/>
        </w:rPr>
        <w:t> </w:t>
      </w:r>
      <w:r>
        <w:rPr>
          <w:rFonts w:ascii="Times New Roman" w:hAnsi="Times New Roman"/>
          <w:sz w:val="20"/>
        </w:rPr>
        <w:t>when they were encoded. The addition of Digital Encoder and Digital Decoder products with DVI/HDMI input and output enhances the flexibility of complete AV distribution system and makes it as easy to use as analog devices.</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VIEW Pro solution provides 1080p60, H.264 high definition HDMI video-audio, 4:4:4 true-color, 24 bit per pixel video output. It comes with dual inputs encoder, single input encoder and single output decoder with balanced audio, general purpose control ports and clock synchronized video output. VIEW Pro system also provides PANORAMA</w:t>
      </w:r>
      <w:r>
        <w:rPr>
          <w:rFonts w:ascii="times new roman;times" w:hAnsi="times new roman;times"/>
          <w:position w:val="7"/>
          <w:sz w:val="16"/>
          <w:sz w:val="20"/>
        </w:rPr>
        <w:t>TM</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 multi-view video composition and video-wall software application using its built-in video processing engine, without using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 VIEW Pro products include E110 and E120 encoders and D110, D210 and D310 decoders. VIEW Pro solution also comes with multiple license options including audio mixing, video composition, video wall, multicast RTSP and local playback.</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VIEW CONSOLE software gives integrators a comprehensive platform from which to configure, manage, monitor, and control VIEW Pro system installation using an easy, modern interface. The new toolset, which spotlights the latest in advanced software development technologies, works across ClearOne’s</w:t>
      </w:r>
      <w:r>
        <w:rPr>
          <w:rFonts w:ascii="times new roman;times" w:hAnsi="times new roman;times"/>
          <w:sz w:val="20"/>
        </w:rPr>
        <w:t xml:space="preserve"> </w:t>
      </w:r>
      <w:r>
        <w:rPr>
          <w:rFonts w:ascii="Times New Roman" w:hAnsi="Times New Roman"/>
          <w:sz w:val="20"/>
        </w:rPr>
        <w:t>full line of VIEW Pro products. In 2017, we released an updated version of VIEW CONSOLE and PANORAMA software applications.</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widowControl/>
        <w:spacing w:before="0" w:after="6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During 2018, our AV Networking line of products was strengthened by the introduction of VIEW Lite. The VIEW Lite series which includes an encoder, a decoder and a controller, provide essential functionality that meets the full needs of simple AV over IP applications while simultaneously delivering superb price-to-performance value.</w:t>
      </w:r>
      <w:r>
        <w:rPr>
          <w:rFonts w:ascii="times new roman;times" w:hAnsi="times new roman;times"/>
          <w:b w:val="false"/>
          <w:i w:val="false"/>
          <w:caps w:val="false"/>
          <w:smallCaps w:val="false"/>
          <w:color w:val="000000"/>
          <w:spacing w:val="0"/>
          <w:sz w:val="20"/>
        </w:rPr>
        <w:t> </w:t>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10</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widowControl/>
        <w:spacing w:lineRule="auto" w:line="264" w:before="20" w:after="20"/>
        <w:ind w:left="0" w:right="0" w:hanging="0"/>
        <w:jc w:val="center"/>
        <w:rPr>
          <w:rFonts w:ascii="Times New Roman" w:hAnsi="Times New Roman"/>
          <w:sz w:val="20"/>
        </w:rPr>
      </w:pPr>
      <w:r>
        <w:rPr>
          <w:rFonts w:ascii="Times New Roman" w:hAnsi="Times New Roman"/>
          <w:b w:val="false"/>
          <w:i w:val="false"/>
          <w:caps w:val="false"/>
          <w:smallCaps w:val="false"/>
          <w:color w:val="000000"/>
          <w:spacing w:val="0"/>
          <w:sz w:val="20"/>
        </w:rPr>
        <w:t>ITEM 1</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 BUSINESS</w:t>
      </w:r>
    </w:p>
    <w:p>
      <w:pPr>
        <w:pStyle w:val="TextBody"/>
        <w:spacing w:lineRule="auto" w:line="264" w:before="20" w:after="20"/>
        <w:ind w:left="0" w:right="0" w:hanging="0"/>
        <w:jc w:val="both"/>
        <w:rPr/>
      </w:pPr>
      <w:r>
        <w:rPr/>
      </w:r>
    </w:p>
    <w:p>
      <w:pPr>
        <w:pStyle w:val="TextBody"/>
        <w:widowControl/>
        <w:spacing w:before="20" w:after="20"/>
        <w:ind w:left="0" w:right="0" w:hanging="0"/>
        <w:jc w:val="center"/>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PROFESSIONAL AUDIO AND VIDEO HOME OFFICE SOLUTIONS</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During November 2020, we introduced </w:t>
      </w:r>
      <w:r>
        <w:rPr>
          <w:rFonts w:ascii="times new roman;times" w:hAnsi="times new roman;times"/>
          <w:b w:val="false"/>
          <w:i w:val="false"/>
          <w:caps w:val="false"/>
          <w:smallCaps w:val="false"/>
          <w:color w:val="000000"/>
          <w:spacing w:val="0"/>
          <w:sz w:val="20"/>
        </w:rPr>
        <w:t>Aura™, a comprehensive range of Good, Better and Best packages of enterprise quality audio, video, audio-video options and a free COLLABORATE® Space lifetime subscription, the award-winning video collaboration app to meet the growing home office market demand for professional audio and video collaboration solutions that match the quality found in a traditional corporate office.</w:t>
      </w:r>
    </w:p>
    <w:p>
      <w:pPr>
        <w:pStyle w:val="TextBody"/>
        <w:spacing w:lineRule="auto" w:line="264" w:before="20" w:after="20"/>
        <w:ind w:left="0" w:right="0" w:hanging="0"/>
        <w:jc w:val="both"/>
        <w:rPr/>
      </w:pPr>
      <w:r>
        <w:rPr/>
      </w:r>
    </w:p>
    <w:p>
      <w:pPr>
        <w:pStyle w:val="TextBody"/>
        <w:spacing w:lineRule="auto" w:line="264" w:before="20" w:after="20"/>
        <w:ind w:left="0" w:right="0" w:hanging="0"/>
        <w:jc w:val="both"/>
        <w:rPr>
          <w:rFonts w:ascii="times new roman;times" w:hAnsi="times new roman;times"/>
          <w:sz w:val="20"/>
        </w:rPr>
      </w:pPr>
      <w:r>
        <w:rPr>
          <w:rFonts w:ascii="times new roman;times" w:hAnsi="times new roman;times"/>
          <w:sz w:val="20"/>
        </w:rPr>
        <w:t>COVID 19 pandemic had brought long lasting changes to the workplace. Home has become the new office for tens of millions of professionals who now need a work environment every bit as productive as their corporate office. Aura was developed to deliver that much-needed enterprise quality experience in the home. For homeowners, prospective homebuyers, builders, architects and designers, the purpose-built home office is rapidly replacing the home theater in importance. Aura solutions are geared for high performance professionals across multiple industries. Aura meets this growing need for easy to purchase and install commercial quality solutions that deliver HDConference® audio and true-to-life video technology through a variety of professional microphone, audioconferencing, videoconferencing, camera and collaboration component choices that optimize home office acoustic and aesthetic aspirations. Designed to be easily installed by both homeowners and installers, Aura owners are also supported by a dedicated sales and support team that is available 24/7.</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left"/>
        <w:rPr>
          <w:rFonts w:ascii="Times New Roman" w:hAnsi="Times New Roman"/>
          <w:b/>
          <w:sz w:val="20"/>
        </w:rPr>
      </w:pPr>
      <w:r>
        <w:rPr>
          <w:rFonts w:ascii="Times New Roman" w:hAnsi="Times New Roman"/>
          <w:b/>
          <w:sz w:val="20"/>
        </w:rPr>
        <w:t>MARKETING AND SALES</w:t>
      </w:r>
    </w:p>
    <w:p>
      <w:pPr>
        <w:pStyle w:val="TextBody"/>
        <w:spacing w:lineRule="auto" w:line="264" w:before="20" w:after="20"/>
        <w:ind w:left="0" w:right="0" w:hanging="0"/>
        <w:jc w:val="center"/>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We use a two-tier channel model through which we sell our commercial products to a worldwide network of independent professional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audio-visual consultants. We also sell our commercial products directly to certain dealers, systems integrators, value-added resellers, and end-users.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Our product sales generated in the United States and outside the United States for the years ended December 31 are as follows:</w:t>
      </w:r>
    </w:p>
    <w:p>
      <w:pPr>
        <w:pStyle w:val="TextBody"/>
        <w:spacing w:lineRule="auto" w:line="264" w:before="20" w:after="20"/>
        <w:ind w:left="0" w:right="0" w:hanging="0"/>
        <w:jc w:val="both"/>
        <w:rPr/>
      </w:pPr>
      <w:r>
        <w:rPr/>
        <w:t> </w:t>
      </w:r>
    </w:p>
    <w:tbl>
      <w:tblPr>
        <w:tblW w:w="4250" w:type="pct"/>
        <w:jc w:val="center"/>
        <w:tblInd w:w="0" w:type="dxa"/>
        <w:tblCellMar>
          <w:top w:w="0" w:type="dxa"/>
          <w:left w:w="0" w:type="dxa"/>
          <w:bottom w:w="28" w:type="dxa"/>
          <w:right w:w="0" w:type="dxa"/>
        </w:tblCellMar>
      </w:tblPr>
      <w:tblGrid>
        <w:gridCol w:w="2954"/>
        <w:gridCol w:w="193"/>
        <w:gridCol w:w="287"/>
        <w:gridCol w:w="806"/>
        <w:gridCol w:w="193"/>
        <w:gridCol w:w="194"/>
        <w:gridCol w:w="193"/>
        <w:gridCol w:w="611"/>
        <w:gridCol w:w="371"/>
        <w:gridCol w:w="193"/>
        <w:gridCol w:w="286"/>
        <w:gridCol w:w="807"/>
        <w:gridCol w:w="193"/>
        <w:gridCol w:w="193"/>
        <w:gridCol w:w="193"/>
        <w:gridCol w:w="612"/>
        <w:gridCol w:w="395"/>
      </w:tblGrid>
      <w:tr>
        <w:trPr/>
        <w:tc>
          <w:tcPr>
            <w:tcW w:w="2954" w:type="dxa"/>
            <w:tcBorders>
              <w:bottom w:val="single" w:sz="12" w:space="0" w:color="000000"/>
            </w:tcBorders>
            <w:shd w:fill="auto" w:val="clear"/>
            <w:vAlign w:val="center"/>
          </w:tcPr>
          <w:p>
            <w:pPr>
              <w:pStyle w:val="TableContents"/>
              <w:spacing w:before="0" w:after="0"/>
              <w:ind w:left="0" w:right="0" w:hanging="0"/>
              <w:rPr>
                <w:rFonts w:ascii="Times New Roman" w:hAnsi="Times New Roman"/>
                <w:sz w:val="18"/>
              </w:rPr>
            </w:pPr>
            <w:r>
              <w:rPr>
                <w:rFonts w:ascii="Times New Roman" w:hAnsi="Times New Roman"/>
                <w:sz w:val="18"/>
              </w:rPr>
              <w:t xml:space="preserve">Revenue in millions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2284" w:type="dxa"/>
            <w:gridSpan w:val="6"/>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 w:hAnsi="Times New Roman"/>
                <w:sz w:val="18"/>
              </w:rPr>
              <w:t xml:space="preserve">2020 </w:t>
            </w:r>
          </w:p>
        </w:tc>
        <w:tc>
          <w:tcPr>
            <w:tcW w:w="371" w:type="dxa"/>
            <w:tcBorders/>
            <w:shd w:fill="auto" w:val="clear"/>
            <w:tcMar>
              <w:bottom w:w="0" w:type="dxa"/>
            </w:tcMar>
            <w:vAlign w:val="center"/>
          </w:tcPr>
          <w:p>
            <w:pPr>
              <w:pStyle w:val="TableContents"/>
              <w:spacing w:before="0" w:after="0"/>
              <w:ind w:left="0" w:right="0" w:hanging="0"/>
              <w:rPr/>
            </w:pPr>
            <w:r>
              <w:rPr/>
              <w:t xml:space="preserve">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2284" w:type="dxa"/>
            <w:gridSpan w:val="6"/>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 w:hAnsi="Times New Roman"/>
                <w:sz w:val="18"/>
              </w:rPr>
              <w:t xml:space="preserve">2019 </w:t>
            </w:r>
          </w:p>
        </w:tc>
        <w:tc>
          <w:tcPr>
            <w:tcW w:w="395" w:type="dxa"/>
            <w:tcBorders/>
            <w:shd w:fill="auto" w:val="clear"/>
            <w:tcMar>
              <w:bottom w:w="0" w:type="dxa"/>
            </w:tcMar>
            <w:vAlign w:val="center"/>
          </w:tcPr>
          <w:p>
            <w:pPr>
              <w:pStyle w:val="TableContents"/>
              <w:spacing w:before="0" w:after="0"/>
              <w:ind w:left="0" w:right="0" w:hanging="0"/>
              <w:rPr/>
            </w:pPr>
            <w:r>
              <w:rPr/>
              <w:t xml:space="preserve">  </w:t>
            </w:r>
          </w:p>
        </w:tc>
      </w:tr>
      <w:tr>
        <w:trPr/>
        <w:tc>
          <w:tcPr>
            <w:tcW w:w="2954" w:type="dxa"/>
            <w:tcBorders/>
            <w:shd w:fill="auto" w:val="clear"/>
            <w:tcMar>
              <w:bottom w:w="0" w:type="dxa"/>
            </w:tcMar>
            <w:vAlign w:val="center"/>
          </w:tcPr>
          <w:p>
            <w:pPr>
              <w:pStyle w:val="TableContents"/>
              <w:spacing w:before="0" w:after="0"/>
              <w:ind w:left="0" w:right="0" w:hanging="0"/>
              <w:rPr/>
            </w:pPr>
            <w:r>
              <w:rPr/>
              <w:t xml:space="preserve">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1093"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 w:hAnsi="Times New Roman"/>
                <w:sz w:val="18"/>
              </w:rPr>
              <w:t xml:space="preserve">Revenue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194" w:type="dxa"/>
            <w:tcBorders/>
            <w:shd w:fill="auto" w:val="clear"/>
            <w:tcMar>
              <w:bottom w:w="0" w:type="dxa"/>
            </w:tcMar>
            <w:vAlign w:val="center"/>
          </w:tcPr>
          <w:p>
            <w:pPr>
              <w:pStyle w:val="TableContents"/>
              <w:spacing w:before="0" w:after="0"/>
              <w:ind w:left="0" w:right="0" w:hanging="0"/>
              <w:rPr/>
            </w:pPr>
            <w:r>
              <w:rPr/>
              <w:t xml:space="preserve">  </w:t>
            </w:r>
          </w:p>
        </w:tc>
        <w:tc>
          <w:tcPr>
            <w:tcW w:w="804"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 w:hAnsi="Times New Roman"/>
                <w:sz w:val="18"/>
              </w:rPr>
              <w:t xml:space="preserve">% </w:t>
            </w:r>
          </w:p>
        </w:tc>
        <w:tc>
          <w:tcPr>
            <w:tcW w:w="371" w:type="dxa"/>
            <w:tcBorders/>
            <w:shd w:fill="auto" w:val="clear"/>
            <w:tcMar>
              <w:bottom w:w="0" w:type="dxa"/>
            </w:tcMar>
            <w:vAlign w:val="center"/>
          </w:tcPr>
          <w:p>
            <w:pPr>
              <w:pStyle w:val="TableContents"/>
              <w:spacing w:before="0" w:after="0"/>
              <w:ind w:left="0" w:right="0" w:hanging="0"/>
              <w:rPr/>
            </w:pPr>
            <w:r>
              <w:rPr/>
              <w:t xml:space="preserve">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1093"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 w:hAnsi="Times New Roman"/>
                <w:sz w:val="18"/>
              </w:rPr>
              <w:t xml:space="preserve">Revenue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805"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 w:hAnsi="Times New Roman"/>
                <w:sz w:val="18"/>
              </w:rPr>
              <w:t xml:space="preserve">% </w:t>
            </w:r>
          </w:p>
        </w:tc>
        <w:tc>
          <w:tcPr>
            <w:tcW w:w="395" w:type="dxa"/>
            <w:tcBorders/>
            <w:shd w:fill="auto" w:val="clear"/>
            <w:tcMar>
              <w:bottom w:w="0" w:type="dxa"/>
            </w:tcMar>
            <w:vAlign w:val="center"/>
          </w:tcPr>
          <w:p>
            <w:pPr>
              <w:pStyle w:val="TableContents"/>
              <w:spacing w:before="0" w:after="0"/>
              <w:ind w:left="0" w:right="0" w:hanging="0"/>
              <w:rPr/>
            </w:pPr>
            <w:r>
              <w:rPr/>
              <w:t xml:space="preserve">  </w:t>
            </w:r>
          </w:p>
        </w:tc>
      </w:tr>
      <w:tr>
        <w:trPr/>
        <w:tc>
          <w:tcPr>
            <w:tcW w:w="2954"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 the United States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287"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06"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18.0</w:t>
            </w:r>
          </w:p>
        </w:tc>
        <w:tc>
          <w:tcPr>
            <w:tcW w:w="193"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194" w:type="dxa"/>
            <w:tcBorders/>
            <w:shd w:fill="CCEEFF" w:val="clear"/>
            <w:tcMar>
              <w:bottom w:w="0" w:type="dxa"/>
            </w:tcMar>
            <w:vAlign w:val="center"/>
          </w:tcPr>
          <w:p>
            <w:pPr>
              <w:pStyle w:val="TableContents"/>
              <w:spacing w:before="0" w:after="0"/>
              <w:ind w:left="0" w:right="0" w:hanging="0"/>
              <w:rPr/>
            </w:pPr>
            <w:r>
              <w:rPr/>
              <w:t xml:space="preserve">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611"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62 </w:t>
            </w:r>
          </w:p>
        </w:tc>
        <w:tc>
          <w:tcPr>
            <w:tcW w:w="371"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286"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07"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13.5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612"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54 </w:t>
            </w:r>
          </w:p>
        </w:tc>
        <w:tc>
          <w:tcPr>
            <w:tcW w:w="39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2954"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Outside United States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287" w:type="dxa"/>
            <w:tcBorders>
              <w:bottom w:val="single" w:sz="6" w:space="0" w:color="000000"/>
            </w:tcBorders>
            <w:shd w:fill="auto" w:val="clear"/>
            <w:vAlign w:val="center"/>
          </w:tcPr>
          <w:p>
            <w:pPr>
              <w:pStyle w:val="TableContents"/>
              <w:spacing w:before="0" w:after="0"/>
              <w:ind w:left="0" w:right="0" w:hanging="0"/>
              <w:rPr/>
            </w:pPr>
            <w:r>
              <w:rPr/>
              <w:t xml:space="preserve">  </w:t>
            </w:r>
          </w:p>
        </w:tc>
        <w:tc>
          <w:tcPr>
            <w:tcW w:w="806" w:type="dxa"/>
            <w:tcBorders>
              <w:bottom w:val="single" w:sz="6"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11.1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194" w:type="dxa"/>
            <w:tcBorders/>
            <w:shd w:fill="auto" w:val="clear"/>
            <w:tcMar>
              <w:bottom w:w="0" w:type="dxa"/>
            </w:tcMar>
            <w:vAlign w:val="center"/>
          </w:tcPr>
          <w:p>
            <w:pPr>
              <w:pStyle w:val="TableContents"/>
              <w:spacing w:before="0" w:after="0"/>
              <w:ind w:left="0" w:right="0" w:hanging="0"/>
              <w:rPr/>
            </w:pPr>
            <w:r>
              <w:rPr/>
              <w:t xml:space="preserve">  </w:t>
            </w:r>
          </w:p>
        </w:tc>
        <w:tc>
          <w:tcPr>
            <w:tcW w:w="193" w:type="dxa"/>
            <w:tcBorders>
              <w:bottom w:val="single" w:sz="6" w:space="0" w:color="000000"/>
            </w:tcBorders>
            <w:shd w:fill="auto" w:val="clear"/>
            <w:vAlign w:val="center"/>
          </w:tcPr>
          <w:p>
            <w:pPr>
              <w:pStyle w:val="TableContents"/>
              <w:spacing w:before="0" w:after="0"/>
              <w:ind w:left="0" w:right="0" w:hanging="0"/>
              <w:rPr/>
            </w:pPr>
            <w:r>
              <w:rPr/>
              <w:t xml:space="preserve">  </w:t>
            </w:r>
          </w:p>
        </w:tc>
        <w:tc>
          <w:tcPr>
            <w:tcW w:w="611" w:type="dxa"/>
            <w:tcBorders>
              <w:bottom w:val="single" w:sz="6"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38 </w:t>
            </w:r>
          </w:p>
        </w:tc>
        <w:tc>
          <w:tcPr>
            <w:tcW w:w="371"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286" w:type="dxa"/>
            <w:tcBorders>
              <w:bottom w:val="single" w:sz="6" w:space="0" w:color="000000"/>
            </w:tcBorders>
            <w:shd w:fill="auto" w:val="clear"/>
            <w:vAlign w:val="center"/>
          </w:tcPr>
          <w:p>
            <w:pPr>
              <w:pStyle w:val="TableContents"/>
              <w:spacing w:before="0" w:after="0"/>
              <w:ind w:left="0" w:right="0" w:hanging="0"/>
              <w:rPr/>
            </w:pPr>
            <w:r>
              <w:rPr/>
              <w:t xml:space="preserve">  </w:t>
            </w:r>
          </w:p>
        </w:tc>
        <w:tc>
          <w:tcPr>
            <w:tcW w:w="807" w:type="dxa"/>
            <w:tcBorders>
              <w:bottom w:val="single" w:sz="6"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11.6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193" w:type="dxa"/>
            <w:tcBorders/>
            <w:shd w:fill="auto" w:val="clear"/>
            <w:tcMar>
              <w:bottom w:w="0" w:type="dxa"/>
            </w:tcMar>
            <w:vAlign w:val="center"/>
          </w:tcPr>
          <w:p>
            <w:pPr>
              <w:pStyle w:val="TableContents"/>
              <w:spacing w:before="0" w:after="0"/>
              <w:ind w:left="0" w:right="0" w:hanging="0"/>
              <w:rPr/>
            </w:pPr>
            <w:r>
              <w:rPr/>
              <w:t xml:space="preserve">  </w:t>
            </w:r>
          </w:p>
        </w:tc>
        <w:tc>
          <w:tcPr>
            <w:tcW w:w="193" w:type="dxa"/>
            <w:tcBorders>
              <w:bottom w:val="single" w:sz="6" w:space="0" w:color="000000"/>
            </w:tcBorders>
            <w:shd w:fill="auto" w:val="clear"/>
            <w:vAlign w:val="center"/>
          </w:tcPr>
          <w:p>
            <w:pPr>
              <w:pStyle w:val="TableContents"/>
              <w:spacing w:before="0" w:after="0"/>
              <w:ind w:left="0" w:right="0" w:hanging="0"/>
              <w:rPr/>
            </w:pPr>
            <w:r>
              <w:rPr/>
              <w:t xml:space="preserve">  </w:t>
            </w:r>
          </w:p>
        </w:tc>
        <w:tc>
          <w:tcPr>
            <w:tcW w:w="612" w:type="dxa"/>
            <w:tcBorders>
              <w:bottom w:val="single" w:sz="6"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46 </w:t>
            </w:r>
          </w:p>
        </w:tc>
        <w:tc>
          <w:tcPr>
            <w:tcW w:w="39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2954" w:type="dxa"/>
            <w:tcBorders/>
            <w:shd w:fill="CCEEFF" w:val="clear"/>
            <w:tcMar>
              <w:bottom w:w="0" w:type="dxa"/>
            </w:tcMar>
            <w:vAlign w:val="center"/>
          </w:tcPr>
          <w:p>
            <w:pPr>
              <w:pStyle w:val="TableContents"/>
              <w:spacing w:before="0" w:after="0"/>
              <w:ind w:left="0" w:right="0" w:hanging="0"/>
              <w:rPr/>
            </w:pPr>
            <w:r>
              <w:rPr/>
              <w:t xml:space="preserve">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287" w:type="dxa"/>
            <w:tcBorders>
              <w:bottom w:val="single" w:sz="6" w:space="0" w:color="000000"/>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06" w:type="dxa"/>
            <w:tcBorders>
              <w:bottom w:val="single" w:sz="6" w:space="0" w:color="000000"/>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29.1</w:t>
            </w:r>
          </w:p>
        </w:tc>
        <w:tc>
          <w:tcPr>
            <w:tcW w:w="193"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194" w:type="dxa"/>
            <w:tcBorders/>
            <w:shd w:fill="CCEEFF" w:val="clear"/>
            <w:tcMar>
              <w:bottom w:w="0" w:type="dxa"/>
            </w:tcMar>
            <w:vAlign w:val="center"/>
          </w:tcPr>
          <w:p>
            <w:pPr>
              <w:pStyle w:val="TableContents"/>
              <w:spacing w:before="0" w:after="0"/>
              <w:ind w:left="0" w:right="0" w:hanging="0"/>
              <w:rPr/>
            </w:pPr>
            <w:r>
              <w:rPr/>
              <w:t xml:space="preserve">  </w:t>
            </w:r>
          </w:p>
        </w:tc>
        <w:tc>
          <w:tcPr>
            <w:tcW w:w="193" w:type="dxa"/>
            <w:tcBorders>
              <w:bottom w:val="single" w:sz="6" w:space="0" w:color="000000"/>
            </w:tcBorders>
            <w:shd w:fill="CCEEFF" w:val="clear"/>
            <w:vAlign w:val="center"/>
          </w:tcPr>
          <w:p>
            <w:pPr>
              <w:pStyle w:val="TableContents"/>
              <w:spacing w:before="0" w:after="0"/>
              <w:ind w:left="0" w:right="0" w:hanging="0"/>
              <w:rPr/>
            </w:pPr>
            <w:r>
              <w:rPr/>
              <w:t xml:space="preserve">  </w:t>
            </w:r>
          </w:p>
        </w:tc>
        <w:tc>
          <w:tcPr>
            <w:tcW w:w="611" w:type="dxa"/>
            <w:tcBorders>
              <w:bottom w:val="single" w:sz="6" w:space="0" w:color="000000"/>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100 </w:t>
            </w:r>
          </w:p>
        </w:tc>
        <w:tc>
          <w:tcPr>
            <w:tcW w:w="371"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286" w:type="dxa"/>
            <w:tcBorders>
              <w:bottom w:val="single" w:sz="6" w:space="0" w:color="000000"/>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07" w:type="dxa"/>
            <w:tcBorders>
              <w:bottom w:val="single" w:sz="6" w:space="0" w:color="000000"/>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25.1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193" w:type="dxa"/>
            <w:tcBorders/>
            <w:shd w:fill="CCEEFF" w:val="clear"/>
            <w:tcMar>
              <w:bottom w:w="0" w:type="dxa"/>
            </w:tcMar>
            <w:vAlign w:val="center"/>
          </w:tcPr>
          <w:p>
            <w:pPr>
              <w:pStyle w:val="TableContents"/>
              <w:spacing w:before="0" w:after="0"/>
              <w:ind w:left="0" w:right="0" w:hanging="0"/>
              <w:rPr/>
            </w:pPr>
            <w:r>
              <w:rPr/>
              <w:t xml:space="preserve">  </w:t>
            </w:r>
          </w:p>
        </w:tc>
        <w:tc>
          <w:tcPr>
            <w:tcW w:w="193" w:type="dxa"/>
            <w:tcBorders>
              <w:bottom w:val="single" w:sz="6" w:space="0" w:color="000000"/>
            </w:tcBorders>
            <w:shd w:fill="CCEEFF" w:val="clear"/>
            <w:vAlign w:val="center"/>
          </w:tcPr>
          <w:p>
            <w:pPr>
              <w:pStyle w:val="TableContents"/>
              <w:spacing w:before="0" w:after="0"/>
              <w:ind w:left="0" w:right="0" w:hanging="0"/>
              <w:rPr/>
            </w:pPr>
            <w:r>
              <w:rPr/>
              <w:t xml:space="preserve">  </w:t>
            </w:r>
          </w:p>
        </w:tc>
        <w:tc>
          <w:tcPr>
            <w:tcW w:w="612" w:type="dxa"/>
            <w:tcBorders>
              <w:bottom w:val="single" w:sz="6" w:space="0" w:color="000000"/>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100 </w:t>
            </w:r>
          </w:p>
        </w:tc>
        <w:tc>
          <w:tcPr>
            <w:tcW w:w="395"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bl>
    <w:p>
      <w:pPr>
        <w:pStyle w:val="TextBody"/>
        <w:spacing w:lineRule="auto" w:line="264" w:before="20" w:after="20"/>
        <w:ind w:left="0" w:right="0" w:hanging="0"/>
        <w:jc w:val="both"/>
        <w:rPr/>
      </w:pPr>
      <w:r>
        <w:rPr/>
        <w:t> </w:t>
      </w:r>
    </w:p>
    <w:p>
      <w:pPr>
        <w:pStyle w:val="TextBody"/>
        <w:widowControl/>
        <w:spacing w:before="20" w:after="2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sell directly to our distributors and resellers in approximately 56 countries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Distributors, Resellers and Independent Integrators</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sold our products directly to approximately 312</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distributors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direct resellers throughout the world during 2020. Distributors and resellers purchase our products at a discount from list price and resell them worldwide to hundreds of independent systems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11</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rFonts w:ascii="Times New Roman" w:hAnsi="Times New Roman"/>
          <w:b/>
          <w:sz w:val="20"/>
        </w:rPr>
      </w:pPr>
      <w:r>
        <w:rPr>
          <w:rFonts w:ascii="Times New Roman" w:hAnsi="Times New Roman"/>
          <w:b/>
          <w:sz w:val="20"/>
        </w:rPr>
        <w:t>ITEM 1 - BUSINESS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w:t>
      </w:r>
      <w:r>
        <w:rPr>
          <w:rFonts w:ascii="times new roman;times" w:hAnsi="times new roman;times"/>
          <w:sz w:val="20"/>
        </w:rPr>
        <w:t xml:space="preserve"> </w:t>
      </w:r>
      <w:r>
        <w:rPr>
          <w:rFonts w:ascii="Times New Roman" w:hAnsi="Times New Roman"/>
          <w:sz w:val="20"/>
        </w:rPr>
        <w:t>our products.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t>Marketing</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We also conduct public relations initiatives to get press coverage and product reviews in industry and non-industry publications alike.</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left"/>
        <w:rPr>
          <w:rFonts w:ascii="Times New Roman" w:hAnsi="Times New Roman"/>
          <w:b/>
          <w:sz w:val="20"/>
        </w:rPr>
      </w:pPr>
      <w:r>
        <w:rPr>
          <w:rFonts w:ascii="Times New Roman" w:hAnsi="Times New Roman"/>
          <w:b/>
          <w:sz w:val="20"/>
        </w:rPr>
        <w:t>Customers</w:t>
      </w:r>
    </w:p>
    <w:p>
      <w:pPr>
        <w:pStyle w:val="TextBody"/>
        <w:spacing w:lineRule="auto" w:line="264" w:before="20" w:after="20"/>
        <w:ind w:left="0" w:right="0" w:hanging="0"/>
        <w:jc w:val="center"/>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Since we sell through distributors and value-added resellers, we do not have comprehensive information on end-users who ultimately use our products. As a result, we do not know whether any end-user accounted for more than 10% of our total revenue during any of the periods reported in this Annual Report. Our customers are distributors and value-added resellers. During the year ended December 31, 2020, no distributor</w:t>
      </w:r>
      <w:r>
        <w:rPr>
          <w:rFonts w:ascii="times new roman;times" w:hAnsi="times new roman;times"/>
          <w:sz w:val="20"/>
        </w:rPr>
        <w:t xml:space="preserve"> </w:t>
      </w:r>
      <w:r>
        <w:rPr>
          <w:rFonts w:ascii="Times New Roman" w:hAnsi="Times New Roman"/>
          <w:sz w:val="20"/>
        </w:rPr>
        <w:t>accounted for more than 10% of our total consolidated revenue.</w:t>
      </w:r>
      <w:r>
        <w:rPr>
          <w:rFonts w:ascii="times new roman;times" w:hAnsi="times new roman;times"/>
          <w:sz w:val="20"/>
        </w:rPr>
        <w:t> </w:t>
      </w:r>
      <w:r>
        <w:rPr>
          <w:rFonts w:ascii="Times New Roman" w:hAnsi="Times New Roman"/>
          <w:sz w:val="20"/>
        </w:rPr>
        <w:t xml:space="preserve">During the year ended </w:t>
      </w:r>
      <w:r>
        <w:rPr>
          <w:rFonts w:ascii="times new roman;times" w:hAnsi="times new roman;times"/>
          <w:sz w:val="20"/>
        </w:rPr>
        <w:t>December 31, 2019 </w:t>
      </w:r>
      <w:r>
        <w:rPr>
          <w:rFonts w:ascii="Times New Roman" w:hAnsi="Times New Roman"/>
          <w:sz w:val="20"/>
        </w:rPr>
        <w:t>one distributor with approximately 11% of the consolidated revenue accounted</w:t>
      </w:r>
      <w:r>
        <w:rPr>
          <w:rFonts w:ascii="times new roman;times" w:hAnsi="times new roman;times"/>
          <w:sz w:val="20"/>
        </w:rPr>
        <w:t xml:space="preserve"> </w:t>
      </w:r>
      <w:r>
        <w:rPr>
          <w:rFonts w:ascii="Times New Roman" w:hAnsi="Times New Roman"/>
          <w:sz w:val="20"/>
        </w:rPr>
        <w:t>for more than</w:t>
      </w:r>
      <w:r>
        <w:rPr>
          <w:rFonts w:ascii="times new roman;times" w:hAnsi="times new roman;times"/>
          <w:sz w:val="20"/>
        </w:rPr>
        <w:t xml:space="preserve"> </w:t>
      </w:r>
      <w:r>
        <w:rPr>
          <w:rFonts w:ascii="Times New Roman" w:hAnsi="Times New Roman"/>
          <w:sz w:val="20"/>
        </w:rPr>
        <w:t>10% of consolidated revenue .</w:t>
      </w:r>
      <w:r>
        <w:rPr>
          <w:rFonts w:ascii="times new roman;times" w:hAnsi="times new roman;times"/>
          <w:sz w:val="20"/>
        </w:rPr>
        <w:t xml:space="preserve"> </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As discussed above, distributors facilitate product sales to a large number of</w:t>
      </w:r>
      <w:r>
        <w:rPr>
          <w:rFonts w:ascii="times new roman;times" w:hAnsi="times new roman;times"/>
          <w:sz w:val="20"/>
        </w:rPr>
        <w:t xml:space="preserve"> </w:t>
      </w:r>
      <w:r>
        <w:rPr>
          <w:rFonts w:ascii="Times New Roman" w:hAnsi="Times New Roman"/>
          <w:sz w:val="20"/>
        </w:rPr>
        <w:t>independent systems integrators, dealers, and value-added resellers, and subsequently to their end-users. The loss of one or more distributors could reduce revenue and have a material adverse effect on our business and results of operations. Our orders fulfilled on which we had not recognized revenue were $0.1</w:t>
      </w:r>
      <w:r>
        <w:rPr>
          <w:rFonts w:ascii="times new roman;times" w:hAnsi="times new roman;times"/>
          <w:sz w:val="20"/>
        </w:rPr>
        <w:t> </w:t>
      </w:r>
      <w:r>
        <w:rPr>
          <w:rFonts w:ascii="Times New Roman" w:hAnsi="Times New Roman"/>
          <w:sz w:val="20"/>
        </w:rPr>
        <w:t>million and $0.2 million as of December 31, 2020 and 2019, respectively. We had a backlog of unfulfilled orders of approximately $1.0</w:t>
      </w:r>
      <w:r>
        <w:rPr>
          <w:rFonts w:ascii="times new roman;times" w:hAnsi="times new roman;times"/>
          <w:sz w:val="20"/>
        </w:rPr>
        <w:t>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and $0.2 million as of December 31, 2020 and 2019, respectively.</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widowControl/>
        <w:spacing w:before="20" w:after="2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Competition</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audio-visual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 It is critical for our success to be able to defend our intellectual property including trademarks, trade secrets and patents from our competitors who have far more resources.</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20" w:after="2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believe the following principal factors drive our sales:</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tbl>
      <w:tblPr>
        <w:tblW w:w="5000" w:type="pct"/>
        <w:jc w:val="center"/>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Quality, features and functionality, and ease of use of the products.</w:t>
            </w:r>
          </w:p>
        </w:tc>
      </w:tr>
      <w:tr>
        <w:trPr/>
        <w:tc>
          <w:tcPr>
            <w:tcW w:w="235"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Broad and deep global channel partnerships.</w:t>
            </w:r>
          </w:p>
        </w:tc>
      </w:tr>
      <w:tr>
        <w:trPr/>
        <w:tc>
          <w:tcPr>
            <w:tcW w:w="235"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Brand name recognition and acceptance.</w:t>
            </w:r>
          </w:p>
        </w:tc>
      </w:tr>
      <w:tr>
        <w:trPr/>
        <w:tc>
          <w:tcPr>
            <w:tcW w:w="235"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Effective sales and marketing.</w:t>
            </w:r>
          </w:p>
        </w:tc>
      </w:tr>
      <w:tr>
        <w:trPr/>
        <w:tc>
          <w:tcPr>
            <w:tcW w:w="235"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Quality of sales and technical support services.</w:t>
            </w:r>
          </w:p>
        </w:tc>
      </w:tr>
      <w:tr>
        <w:trPr/>
        <w:tc>
          <w:tcPr>
            <w:tcW w:w="235"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Significant established history of successful worldwide installations for diverse vertical markets.</w:t>
            </w:r>
          </w:p>
        </w:tc>
      </w:tr>
    </w:tbl>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12</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rFonts w:ascii="Times New Roman" w:hAnsi="Times New Roman"/>
          <w:b/>
          <w:sz w:val="20"/>
        </w:rPr>
      </w:pPr>
      <w:r>
        <w:rPr>
          <w:rFonts w:ascii="Times New Roman" w:hAnsi="Times New Roman"/>
          <w:b/>
          <w:sz w:val="20"/>
        </w:rPr>
        <w:t>ITEM 1 - BUSINESS</w:t>
      </w:r>
    </w:p>
    <w:p>
      <w:pPr>
        <w:pStyle w:val="TextBody"/>
        <w:spacing w:lineRule="auto" w:line="264" w:before="20" w:after="20"/>
        <w:ind w:left="0" w:right="0" w:hanging="0"/>
        <w:jc w:val="center"/>
        <w:rPr/>
      </w:pPr>
      <w:r>
        <w:rPr/>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In the professional audio conferencing system and sound reinforcement markets our main competitors include AcousticMagic, Biamp, BOSE, Crestron, Extron, Harman (Samsung), Peavey, Phoenix Audio, Poly, QSC, Shure, Symetrix, Vaddio</w:t>
      </w:r>
      <w:r>
        <w:rPr>
          <w:rFonts w:ascii="times new roman;times" w:hAnsi="times new roman;times"/>
          <w:sz w:val="20"/>
        </w:rPr>
        <w:t xml:space="preserve"> </w:t>
      </w:r>
      <w:r>
        <w:rPr>
          <w:rFonts w:ascii="Times New Roman" w:hAnsi="Times New Roman"/>
          <w:sz w:val="20"/>
        </w:rPr>
        <w:t>and Yamaha and any original equipment manufacturing (OEM) partners, along with several other companies potentially poised to enter the market.</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Our primary competitors in the USB-based speakerphones market are Jabra, Logitech, Phoenix Audio, Plantronics, Poly, Sennheiser, Yamaha and Yealink and any OEM partners.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In the tabletop conference phones, we face significant competition from Avaya/Konftel, Phoenix Audio, Poly, Yamaha and Yealink, and from any OEM partnerships. A significant portion of the tabletop market is covered by sales through OEM partnerships. </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In the microphones market, our primary competitors include AKG, Audio Technica, Audix, Avlex/Mipro, Beyerdynamic, Biamp, Clock Audio, Lectrosonics, Nureva, Mediavision/Taiden, Poly, Phoenix Audio, Sennheiser, Shure, TeachLogic, TOA, Yamaha</w:t>
      </w:r>
      <w:r>
        <w:rPr>
          <w:rFonts w:ascii="times new roman;times" w:hAnsi="times new roman;times"/>
          <w:sz w:val="20"/>
        </w:rPr>
        <w:t> </w:t>
      </w:r>
      <w:r>
        <w:rPr>
          <w:rFonts w:ascii="Times New Roman" w:hAnsi="Times New Roman"/>
          <w:sz w:val="20"/>
        </w:rPr>
        <w:t>and Vaddio</w:t>
      </w:r>
      <w:r>
        <w:rPr>
          <w:rFonts w:ascii="times new roman;times" w:hAnsi="times new roman;times"/>
          <w:sz w:val="20"/>
        </w:rPr>
        <w:t xml:space="preserve"> </w:t>
      </w:r>
      <w:r>
        <w:rPr>
          <w:rFonts w:ascii="Times New Roman" w:hAnsi="Times New Roman"/>
          <w:sz w:val="20"/>
        </w:rPr>
        <w:t>and any OEM partners.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Our video conferencing products face tremendous competition from well established players as well as emerging players, including Acano/CISCO, Adobe Connect, Amazon Chime, Avaya (Radvision), Aver, Barco, Blackboard Collaborate, Blue Jeans, Cisco, Citrix, Fuze, Huawei, InFocus, Kramer, LifeSize, Magor, Pexip, Poly, Microsoft, Starleaf, UNIFY, Videxio, Vidyo, Yealink, Zoom and ZTE.</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Our AV networking products face intense competition from a few well-established corporations of diversified capabilities and strengths, including Atlona, Aurora Multimedia, Barco, Biamp, Crestron, Extron, Gefen, Haivision, Hall Research, Harman, Infocus</w:t>
      </w:r>
      <w:r>
        <w:rPr>
          <w:rFonts w:ascii="times new roman;times" w:hAnsi="times new roman;times"/>
          <w:sz w:val="20"/>
        </w:rPr>
        <w:t xml:space="preserve"> </w:t>
      </w:r>
      <w:r>
        <w:rPr>
          <w:rFonts w:ascii="Times New Roman" w:hAnsi="Times New Roman"/>
          <w:sz w:val="20"/>
        </w:rPr>
        <w:t>(Jupiter), Key Digital, Kramer, Liberty AV, Magenta Research, Matrox, Mediasite, Ncast, RGB Spectrum, voLANte, Teracue, tvONE, VBrick, Visionary Solutions, WyreStorm</w:t>
      </w:r>
      <w:r>
        <w:rPr>
          <w:rFonts w:ascii="times new roman;times" w:hAnsi="times new roman;times"/>
          <w:sz w:val="20"/>
        </w:rPr>
        <w:t xml:space="preserve"> </w:t>
      </w:r>
      <w:r>
        <w:rPr>
          <w:rFonts w:ascii="Times New Roman" w:hAnsi="Times New Roman"/>
          <w:sz w:val="20"/>
        </w:rPr>
        <w:t>and ZeeVee. We believe that our software based patented technology delivers superior audio and video streaming performance and flexibility and provides us with a competitive edge over other industry players.</w:t>
      </w:r>
    </w:p>
    <w:p>
      <w:pPr>
        <w:pStyle w:val="TextBody"/>
        <w:spacing w:lineRule="auto" w:line="264" w:before="20" w:after="20"/>
        <w:ind w:left="0" w:right="0" w:hanging="0"/>
        <w:jc w:val="both"/>
        <w:rPr/>
      </w:pPr>
      <w:r>
        <w:rPr/>
      </w:r>
    </w:p>
    <w:p>
      <w:pPr>
        <w:pStyle w:val="TextBody"/>
        <w:spacing w:lineRule="auto" w:line="264" w:before="20" w:after="20"/>
        <w:ind w:left="0" w:right="0" w:hanging="0"/>
        <w:jc w:val="both"/>
        <w:rPr>
          <w:rFonts w:ascii="Times New Roman" w:hAnsi="Times New Roman"/>
          <w:b/>
          <w:sz w:val="20"/>
        </w:rPr>
      </w:pPr>
      <w:r>
        <w:rPr>
          <w:rFonts w:ascii="Times New Roman" w:hAnsi="Times New Roman"/>
          <w:b/>
          <w:sz w:val="20"/>
        </w:rPr>
        <w:t>Sources and Availability of Raw Materials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w:t>
      </w:r>
      <w:r>
        <w:rPr>
          <w:rFonts w:ascii="times new roman;times" w:hAnsi="times new roman;times"/>
          <w:sz w:val="20"/>
        </w:rPr>
        <w:t xml:space="preserve"> </w:t>
      </w:r>
      <w:r>
        <w:rPr>
          <w:rFonts w:ascii="Times New Roman" w:hAnsi="Times New Roman"/>
          <w:sz w:val="20"/>
        </w:rPr>
        <w:t>sources. During 2020, we witnessed a significant tightening of the electronics market with demand for electronic products especially for memories and processors far exceeding the supply caused price increases and longer fulfillment cycles. COVID-19 completely disrupted the entire supply chain and extended the already lengthy fulfillment cycles. Continued</w:t>
      </w:r>
      <w:r>
        <w:rPr>
          <w:rFonts w:ascii="times new roman;times" w:hAnsi="times new roman;times"/>
          <w:sz w:val="20"/>
        </w:rPr>
        <w:t> </w:t>
      </w:r>
      <w:r>
        <w:rPr>
          <w:rFonts w:ascii="Times New Roman" w:hAnsi="Times New Roman"/>
          <w:sz w:val="20"/>
        </w:rPr>
        <w:t>tariff wars between USA and China created more uncertainty with respect to pricing</w:t>
      </w:r>
      <w:r>
        <w:rPr>
          <w:rFonts w:ascii="times new roman;times" w:hAnsi="times new roman;times"/>
          <w:sz w:val="20"/>
        </w:rPr>
        <w:t xml:space="preserve"> </w:t>
      </w:r>
      <w:r>
        <w:rPr>
          <w:rFonts w:ascii="Times New Roman" w:hAnsi="Times New Roman"/>
          <w:sz w:val="20"/>
        </w:rPr>
        <w:t>and consequently affected the supply chain.</w:t>
      </w:r>
      <w:r>
        <w:rPr>
          <w:rFonts w:ascii="times new roman;times" w:hAnsi="times new roman;times"/>
          <w:sz w:val="20"/>
        </w:rPr>
        <w:t xml:space="preserve"> </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b/>
          <w:sz w:val="20"/>
        </w:rPr>
      </w:pPr>
      <w:r>
        <w:rPr>
          <w:rFonts w:ascii="Times New Roman" w:hAnsi="Times New Roman"/>
          <w:b/>
          <w:sz w:val="20"/>
        </w:rPr>
        <w:t>Manufacturing</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Currently, all of</w:t>
      </w:r>
      <w:r>
        <w:rPr>
          <w:rFonts w:ascii="times new roman;times" w:hAnsi="times new roman;times"/>
          <w:sz w:val="20"/>
        </w:rPr>
        <w:t xml:space="preserve"> </w:t>
      </w:r>
      <w:r>
        <w:rPr>
          <w:rFonts w:ascii="Times New Roman" w:hAnsi="Times New Roman"/>
          <w:sz w:val="20"/>
        </w:rPr>
        <w:t>our products are manufactured by EMS providers. Our primary EMS provider is Flextronics.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b/>
          <w:sz w:val="20"/>
        </w:rPr>
      </w:pPr>
      <w:r>
        <w:rPr>
          <w:rFonts w:ascii="Times New Roman" w:hAnsi="Times New Roman"/>
          <w:b/>
          <w:sz w:val="20"/>
        </w:rPr>
        <w:t>Seasonality</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We do not recognize a consistent pattern between the quarters to identify seasonality.</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13</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rFonts w:ascii="Times New Roman" w:hAnsi="Times New Roman"/>
          <w:b/>
          <w:sz w:val="20"/>
        </w:rPr>
      </w:pPr>
      <w:r>
        <w:rPr>
          <w:rFonts w:ascii="Times New Roman" w:hAnsi="Times New Roman"/>
          <w:b/>
          <w:sz w:val="20"/>
        </w:rPr>
        <w:t>ITEM 1 - BUSINESS</w:t>
      </w:r>
    </w:p>
    <w:p>
      <w:pPr>
        <w:pStyle w:val="TextBody"/>
        <w:widowControl/>
        <w:spacing w:before="20" w:after="20"/>
        <w:ind w:left="0" w:right="0" w:hanging="0"/>
        <w:jc w:val="center"/>
        <w:rPr>
          <w:caps w:val="false"/>
          <w:smallCaps w:val="false"/>
          <w:color w:val="000000"/>
          <w:spacing w:val="0"/>
        </w:rPr>
      </w:pPr>
      <w:r>
        <w:rPr>
          <w:caps w:val="false"/>
          <w:smallCaps w:val="false"/>
          <w:color w:val="000000"/>
          <w:spacing w:val="0"/>
        </w:rPr>
        <w:t> </w:t>
      </w:r>
    </w:p>
    <w:p>
      <w:pPr>
        <w:pStyle w:val="TextBody"/>
        <w:spacing w:lineRule="auto" w:line="264" w:before="20" w:after="20"/>
        <w:ind w:left="0" w:right="0" w:hanging="0"/>
        <w:jc w:val="both"/>
        <w:rPr>
          <w:rFonts w:ascii="Times New Roman" w:hAnsi="Times New Roman"/>
          <w:b/>
          <w:sz w:val="20"/>
        </w:rPr>
      </w:pPr>
      <w:r>
        <w:rPr>
          <w:rFonts w:ascii="Times New Roman" w:hAnsi="Times New Roman"/>
          <w:b/>
          <w:sz w:val="20"/>
        </w:rPr>
        <w:t>Research and Product Development</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We are committed to research and product development and view our continued investment in research and product development as a key ingredient to our long-term business success. Our research and product development expenditures were approximately $5.5</w:t>
      </w:r>
      <w:r>
        <w:rPr>
          <w:rFonts w:ascii="times new roman;times" w:hAnsi="times new roman;times"/>
          <w:sz w:val="20"/>
        </w:rPr>
        <w:t>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and $5.8</w:t>
      </w:r>
      <w:r>
        <w:rPr>
          <w:rFonts w:ascii="times new roman;times" w:hAnsi="times new roman;times"/>
          <w:sz w:val="20"/>
        </w:rPr>
        <w:t xml:space="preserve"> </w:t>
      </w:r>
      <w:r>
        <w:rPr>
          <w:rFonts w:ascii="Times New Roman" w:hAnsi="Times New Roman"/>
          <w:sz w:val="20"/>
        </w:rPr>
        <w:t>million during the years ended December 31, 2020 and 2019, respectively.</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Our core competencies in research and product development include (a) many audio technologies, including acoustic echo cancellation, noise cancellation and other advanced adaptive digital signal processing technologies, (b) networking and multimedia streaming technologies, (c) video technologies, and (d) cloud technologies. We also have expertise in wireless technologies, VoIP, software and network system development. We believe that continued investment in our core technological competencies is vital to developing new products and to enhancing existing products.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b/>
          <w:sz w:val="20"/>
        </w:rPr>
      </w:pPr>
      <w:r>
        <w:rPr>
          <w:rFonts w:ascii="Times New Roman" w:hAnsi="Times New Roman"/>
          <w:b/>
          <w:sz w:val="20"/>
        </w:rPr>
        <w:t>Intellectual Property and Other Proprietary Rights</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We believe that our success depends in part on our ability to protect our proprietary rights. We rely on a combination of patent, copyright, trademark, and trade secret laws and confidentiality agreements and processes to protect our proprietary rights.</w:t>
      </w:r>
    </w:p>
    <w:p>
      <w:pPr>
        <w:pStyle w:val="TextBody"/>
        <w:spacing w:lineRule="auto" w:line="264" w:before="20" w:after="20"/>
        <w:ind w:left="0" w:right="0" w:hanging="0"/>
        <w:jc w:val="center"/>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As of December 31, 2020, we had approximately 85</w:t>
      </w:r>
      <w:r>
        <w:rPr>
          <w:rFonts w:ascii="times new roman;times" w:hAnsi="times new roman;times"/>
          <w:sz w:val="20"/>
        </w:rPr>
        <w:t> </w:t>
      </w:r>
      <w:r>
        <w:rPr>
          <w:rFonts w:ascii="Times New Roman" w:hAnsi="Times New Roman"/>
          <w:sz w:val="20"/>
        </w:rPr>
        <w:t>patents and</w:t>
      </w:r>
      <w:r>
        <w:rPr>
          <w:rFonts w:ascii="times new roman;times" w:hAnsi="times new roman;times"/>
          <w:sz w:val="20"/>
        </w:rPr>
        <w:t xml:space="preserve"> </w:t>
      </w:r>
      <w:r>
        <w:rPr>
          <w:rFonts w:ascii="Times New Roman" w:hAnsi="Times New Roman"/>
          <w:sz w:val="20"/>
        </w:rPr>
        <w:t>10</w:t>
      </w:r>
      <w:r>
        <w:rPr>
          <w:rFonts w:ascii="times new roman;times" w:hAnsi="times new roman;times"/>
          <w:sz w:val="20"/>
        </w:rPr>
        <w:t> </w:t>
      </w:r>
      <w:r>
        <w:rPr>
          <w:rFonts w:ascii="Times New Roman" w:hAnsi="Times New Roman"/>
          <w:sz w:val="20"/>
        </w:rPr>
        <w:t>pending patent applications, including foreign counterpart patents and foreign applications.</w:t>
      </w:r>
      <w:r>
        <w:rPr>
          <w:rFonts w:ascii="times new roman;times" w:hAnsi="times new roman;times"/>
          <w:sz w:val="20"/>
        </w:rPr>
        <w:t> </w:t>
      </w:r>
      <w:r>
        <w:rPr>
          <w:rFonts w:ascii="Times New Roman" w:hAnsi="Times New Roman"/>
          <w:sz w:val="20"/>
        </w:rPr>
        <w:t>Our patents and pending patent applications cover a wide range of our products and services including, but not limited to</w:t>
      </w:r>
      <w:r>
        <w:rPr>
          <w:rFonts w:ascii="times new roman;times" w:hAnsi="times new roman;times"/>
          <w:sz w:val="20"/>
        </w:rPr>
        <w:t> </w:t>
      </w:r>
      <w:r>
        <w:rPr>
          <w:rFonts w:ascii="Times New Roman" w:hAnsi="Times New Roman"/>
          <w:sz w:val="20"/>
        </w:rPr>
        <w:t>acoustic echo cancellation, beamforming microphone arrays, systems that enable streaming media over IP networks, algorithms for video processing, wireless conferencing systems, spatial audio, and technologies for the Internet of Things. The durations of our patents are determined by the laws of the country of issuance. For the U.S., patents may be 17 years from the date of issuance of the patent or 20 years from the date of its filing, depending upon when the patent application was filed. In addition, we hold numerous U.S. trademarks. The laws of foreign countries may not protect our intellectual property to the same degree as the laws of the United States.</w:t>
      </w:r>
    </w:p>
    <w:p>
      <w:pPr>
        <w:pStyle w:val="TextBody"/>
        <w:spacing w:lineRule="auto" w:line="264" w:before="20" w:after="20"/>
        <w:ind w:left="0" w:right="0" w:hanging="0"/>
        <w:jc w:val="both"/>
        <w:rPr/>
      </w:pPr>
      <w:r>
        <w:rPr/>
      </w:r>
    </w:p>
    <w:p>
      <w:pPr>
        <w:pStyle w:val="TextBody"/>
        <w:widowControl/>
        <w:spacing w:lineRule="auto" w:line="264" w:before="20" w:after="20"/>
        <w:ind w:left="0" w:right="0" w:hanging="0"/>
        <w:jc w:val="left"/>
        <w:rPr/>
      </w:pPr>
      <w:r>
        <w:rPr>
          <w:rFonts w:ascii="Times New Roman" w:hAnsi="Times New Roman"/>
          <w:sz w:val="20"/>
        </w:rPr>
        <w:t>We will obtain patents and other intellectual property rights used in connection with our business when practicable and appropriate. Our intellectual property policy is to protect our products, technology and processes by asserting our intellectual property rights where appropriate and prudent. From time to time, assertions of infringement of certain patents or other intellectual property rights of others have been made against us. In addition, t</w:t>
      </w:r>
      <w:r>
        <w:rPr>
          <w:rFonts w:ascii="Times New Roman" w:hAnsi="Times New Roman"/>
          <w:b w:val="false"/>
          <w:i w:val="false"/>
          <w:caps w:val="false"/>
          <w:smallCaps w:val="false"/>
          <w:color w:val="000000"/>
          <w:spacing w:val="0"/>
          <w:sz w:val="20"/>
        </w:rPr>
        <w:t>he Company is involved in patent infringement lawsuits against </w:t>
      </w:r>
      <w:r>
        <w:rPr>
          <w:rFonts w:ascii="Times New Roman" w:hAnsi="Times New Roman"/>
          <w:sz w:val="20"/>
        </w:rPr>
        <w:t>Shure</w:t>
      </w:r>
      <w:r>
        <w:rPr>
          <w:rFonts w:ascii="Times New Roman" w:hAnsi="Times New Roman"/>
          <w:caps w:val="false"/>
          <w:smallCaps w:val="false"/>
          <w:color w:val="000000"/>
          <w:spacing w:val="0"/>
          <w:sz w:val="20"/>
        </w:rPr>
        <w:t> </w:t>
      </w:r>
      <w:r>
        <w:rPr>
          <w:rFonts w:ascii="Times New Roman" w:hAnsi="Times New Roman"/>
          <w:sz w:val="20"/>
        </w:rPr>
        <w:t>Inc</w:t>
      </w:r>
      <w:r>
        <w:rPr>
          <w:rFonts w:ascii="Times New Roman" w:hAnsi="Times New Roman"/>
          <w:b w:val="false"/>
          <w:i w:val="false"/>
          <w:caps w:val="false"/>
          <w:smallCaps w:val="false"/>
          <w:color w:val="000000"/>
          <w:spacing w:val="0"/>
          <w:sz w:val="20"/>
        </w:rPr>
        <w:t>. ("</w:t>
      </w:r>
      <w:r>
        <w:rPr>
          <w:rFonts w:ascii="Times New Roman" w:hAnsi="Times New Roman"/>
          <w:sz w:val="20"/>
        </w:rPr>
        <w:t>Shure</w:t>
      </w:r>
      <w:r>
        <w:rPr>
          <w:rFonts w:ascii="Times New Roman" w:hAnsi="Times New Roman"/>
          <w:b w:val="false"/>
          <w:i w:val="false"/>
          <w:caps w:val="false"/>
          <w:smallCaps w:val="false"/>
          <w:color w:val="000000"/>
          <w:spacing w:val="0"/>
          <w:sz w:val="20"/>
        </w:rPr>
        <w:t>"). See </w:t>
      </w:r>
      <w:hyperlink w:anchor="Note - 8 Contingencies">
        <w:r>
          <w:rPr>
            <w:rStyle w:val="InternetLink"/>
            <w:rFonts w:ascii="Times New Roman" w:hAnsi="Times New Roman"/>
            <w:b w:val="false"/>
            <w:i w:val="false"/>
            <w:caps w:val="false"/>
            <w:smallCaps w:val="false"/>
            <w:spacing w:val="0"/>
            <w:sz w:val="20"/>
          </w:rPr>
          <w:t>Note 8 – Commitments and Contingencies – Legal Proceedings – Intellectual Property Litigation</w:t>
        </w:r>
      </w:hyperlink>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for a discussion of these legal proceedings.</w:t>
      </w:r>
    </w:p>
    <w:p>
      <w:pPr>
        <w:pStyle w:val="TextBody"/>
        <w:spacing w:lineRule="auto" w:line="264" w:before="20" w:after="20"/>
        <w:ind w:left="0" w:right="0" w:hanging="0"/>
        <w:jc w:val="center"/>
        <w:rPr/>
      </w:pPr>
      <w:r>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We are dependent on our intellectual property. If we are not able to protect our proprietary rights or if those rights are invalidated or circumvented, our business may be adversely affected. We may be subject to litigation and infringement claims, which could cause us to incur significant expenses or prevent us from selling our products or services. For more information concerning the risks related to patents, trademarks, and other intellectual property, please see “Risk Factors-Risks Related to our Business.”</w:t>
      </w:r>
    </w:p>
    <w:p>
      <w:pPr>
        <w:pStyle w:val="TextBody"/>
        <w:spacing w:lineRule="auto" w:line="264" w:before="20" w:after="20"/>
        <w:ind w:left="0" w:right="0" w:hanging="0"/>
        <w:jc w:val="center"/>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w:t>
      </w:r>
      <w:r>
        <w:rPr>
          <w:rFonts w:ascii="times new roman;times" w:hAnsi="times new roman;times"/>
          <w:sz w:val="20"/>
        </w:rPr>
        <w:t xml:space="preserve"> </w:t>
      </w:r>
      <w:r>
        <w:rPr>
          <w:rFonts w:ascii="Times New Roman" w:hAnsi="Times New Roman"/>
          <w:sz w:val="20"/>
        </w:rPr>
        <w:t>to protect us from misappropriation or infringement of our intellectual property.</w:t>
      </w:r>
    </w:p>
    <w:p>
      <w:pPr>
        <w:pStyle w:val="TextBody"/>
        <w:spacing w:lineRule="auto" w:line="264" w:before="20" w:after="20"/>
        <w:ind w:left="0" w:right="0" w:hanging="0"/>
        <w:jc w:val="both"/>
        <w:rPr/>
      </w:pPr>
      <w:r>
        <w:rPr/>
        <w:t> </w:t>
      </w:r>
    </w:p>
    <w:p>
      <w:pPr>
        <w:pStyle w:val="TextBody"/>
        <w:spacing w:lineRule="auto" w:line="264" w:before="20" w:after="20"/>
        <w:ind w:left="0" w:right="0" w:hanging="0"/>
        <w:jc w:val="left"/>
        <w:rPr>
          <w:rFonts w:ascii="Times New Roman" w:hAnsi="Times New Roman"/>
          <w:b/>
          <w:sz w:val="20"/>
        </w:rPr>
      </w:pPr>
      <w:r>
        <w:rPr>
          <w:rFonts w:ascii="Times New Roman" w:hAnsi="Times New Roman"/>
          <w:b/>
          <w:sz w:val="20"/>
        </w:rPr>
        <w:t>Employees</w:t>
      </w:r>
    </w:p>
    <w:p>
      <w:pPr>
        <w:pStyle w:val="TextBody"/>
        <w:spacing w:lineRule="auto" w:line="264" w:before="20" w:after="20"/>
        <w:ind w:left="0" w:right="0" w:hanging="0"/>
        <w:jc w:val="left"/>
        <w:rPr/>
      </w:pPr>
      <w:r>
        <w:rPr/>
        <w:t> </w:t>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As of</w:t>
      </w:r>
      <w:r>
        <w:rPr>
          <w:rFonts w:ascii="times new roman;times" w:hAnsi="times new roman;times"/>
          <w:sz w:val="20"/>
        </w:rPr>
        <w:t> </w:t>
      </w:r>
      <w:r>
        <w:rPr>
          <w:rFonts w:ascii="Times New Roman" w:hAnsi="Times New Roman"/>
          <w:sz w:val="20"/>
        </w:rPr>
        <w:t>December 31, 2020, we had</w:t>
      </w:r>
      <w:r>
        <w:rPr>
          <w:rFonts w:ascii="times new roman;times" w:hAnsi="times new roman;times"/>
          <w:sz w:val="20"/>
        </w:rPr>
        <w:t xml:space="preserve"> </w:t>
      </w:r>
      <w:r>
        <w:rPr>
          <w:rFonts w:ascii="Times New Roman" w:hAnsi="Times New Roman"/>
          <w:sz w:val="20"/>
        </w:rPr>
        <w:t>126</w:t>
      </w:r>
      <w:r>
        <w:rPr>
          <w:rFonts w:ascii="times new roman;times" w:hAnsi="times new roman;times"/>
          <w:sz w:val="20"/>
        </w:rPr>
        <w:t> </w:t>
      </w:r>
      <w:r>
        <w:rPr>
          <w:rFonts w:ascii="Times New Roman" w:hAnsi="Times New Roman"/>
          <w:sz w:val="20"/>
        </w:rPr>
        <w:t>full-time employees. Of these employees,</w:t>
      </w:r>
      <w:r>
        <w:rPr>
          <w:rFonts w:ascii="times new roman;times" w:hAnsi="times new roman;times"/>
          <w:sz w:val="20"/>
        </w:rPr>
        <w:t xml:space="preserve"> </w:t>
      </w:r>
      <w:r>
        <w:rPr>
          <w:rFonts w:ascii="Times New Roman" w:hAnsi="Times New Roman"/>
          <w:sz w:val="20"/>
        </w:rPr>
        <w:t>76</w:t>
      </w:r>
      <w:r>
        <w:rPr>
          <w:rFonts w:ascii="times new roman;times" w:hAnsi="times new roman;times"/>
          <w:sz w:val="20"/>
        </w:rPr>
        <w:t> </w:t>
      </w:r>
      <w:r>
        <w:rPr>
          <w:rFonts w:ascii="Times New Roman" w:hAnsi="Times New Roman"/>
          <w:sz w:val="20"/>
        </w:rPr>
        <w:t>were located in</w:t>
      </w:r>
      <w:r>
        <w:rPr>
          <w:rFonts w:ascii="times new roman;times" w:hAnsi="times new roman;times"/>
          <w:sz w:val="20"/>
        </w:rPr>
        <w:t xml:space="preserve"> </w:t>
      </w:r>
      <w:r>
        <w:rPr>
          <w:rFonts w:ascii="Times New Roman" w:hAnsi="Times New Roman"/>
          <w:sz w:val="20"/>
        </w:rPr>
        <w:t>the U.S.</w:t>
      </w:r>
      <w:r>
        <w:rPr>
          <w:rFonts w:ascii="times new roman;times" w:hAnsi="times new roman;times"/>
          <w:sz w:val="20"/>
        </w:rPr>
        <w:t> </w:t>
      </w:r>
      <w:r>
        <w:rPr>
          <w:rFonts w:ascii="Times New Roman" w:hAnsi="Times New Roman"/>
          <w:sz w:val="20"/>
        </w:rPr>
        <w:t>and</w:t>
      </w:r>
      <w:r>
        <w:rPr>
          <w:rFonts w:ascii="times new roman;times" w:hAnsi="times new roman;times"/>
          <w:sz w:val="20"/>
        </w:rPr>
        <w:t> </w:t>
      </w:r>
      <w:r>
        <w:rPr>
          <w:rFonts w:ascii="Times New Roman" w:hAnsi="Times New Roman"/>
          <w:sz w:val="20"/>
        </w:rPr>
        <w:t>50</w:t>
      </w:r>
      <w:r>
        <w:rPr>
          <w:rFonts w:ascii="times new roman;times" w:hAnsi="times new roman;times"/>
          <w:sz w:val="20"/>
        </w:rPr>
        <w:t> </w:t>
      </w:r>
      <w:r>
        <w:rPr>
          <w:rFonts w:ascii="Times New Roman" w:hAnsi="Times New Roman"/>
          <w:sz w:val="20"/>
        </w:rPr>
        <w:t>in locations outside the U.S.</w:t>
      </w:r>
      <w:r>
        <w:rPr>
          <w:rFonts w:ascii="times new roman;times" w:hAnsi="times new roman;times"/>
          <w:sz w:val="20"/>
        </w:rPr>
        <w:t xml:space="preserve"> </w:t>
      </w:r>
      <w:r>
        <w:rPr>
          <w:rFonts w:ascii="Times New Roman" w:hAnsi="Times New Roman"/>
          <w:sz w:val="20"/>
        </w:rPr>
        <w:t>None of our employees are subject to a collective bargaining agreement and we believe our relationship with our employees is good. We also hire contractors with specific skill sets to meet our operational needs.</w:t>
      </w:r>
    </w:p>
    <w:p>
      <w:pPr>
        <w:pStyle w:val="TextBody"/>
        <w:spacing w:lineRule="auto" w:line="264" w:before="20" w:after="20"/>
        <w:ind w:left="0" w:right="0" w:hanging="0"/>
        <w:jc w:val="center"/>
        <w:rPr>
          <w:rFonts w:ascii="Times New Roman" w:hAnsi="Times New Roman"/>
          <w:sz w:val="20"/>
        </w:rPr>
      </w:pPr>
      <w:r>
        <w:rPr>
          <w:rFonts w:ascii="Times New Roman" w:hAnsi="Times New Roman"/>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14</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pPr>
      <w:r>
        <w:rPr/>
      </w:r>
    </w:p>
    <w:p>
      <w:pPr>
        <w:pStyle w:val="TextBody"/>
        <w:spacing w:lineRule="auto" w:line="264" w:before="20" w:after="20"/>
        <w:ind w:left="0" w:right="0" w:hanging="0"/>
        <w:jc w:val="left"/>
        <w:rPr/>
      </w:pPr>
      <w:hyperlink r:id="rId4">
        <w:r>
          <w:rPr>
            <w:rStyle w:val="VisitedInternetLink"/>
            <w:rFonts w:ascii="times new roman;times" w:hAnsi="times new roman;times"/>
            <w:b/>
            <w:strike w:val="false"/>
            <w:dstrike w:val="false"/>
            <w:color w:val="000000"/>
            <w:sz w:val="20"/>
            <w:u w:val="none"/>
            <w:effect w:val="none"/>
          </w:rPr>
          <w:t>ITEM 1A. RISK FACTORS</w:t>
        </w:r>
      </w:hyperlink>
    </w:p>
    <w:p>
      <w:pPr>
        <w:pStyle w:val="TextBody"/>
        <w:spacing w:lineRule="auto" w:line="264" w:before="20" w:after="20"/>
        <w:ind w:left="0" w:right="0" w:hanging="0"/>
        <w:jc w:val="left"/>
        <w:rPr/>
      </w:pPr>
      <w:r>
        <w:rPr/>
        <w:t> </w:t>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pStyle w:val="TextBody"/>
        <w:spacing w:lineRule="auto" w:line="264" w:before="20" w:after="20"/>
        <w:ind w:left="0" w:right="0" w:hanging="0"/>
        <w:jc w:val="center"/>
        <w:rPr/>
      </w:pPr>
      <w:r>
        <w:rPr/>
        <w:t> </w:t>
      </w:r>
    </w:p>
    <w:p>
      <w:pPr>
        <w:pStyle w:val="TextBody"/>
        <w:spacing w:lineRule="auto" w:line="264" w:before="20" w:after="20"/>
        <w:ind w:left="0" w:right="0" w:hanging="0"/>
        <w:jc w:val="both"/>
        <w:rPr>
          <w:rFonts w:ascii="Times New Roman" w:hAnsi="Times New Roman"/>
          <w:b/>
          <w:i/>
          <w:sz w:val="20"/>
        </w:rPr>
      </w:pPr>
      <w:r>
        <w:rPr>
          <w:rFonts w:ascii="Times New Roman" w:hAnsi="Times New Roman"/>
          <w:b/>
          <w:i/>
          <w:sz w:val="20"/>
        </w:rPr>
        <w:t>Risks Relating to Our Business</w:t>
      </w:r>
    </w:p>
    <w:p>
      <w:pPr>
        <w:pStyle w:val="TextBody"/>
        <w:spacing w:lineRule="auto" w:line="264" w:before="0" w:after="0"/>
        <w:ind w:left="0" w:right="0" w:hanging="0"/>
        <w:jc w:val="center"/>
        <w:rPr/>
      </w:pPr>
      <w:r>
        <w:rPr/>
        <w:t> </w:t>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We face intense competition in all markets for our products and services and our operating results will be adversely affected if we cannot compete effectively against other companies.</w:t>
      </w:r>
    </w:p>
    <w:p>
      <w:pPr>
        <w:pStyle w:val="TextBody"/>
        <w:spacing w:lineRule="auto" w:line="264" w:before="0" w:after="0"/>
        <w:ind w:left="0" w:right="0" w:hanging="0"/>
        <w:jc w:val="left"/>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The markets for our products and services are characterized by intense competition, pricing pressures and rapid technological change. Our competitive landscape continues to rapidly evolve, in particular with</w:t>
      </w:r>
      <w:r>
        <w:rPr>
          <w:rFonts w:ascii="times new roman;times" w:hAnsi="times new roman;times"/>
          <w:sz w:val="20"/>
        </w:rPr>
        <w:t xml:space="preserve"> </w:t>
      </w:r>
      <w:r>
        <w:rPr>
          <w:rFonts w:ascii="Times New Roman" w:hAnsi="Times New Roman"/>
          <w:sz w:val="20"/>
        </w:rPr>
        <w:t>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pStyle w:val="TextBody"/>
        <w:spacing w:lineRule="auto" w:line="264" w:before="0" w:after="0"/>
        <w:ind w:left="0" w:right="0" w:hanging="0"/>
        <w:jc w:val="left"/>
        <w:rPr/>
      </w:pPr>
      <w:r>
        <w:rPr/>
        <w:t> </w:t>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Difficulties in estimating customer demand in our products segment could harm our profit margins.</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w:t>
      </w:r>
      <w:r>
        <w:rPr>
          <w:rFonts w:ascii="times new roman;times" w:hAnsi="times new roman;times"/>
          <w:sz w:val="20"/>
        </w:rPr>
        <w:t> </w:t>
      </w:r>
      <w:r>
        <w:rPr>
          <w:rFonts w:ascii="Times New Roman" w:hAnsi="Times New Roman"/>
          <w:sz w:val="20"/>
        </w:rPr>
        <w:t>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pStyle w:val="TextBody"/>
        <w:spacing w:lineRule="auto" w:line="264" w:before="0" w:after="0"/>
        <w:ind w:left="0" w:right="0" w:hanging="0"/>
        <w:jc w:val="both"/>
        <w:rPr/>
      </w:pPr>
      <w:r>
        <w:rPr/>
        <w:t> </w:t>
      </w:r>
    </w:p>
    <w:p>
      <w:pPr>
        <w:pStyle w:val="TextBody"/>
        <w:spacing w:lineRule="auto" w:line="264" w:before="0" w:after="0"/>
        <w:ind w:left="0" w:right="0" w:hanging="0"/>
        <w:jc w:val="left"/>
        <w:rPr>
          <w:rFonts w:ascii="times new roman;times" w:hAnsi="times new roman;times"/>
          <w:sz w:val="20"/>
        </w:rPr>
      </w:pPr>
      <w:r>
        <w:rPr>
          <w:rFonts w:ascii="Times New Roman" w:hAnsi="Times New Roman"/>
          <w:i/>
          <w:sz w:val="20"/>
        </w:rPr>
        <w:t>If</w:t>
      </w:r>
      <w:r>
        <w:rPr>
          <w:rFonts w:ascii="times new roman;times" w:hAnsi="times new roman;times"/>
          <w:sz w:val="20"/>
        </w:rPr>
        <w:t> </w:t>
      </w:r>
      <w:r>
        <w:rPr>
          <w:rFonts w:ascii="Times New Roman" w:hAnsi="Times New Roman"/>
          <w:i/>
          <w:sz w:val="20"/>
        </w:rPr>
        <w:t>we are unable to protect our intellectual property rights or have insufficient proprietary rights, our business would be materially impaired.</w:t>
      </w:r>
    </w:p>
    <w:p>
      <w:pPr>
        <w:pStyle w:val="TextBody"/>
        <w:spacing w:lineRule="auto" w:line="264" w:before="0" w:after="0"/>
        <w:ind w:left="0" w:right="0" w:hanging="0"/>
        <w:jc w:val="center"/>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w:t>
      </w:r>
      <w:r>
        <w:rPr>
          <w:rFonts w:ascii="times new roman;times" w:hAnsi="times new roman;times"/>
          <w:sz w:val="20"/>
        </w:rPr>
        <w:t> </w:t>
      </w:r>
      <w:r>
        <w:rPr>
          <w:rFonts w:ascii="Times New Roman" w:hAnsi="Times New Roman"/>
          <w:sz w:val="20"/>
        </w:rPr>
        <w:t>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15</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20" w:after="20"/>
        <w:ind w:left="0" w:right="0" w:hanging="0"/>
        <w:jc w:val="center"/>
        <w:rPr>
          <w:rFonts w:ascii="Times New Roman" w:hAnsi="Times New Roman"/>
          <w:b/>
          <w:sz w:val="20"/>
        </w:rPr>
      </w:pPr>
      <w:r>
        <w:rPr>
          <w:rFonts w:ascii="Times New Roman" w:hAnsi="Times New Roman"/>
          <w:b/>
          <w:sz w:val="20"/>
        </w:rPr>
        <w:t>ITEM 1A - RISK FACTORS</w:t>
      </w:r>
    </w:p>
    <w:p>
      <w:pPr>
        <w:pStyle w:val="TextBody"/>
        <w:spacing w:lineRule="auto" w:line="264" w:before="20" w:after="20"/>
        <w:ind w:left="0" w:right="0" w:hanging="0"/>
        <w:jc w:val="left"/>
        <w:rPr>
          <w:rFonts w:ascii="Times New Roman" w:hAnsi="Times New Roman"/>
          <w:b/>
          <w:sz w:val="20"/>
        </w:rPr>
      </w:pPr>
      <w:r>
        <w:rPr>
          <w:rFonts w:ascii="Times New Roman" w:hAnsi="Times New Roman"/>
          <w:b/>
          <w:sz w:val="20"/>
        </w:rPr>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t>We are currently subject to patent litigation, including claims challenging the validity and enforceability of some of our patents, which could cause us to incur significant expenses or prevent us from protecting our products or services against competing products.</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Our industry is characterized by vigorous protection of intellectual property rights. We have initiated litigation to enforce our intellectual property rights, which has resulted in our adversaries in such litigation challenging the validity, scope, and/or enforceability of our intellectual property. Irrespective of the merits of these claims, any resulting litigation could be costly and time consuming and could divert the attention of management and key personnel from other business issues. The complexity of the technology involved</w:t>
      </w:r>
      <w:r>
        <w:rPr>
          <w:rFonts w:ascii="times new roman;times" w:hAnsi="times new roman;times"/>
          <w:sz w:val="20"/>
        </w:rPr>
        <w:t> </w:t>
      </w:r>
      <w:r>
        <w:rPr>
          <w:rFonts w:ascii="Times New Roman" w:hAnsi="Times New Roman"/>
          <w:sz w:val="20"/>
        </w:rPr>
        <w:t>and the uncertainty of intellectual property litigation increase these risks. See </w:t>
      </w:r>
      <w:r>
        <w:rPr>
          <w:rFonts w:ascii="Times New Roman" w:hAnsi="Times New Roman"/>
          <w:sz w:val="20"/>
          <w:u w:val="single"/>
        </w:rPr>
        <w:t>Part I, Item 3. Legal Proceedings</w:t>
      </w:r>
      <w:r>
        <w:rPr>
          <w:rFonts w:ascii="times new roman;times" w:hAnsi="times new roman;times"/>
          <w:sz w:val="20"/>
        </w:rPr>
        <w:t> </w:t>
      </w:r>
      <w:r>
        <w:rPr>
          <w:rFonts w:ascii="Times New Roman" w:hAnsi="Times New Roman"/>
          <w:sz w:val="20"/>
        </w:rPr>
        <w:t>and </w:t>
      </w:r>
      <w:r>
        <w:rPr>
          <w:rFonts w:ascii="Times New Roman" w:hAnsi="Times New Roman"/>
          <w:sz w:val="20"/>
          <w:u w:val="single"/>
        </w:rPr>
        <w:t>Note 8 – Commitments and Contingencies</w:t>
      </w:r>
      <w:r>
        <w:rPr>
          <w:rFonts w:ascii="times new roman;times" w:hAnsi="times new roman;times"/>
          <w:sz w:val="20"/>
        </w:rPr>
        <w:t> </w:t>
      </w:r>
      <w:r>
        <w:rPr>
          <w:rFonts w:ascii="Times New Roman" w:hAnsi="Times New Roman"/>
          <w:sz w:val="20"/>
        </w:rPr>
        <w:t>of the Notes to Consolidated Financial Statements (Part II, Item 8) for information regarding current legal proceedings involving our intellectual property rights.</w:t>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t>Our sales depend to a certain extent on government funding and regulation.</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In the audio conferencing</w:t>
      </w:r>
      <w:r>
        <w:rPr>
          <w:rFonts w:ascii="times new roman;times" w:hAnsi="times new roman;times"/>
          <w:sz w:val="20"/>
        </w:rPr>
        <w:t> </w:t>
      </w:r>
      <w:r>
        <w:rPr>
          <w:rFonts w:ascii="Times New Roman" w:hAnsi="Times New Roman"/>
          <w:sz w:val="20"/>
        </w:rPr>
        <w:t>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pStyle w:val="TextBody"/>
        <w:spacing w:lineRule="auto" w:line="264" w:before="20" w:after="20"/>
        <w:ind w:left="0" w:right="0" w:hanging="0"/>
        <w:jc w:val="left"/>
        <w:rPr>
          <w:rFonts w:ascii="Times New Roman" w:hAnsi="Times New Roman"/>
          <w:i/>
          <w:sz w:val="20"/>
        </w:rPr>
      </w:pPr>
      <w:r>
        <w:rPr>
          <w:rFonts w:ascii="Times New Roman" w:hAnsi="Times New Roman"/>
          <w:i/>
          <w:sz w:val="20"/>
        </w:rPr>
      </w:r>
    </w:p>
    <w:p>
      <w:pPr>
        <w:pStyle w:val="TextBody"/>
        <w:spacing w:lineRule="auto" w:line="264" w:before="20" w:after="20"/>
        <w:ind w:left="0" w:right="0" w:hanging="0"/>
        <w:jc w:val="left"/>
        <w:rPr>
          <w:rFonts w:ascii="times new roman;times" w:hAnsi="times new roman;times"/>
          <w:sz w:val="20"/>
        </w:rPr>
      </w:pPr>
      <w:r>
        <w:rPr>
          <w:rFonts w:ascii="Times New Roman" w:hAnsi="Times New Roman"/>
          <w:i/>
          <w:sz w:val="20"/>
        </w:rPr>
        <w:t>Environmental laws and regulations subject us to a number of</w:t>
      </w:r>
      <w:r>
        <w:rPr>
          <w:rFonts w:ascii="times new roman;times" w:hAnsi="times new roman;times"/>
          <w:sz w:val="20"/>
        </w:rPr>
        <w:t xml:space="preserve"> </w:t>
      </w:r>
      <w:r>
        <w:rPr>
          <w:rFonts w:ascii="Times New Roman" w:hAnsi="Times New Roman"/>
          <w:i/>
          <w:sz w:val="20"/>
        </w:rPr>
        <w:t>risks and could result in significant costs and impact on revenue.</w:t>
      </w:r>
      <w:r>
        <w:rPr>
          <w:rFonts w:ascii="times new roman;times" w:hAnsi="times new roman;times"/>
          <w:sz w:val="20"/>
        </w:rPr>
        <w:t> </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t>A material weakness was identified in our internal control over financial reporting. If we fail to maintain effective internal control over financial reporting in the future, we may be unable to report our financial results accurately on a timely basis, investors could lose confidence in our reported financial information, the trading price of our common shares could decline and our access to the capital markets or other financing sources could become limited.</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In connection with the audit of our consolidated financial statements as of December 31, 2017, our independent registered public accounting firm identified deficiencies in our system of internal control over financial reporting that it considered to be a material weakness related to the accurate and timely reporting of our financial results and disclosures for the fiscal year ended December 31, 2017 and our testing and assessment of the design and operating effectiveness of internal controls over financial reporting in a timely manner. The Public Company Accounting Oversight Board's Auditing Standard No.</w:t>
      </w:r>
      <w:r>
        <w:rPr>
          <w:rFonts w:ascii="times new roman;times" w:hAnsi="times new roman;times"/>
          <w:sz w:val="20"/>
        </w:rPr>
        <w:t> </w:t>
      </w:r>
      <w:r>
        <w:rPr>
          <w:rFonts w:ascii="Times New Roman" w:hAnsi="Times New Roman"/>
          <w:sz w:val="20"/>
        </w:rPr>
        <w:t>5 defines a material weakness as a deficiency, or a combination of deficiencies, in internal control over financial reporting, such that there is a reasonable possibility that a material misstatement of annual or interim financial statements will not be prevented or detected on a timely basis.</w:t>
      </w:r>
      <w:r>
        <w:rPr>
          <w:rFonts w:ascii="times new roman;times" w:hAnsi="times new roman;times"/>
          <w:sz w:val="20"/>
        </w:rPr>
        <w:t>  </w:t>
      </w:r>
      <w:r>
        <w:rPr>
          <w:rFonts w:ascii="Times New Roman" w:hAnsi="Times New Roman"/>
          <w:sz w:val="20"/>
        </w:rPr>
        <w:t>See Part II, Item 9A, “Controls and Procedures.”</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We initiated remedial measures and conducted an evaluation of the effectiveness of our internal control over financial reporting for the years 2019 and 2020 based on the framework set forth in </w:t>
      </w:r>
      <w:r>
        <w:rPr>
          <w:rFonts w:ascii="Times New Roman" w:hAnsi="Times New Roman"/>
          <w:i/>
          <w:sz w:val="20"/>
        </w:rPr>
        <w:t>Internal Control - Integrated Framework</w:t>
      </w:r>
      <w:r>
        <w:rPr>
          <w:rFonts w:ascii="times new roman;times" w:hAnsi="times new roman;times"/>
          <w:sz w:val="20"/>
        </w:rPr>
        <w:t> </w:t>
      </w:r>
      <w:r>
        <w:rPr>
          <w:rFonts w:ascii="Times New Roman" w:hAnsi="Times New Roman"/>
          <w:sz w:val="20"/>
        </w:rPr>
        <w:t>(2013 framework) issued by the Committee of Sponsoring Organizations of the Treadway Commission, and concluded that remediation of the material weakness identified during the 2017 audit has been completed.</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We conducted an evaluation of the effectiveness of our internal control over financial reporting for years 2019 and 2020 based on the framework set forth in </w:t>
      </w:r>
      <w:r>
        <w:rPr>
          <w:rFonts w:ascii="Times New Roman" w:hAnsi="Times New Roman"/>
          <w:i/>
          <w:sz w:val="20"/>
        </w:rPr>
        <w:t>Internal Control - Integrated Framework</w:t>
      </w:r>
      <w:r>
        <w:rPr>
          <w:rFonts w:ascii="times new roman;times" w:hAnsi="times new roman;times"/>
          <w:sz w:val="20"/>
        </w:rPr>
        <w:t> </w:t>
      </w:r>
      <w:r>
        <w:rPr>
          <w:rFonts w:ascii="Times New Roman" w:hAnsi="Times New Roman"/>
          <w:sz w:val="20"/>
        </w:rPr>
        <w:t>(2013 framework) issued by the Committee of Sponsoring Organizations of the Treadway Commission, concluding that </w:t>
      </w:r>
      <w:r>
        <w:rPr>
          <w:rFonts w:ascii="times new roman;times" w:hAnsi="times new roman;times"/>
          <w:sz w:val="20"/>
        </w:rPr>
        <w:t>our internal control over financial reporting was effective as of December 31, 2019 and December 31, 2020, respectively.</w:t>
      </w:r>
    </w:p>
    <w:p>
      <w:pPr>
        <w:pStyle w:val="TextBody"/>
        <w:spacing w:lineRule="auto" w:line="264" w:before="20" w:after="20"/>
        <w:ind w:left="0" w:right="0" w:hanging="0"/>
        <w:jc w:val="both"/>
        <w:rPr>
          <w:rFonts w:ascii="Times New Roman" w:hAnsi="Times New Roman"/>
          <w:sz w:val="20"/>
        </w:rPr>
      </w:pPr>
      <w:r>
        <w:rPr>
          <w:rFonts w:ascii="Times New Roman" w:hAnsi="Times New Roman"/>
          <w:sz w:val="20"/>
        </w:rPr>
      </w:r>
    </w:p>
    <w:p>
      <w:pPr>
        <w:pStyle w:val="TextBody"/>
        <w:spacing w:lineRule="auto" w:line="264" w:before="20" w:after="20"/>
        <w:ind w:left="0" w:right="0" w:hanging="0"/>
        <w:jc w:val="both"/>
        <w:rPr>
          <w:rFonts w:ascii="times new roman;times" w:hAnsi="times new roman;times"/>
          <w:sz w:val="20"/>
        </w:rPr>
      </w:pPr>
      <w:r>
        <w:rPr>
          <w:rFonts w:ascii="Times New Roman" w:hAnsi="Times New Roman"/>
          <w:sz w:val="20"/>
        </w:rPr>
        <w:t>However,</w:t>
      </w:r>
      <w:r>
        <w:rPr>
          <w:rFonts w:ascii="times new roman;times" w:hAnsi="times new roman;times"/>
          <w:sz w:val="20"/>
        </w:rPr>
        <w:t> </w:t>
      </w:r>
      <w:r>
        <w:rPr>
          <w:rFonts w:ascii="Times New Roman" w:hAnsi="Times New Roman"/>
          <w:sz w:val="20"/>
        </w:rPr>
        <w:t>there can be no assurance that these actions, as well as further actions we may take, will allow us to prevent any material weakness in the future and provide a solid foundation to meet our reporting obligations under the Exchange Act. If we fail to implement and maintain effective internal control over financial reporting, or if additional material weaknesses or any significant deficiencies in our internal control over financial reporting are discovered or occur in the future, our consolidated financial statements may contain material misstatements, and we could be required to restate our financial results. In addition, if we are unable to successfully remediate future</w:t>
      </w:r>
      <w:r>
        <w:rPr>
          <w:rFonts w:ascii="times new roman;times" w:hAnsi="times new roman;times"/>
          <w:sz w:val="20"/>
        </w:rPr>
        <w:t> </w:t>
      </w:r>
      <w:r>
        <w:rPr>
          <w:rFonts w:ascii="Times New Roman" w:hAnsi="Times New Roman"/>
          <w:sz w:val="20"/>
        </w:rPr>
        <w:t>material weakness and if we are unable to produce accurate and timely financial statements, our stock price may be materially adversely affected</w:t>
      </w:r>
      <w:r>
        <w:rPr>
          <w:rFonts w:ascii="times new roman;times" w:hAnsi="times new roman;times"/>
          <w:sz w:val="20"/>
        </w:rPr>
        <w:t> </w:t>
      </w:r>
      <w:r>
        <w:rPr>
          <w:rFonts w:ascii="Times New Roman" w:hAnsi="Times New Roman"/>
          <w:sz w:val="20"/>
        </w:rPr>
        <w:t>and we may be unable to maintain compliance with applicable stock exchange listing requirements.</w:t>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16</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lineRule="auto" w:line="264" w:before="40" w:after="140"/>
        <w:ind w:left="0" w:right="0" w:hanging="0"/>
        <w:jc w:val="center"/>
        <w:rPr>
          <w:rFonts w:ascii="Times New Roman" w:hAnsi="Times New Roman"/>
          <w:b/>
          <w:sz w:val="20"/>
        </w:rPr>
      </w:pPr>
      <w:r>
        <w:rPr>
          <w:rFonts w:ascii="Times New Roman" w:hAnsi="Times New Roman"/>
          <w:b/>
          <w:sz w:val="20"/>
        </w:rPr>
        <w:t>ITEM 1A - RISK FACTORS</w:t>
      </w:r>
    </w:p>
    <w:p>
      <w:pPr>
        <w:pStyle w:val="TextBody"/>
        <w:spacing w:lineRule="auto" w:line="240" w:before="0" w:after="0"/>
        <w:ind w:left="0" w:right="0" w:hanging="0"/>
        <w:jc w:val="both"/>
        <w:rPr>
          <w:rFonts w:ascii="Times New Roman;serif" w:hAnsi="Times New Roman;serif"/>
          <w:i/>
          <w:sz w:val="20"/>
        </w:rPr>
      </w:pPr>
      <w:r>
        <w:rPr>
          <w:rFonts w:ascii="Times New Roman;serif" w:hAnsi="Times New Roman;serif"/>
          <w:i/>
          <w:sz w:val="20"/>
        </w:rPr>
        <w:t>We have identified two significant deficiencies in internal control over financial reporting, and if we fail to maintain effective internal controls over financial reporting, the price of our common stock may be adversely affected.</w:t>
      </w:r>
    </w:p>
    <w:p>
      <w:pPr>
        <w:pStyle w:val="TextBody"/>
        <w:spacing w:lineRule="auto" w:line="240" w:before="0" w:after="160"/>
        <w:ind w:left="0" w:right="0" w:hanging="0"/>
        <w:jc w:val="both"/>
        <w:rPr>
          <w:sz w:val="20"/>
        </w:rPr>
      </w:pPr>
      <w:r>
        <w:rPr>
          <w:sz w:val="20"/>
        </w:rPr>
      </w:r>
    </w:p>
    <w:p>
      <w:pPr>
        <w:pStyle w:val="TextBody"/>
        <w:spacing w:lineRule="auto" w:line="264" w:before="0" w:after="0"/>
        <w:ind w:left="0" w:right="0" w:hanging="0"/>
        <w:jc w:val="center"/>
        <w:rPr>
          <w:rFonts w:ascii="Times New Roman;serif" w:hAnsi="Times New Roman;serif"/>
          <w:sz w:val="20"/>
        </w:rPr>
      </w:pPr>
      <w:r>
        <w:rPr>
          <w:rFonts w:ascii="Times New Roman;serif" w:hAnsi="Times New Roman;serif"/>
          <w:sz w:val="20"/>
        </w:rPr>
        <w:t>We are req</w:t>
      </w:r>
      <w:r>
        <w:rPr>
          <w:rFonts w:ascii="times new roman;times" w:hAnsi="times new roman;times"/>
          <w:sz w:val="20"/>
        </w:rPr>
        <w:t>uired to establish and maintain appropriate internal controls over financial reporting. Failure to establish those controls, or any failure of those controls once established, could adversely impact our public disclosures regarding our business, financial condition or results of operation</w:t>
      </w:r>
      <w:r>
        <w:rPr>
          <w:rFonts w:ascii="Times New Roman;serif" w:hAnsi="Times New Roman;serif"/>
          <w:sz w:val="20"/>
        </w:rPr>
        <w:t>s. Any failure of these controls could also prevent us from maintaining accurate accounting records and discovering accounting errors and financial fraud.</w:t>
      </w:r>
    </w:p>
    <w:p>
      <w:pPr>
        <w:pStyle w:val="TextBody"/>
        <w:spacing w:lineRule="auto" w:line="264" w:before="0" w:after="0"/>
        <w:ind w:left="0" w:right="0" w:hanging="0"/>
        <w:jc w:val="center"/>
        <w:rPr>
          <w:rFonts w:ascii="Times New Roman;serif" w:hAnsi="Times New Roman;serif"/>
          <w:sz w:val="24"/>
        </w:rPr>
      </w:pPr>
      <w:r>
        <w:rPr>
          <w:rFonts w:ascii="Times New Roman;serif" w:hAnsi="Times New Roman;serif"/>
          <w:sz w:val="20"/>
        </w:rPr>
        <w:t xml:space="preserve">In the </w:t>
      </w:r>
      <w:r>
        <w:rPr>
          <w:rFonts w:ascii="times new roman;times" w:hAnsi="times new roman;times"/>
          <w:sz w:val="20"/>
        </w:rPr>
        <w:t>course of completing its assessment of internal control over financial reporting as of December 31, 2020, management did not identify any material weaknesses but did identify the continued existence of two significant deficiencies in the lack of end user segregation in our accounting system and a failure to following update procedures relating to updating inventory standard costs. Specifically, management believes that we may not be able to adequately segregate responsibility over financial transaction processing and reporting. A significant deficiency is a deficiency, or a combination of deficiencies, in internal control over financial reporting, that is less severe than a material weakness yet important enough to merit attention by those responsible for oversight of the Company’s financial reporting. Although we are unable to remediate the end user segregation significant deficiency with current personnel, we are mitigating its potential impact, primarily through a review of all employee’s access rights in our accounting system.</w:t>
      </w:r>
    </w:p>
    <w:p>
      <w:pPr>
        <w:pStyle w:val="TextBody"/>
        <w:spacing w:lineRule="auto" w:line="264" w:before="0" w:after="0"/>
        <w:ind w:left="0" w:right="0" w:hanging="0"/>
        <w:jc w:val="center"/>
        <w:rPr>
          <w:rFonts w:ascii="Times New Roman;serif" w:hAnsi="Times New Roman;serif"/>
          <w:sz w:val="20"/>
        </w:rPr>
      </w:pPr>
      <w:r>
        <w:rPr>
          <w:rFonts w:ascii="times new roman;times" w:hAnsi="times new roman;times"/>
          <w:sz w:val="20"/>
        </w:rPr>
        <w:t>In addition, management’s assessment of internal controls over financial reporting may identify additional weaknesses and conditions that need to be addressed or other potential matters that may raise concerns for investors. Any actual or perceived weaknesses and conditions that need to be addressed in o</w:t>
      </w:r>
      <w:r>
        <w:rPr>
          <w:rFonts w:ascii="Times New Roman;serif" w:hAnsi="Times New Roman;serif"/>
          <w:sz w:val="20"/>
        </w:rPr>
        <w:t>ur internal control over financial reporting or disclosure of management’s assessment of our internal controls over financial reporting may have an adverse impact on the price of our common stock.</w:t>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t>Our profitability may be adversely affected by our continuing dependence on our distribution channels.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We market our products primarily through a network of distributors who in turn sell our products to value-added resellers. All of</w:t>
      </w:r>
      <w:r>
        <w:rPr>
          <w:rFonts w:ascii="times new roman;times" w:hAnsi="times new roman;times"/>
          <w:sz w:val="20"/>
        </w:rPr>
        <w:t xml:space="preserve"> </w:t>
      </w:r>
      <w:r>
        <w:rPr>
          <w:rFonts w:ascii="Times New Roman" w:hAnsi="Times New Roman"/>
          <w:sz w:val="20"/>
        </w:rPr>
        <w:t>our agreements with such distributors and other distribution participants are non-exclusive, terminable at will by both parties,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been providing inventory reports consistently and the inventory was bought within the six months preceding the price adjustment date. Our net revenue and profit margins could be adversely affected if we reduce product prices significantly or distributors happen to have significant on-hand inventory of the affected product at the time of a price reduction. Further, if we do not have sufficient</w:t>
      </w:r>
      <w:r>
        <w:rPr>
          <w:rFonts w:ascii="times new roman;times" w:hAnsi="times new roman;times"/>
          <w:sz w:val="20"/>
        </w:rPr>
        <w:t xml:space="preserve"> </w:t>
      </w:r>
      <w:r>
        <w:rPr>
          <w:rFonts w:ascii="Times New Roman" w:hAnsi="Times New Roman"/>
          <w:sz w:val="20"/>
        </w:rPr>
        <w:t>cash resources to compensate distributors on terms satisfactory to them or us, our price protection obligations may prevent us from reacting quickly to changing market conditions.</w:t>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t>Product development delays or defects could harm our competitive position and reduce our revenue.</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40"/>
        <w:ind w:left="0" w:right="0" w:hanging="0"/>
        <w:jc w:val="both"/>
        <w:rPr>
          <w:rFonts w:ascii="Times New Roman" w:hAnsi="Times New Roman"/>
          <w:sz w:val="20"/>
        </w:rPr>
      </w:pPr>
      <w:r>
        <w:rPr>
          <w:rFonts w:ascii="Times New Roman" w:hAnsi="Times New Roman"/>
          <w:sz w:val="20"/>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17</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jc w:val="center"/>
        <w:rPr>
          <w:rFonts w:ascii="times new roman;times" w:hAnsi="times new roman;times"/>
          <w:b/>
          <w:sz w:val="20"/>
        </w:rPr>
      </w:pPr>
      <w:r>
        <w:rPr>
          <w:rFonts w:ascii="times new roman;times" w:hAnsi="times new roman;times"/>
          <w:b/>
          <w:sz w:val="20"/>
        </w:rPr>
        <w:t>ITEM 1A - RISK FACTORS</w:t>
      </w:r>
    </w:p>
    <w:p>
      <w:pPr>
        <w:pStyle w:val="TextBody"/>
        <w:spacing w:lineRule="auto" w:line="264" w:before="100" w:after="0"/>
        <w:ind w:left="0" w:right="0" w:hanging="0"/>
        <w:jc w:val="both"/>
        <w:rPr>
          <w:rFonts w:ascii="Times New Roman" w:hAnsi="Times New Roman"/>
          <w:sz w:val="20"/>
        </w:rPr>
      </w:pPr>
      <w:r>
        <w:rPr>
          <w:rFonts w:ascii="Times New Roman" w:hAnsi="Times New Roman"/>
          <w:sz w:val="20"/>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t>We depend on an outsourced manufacturing strategy, and any disruption in outsourced services could negatively impact our product availability and revenues.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We outsource the manufacturing of all of</w:t>
      </w:r>
      <w:r>
        <w:rPr>
          <w:rFonts w:ascii="times new roman;times" w:hAnsi="times new roman;times"/>
          <w:sz w:val="20"/>
        </w:rPr>
        <w:t xml:space="preserve"> </w:t>
      </w:r>
      <w:r>
        <w:rPr>
          <w:rFonts w:ascii="Times New Roman" w:hAnsi="Times New Roman"/>
          <w:sz w:val="20"/>
        </w:rPr>
        <w:t>our products to electronics manufacturing services (“EMS”) providers located outside the U.S. If any of these EMS providers experience (i) difficulties in obtaining sufficient supplies of components, (ii) component prices significantly exceeding anticipated costs, (iii) an interruption in their operations, or (iv)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large portion of our products.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Switching from one EMS provider to another is an expensive, difficult and a time-consuming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w:t>
      </w:r>
    </w:p>
    <w:p>
      <w:pPr>
        <w:pStyle w:val="TextBody"/>
        <w:spacing w:lineRule="auto" w:line="240" w:before="0" w:after="0"/>
        <w:ind w:left="0" w:right="0" w:hanging="0"/>
        <w:jc w:val="both"/>
        <w:rPr/>
      </w:pPr>
      <w:r>
        <w:rPr/>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pStyle w:val="TextBody"/>
        <w:spacing w:lineRule="auto" w:line="240" w:before="0" w:after="0"/>
        <w:ind w:left="0" w:right="0" w:hanging="0"/>
        <w:jc w:val="both"/>
        <w:rPr/>
      </w:pPr>
      <w:r>
        <w:rPr/>
        <w:t> </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EMS providers often require long range forecasts to help them plan their operations as well as to allocate their resources. We are tied to these forecasts through contracts as well as to maintain harmony in business relationships. Our ability to react to actual demand from our customers and order optimum levels of inventory is severely limited due to these forecasts provided to the EMS providers. Our inability to accurately forecast our future demands could lead to either excess inventory causing potential inventory obsolescence and cashflow problems or shortage in inventory causing potential loss of revenue.</w:t>
      </w:r>
    </w:p>
    <w:p>
      <w:pPr>
        <w:pStyle w:val="TextBody"/>
        <w:spacing w:lineRule="auto" w:line="240" w:before="0" w:after="0"/>
        <w:ind w:left="0" w:right="0" w:hanging="0"/>
        <w:jc w:val="both"/>
        <w:rPr/>
      </w:pPr>
      <w:r>
        <w:rPr/>
        <w:t> </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Additionally, the sourcing and availability of raw materials necessary for our EMS providers to manufacture certain of our products, including "conflict minerals" has been and could continue to be significantly constrained, which is likely to result in continued elevated price levels. Furthermore, compliance with SEC disclosure and reporting requirements in the future regarding the use of "conflict minerals" mined from the Democratic Republic of Congo and adjoining countries could adversely affect the sourcing, supply and pricing of materials used in our products.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t>Global economic conditions have adversely affected our business in the past and could adversely affect our revenues and harm our business in the future.</w:t>
      </w:r>
    </w:p>
    <w:p>
      <w:pPr>
        <w:pStyle w:val="TextBody"/>
        <w:spacing w:lineRule="auto" w:line="240" w:before="0" w:after="0"/>
        <w:ind w:left="0" w:right="0" w:hanging="0"/>
        <w:jc w:val="both"/>
        <w:rPr/>
      </w:pPr>
      <w:r>
        <w:rPr/>
        <w:t> </w:t>
      </w:r>
    </w:p>
    <w:p>
      <w:pPr>
        <w:pStyle w:val="TextBody"/>
        <w:spacing w:lineRule="auto" w:line="264" w:before="0" w:after="60"/>
        <w:ind w:left="0" w:right="0" w:hanging="0"/>
        <w:jc w:val="both"/>
        <w:rPr>
          <w:rFonts w:ascii="Times New Roman" w:hAnsi="Times New Roman"/>
          <w:sz w:val="20"/>
        </w:rPr>
      </w:pPr>
      <w:r>
        <w:rPr>
          <w:rFonts w:ascii="Times New Roman" w:hAnsi="Times New Roman"/>
          <w:sz w:val="20"/>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18</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before="0" w:after="0"/>
        <w:jc w:val="center"/>
        <w:rPr>
          <w:rFonts w:ascii="times new roman;times" w:hAnsi="times new roman;times"/>
          <w:sz w:val="20"/>
        </w:rPr>
      </w:pPr>
      <w:r>
        <w:rPr>
          <w:rFonts w:ascii="Times New Roman" w:hAnsi="Times New Roman"/>
          <w:b/>
          <w:sz w:val="20"/>
        </w:rPr>
        <w:t>ITEM 1A - RISK FACTORS</w:t>
      </w:r>
      <w:r>
        <w:rPr>
          <w:rFonts w:ascii="times new roman;times" w:hAnsi="times new roman;times"/>
          <w:sz w:val="20"/>
        </w:rPr>
        <w:t xml:space="preserve"> </w:t>
      </w:r>
    </w:p>
    <w:p>
      <w:pPr>
        <w:pStyle w:val="TextBody"/>
        <w:widowControl/>
        <w:spacing w:before="100" w:after="16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pStyle w:val="TextBody"/>
        <w:spacing w:lineRule="auto" w:line="240" w:before="0" w:after="160"/>
        <w:ind w:left="0" w:right="0" w:hanging="0"/>
        <w:jc w:val="both"/>
        <w:rPr/>
      </w:pPr>
      <w:r>
        <w:rPr/>
        <w:t> </w:t>
      </w:r>
      <w:r>
        <w:rPr>
          <w:rFonts w:ascii="Times New Roman" w:hAnsi="Times New Roman"/>
          <w:i/>
          <w:sz w:val="20"/>
        </w:rPr>
        <w:t>We are a smaller company than some of our competitors and may be more susceptible to market fluctuations, other adverse events, increased costs and less favorable purchasing terms.</w:t>
      </w:r>
      <w:r>
        <w:rPr>
          <w:rFonts w:ascii="times new roman;times" w:hAnsi="times new roman;times"/>
          <w:sz w:val="20"/>
        </w:rPr>
        <w:t> </w:t>
      </w:r>
    </w:p>
    <w:p>
      <w:pPr>
        <w:pStyle w:val="TextBody"/>
        <w:spacing w:lineRule="auto" w:line="264" w:before="0" w:after="160"/>
        <w:ind w:left="0" w:right="0" w:hanging="0"/>
        <w:jc w:val="both"/>
        <w:rPr>
          <w:rFonts w:ascii="times new roman;times" w:hAnsi="times new roman;times"/>
          <w:sz w:val="20"/>
        </w:rPr>
      </w:pPr>
      <w:r>
        <w:rPr>
          <w:rFonts w:ascii="Times New Roman" w:hAnsi="Times New Roman"/>
          <w:sz w:val="20"/>
        </w:rPr>
        <w:t>Since we are a relatively small Company, there is a risk that we may be more susceptible to market fluctuations and other adverse events. In particular, we</w:t>
      </w:r>
      <w:r>
        <w:rPr>
          <w:rFonts w:ascii="times new roman;times" w:hAnsi="times new roman;times"/>
          <w:sz w:val="20"/>
        </w:rPr>
        <w:t xml:space="preserve"> </w:t>
      </w:r>
      <w:r>
        <w:rPr>
          <w:rFonts w:ascii="Times New Roman" w:hAnsi="Times New Roman"/>
          <w:sz w:val="20"/>
        </w:rPr>
        <w:t>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pStyle w:val="TextBody"/>
        <w:spacing w:lineRule="auto" w:line="240" w:before="0" w:after="160"/>
        <w:ind w:left="0" w:right="0" w:hanging="0"/>
        <w:jc w:val="both"/>
        <w:rPr>
          <w:rFonts w:ascii="Times New Roman" w:hAnsi="Times New Roman"/>
          <w:i/>
          <w:sz w:val="20"/>
        </w:rPr>
      </w:pPr>
      <w:r>
        <w:rPr>
          <w:rFonts w:ascii="Times New Roman" w:hAnsi="Times New Roman"/>
          <w:i/>
          <w:sz w:val="20"/>
        </w:rPr>
        <w:t>Difficulties in integrating future acquisitions could adversely affect our business.</w:t>
      </w:r>
    </w:p>
    <w:p>
      <w:pPr>
        <w:pStyle w:val="TextBody"/>
        <w:spacing w:lineRule="auto" w:line="264" w:before="0" w:after="160"/>
        <w:ind w:left="0" w:right="0" w:hanging="0"/>
        <w:jc w:val="both"/>
        <w:rPr>
          <w:rFonts w:ascii="Times New Roman" w:hAnsi="Times New Roman"/>
          <w:sz w:val="20"/>
        </w:rPr>
      </w:pPr>
      <w:r>
        <w:rPr>
          <w:rFonts w:ascii="Times New Roman" w:hAnsi="Times New Roman"/>
          <w:sz w:val="20"/>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any future acquisitions we may make.</w:t>
      </w:r>
    </w:p>
    <w:p>
      <w:pPr>
        <w:pStyle w:val="TextBody"/>
        <w:spacing w:lineRule="auto" w:line="240" w:before="0" w:after="160"/>
        <w:ind w:left="0" w:right="0" w:hanging="0"/>
        <w:jc w:val="both"/>
        <w:rPr>
          <w:rFonts w:ascii="Times New Roman" w:hAnsi="Times New Roman"/>
          <w:i/>
          <w:sz w:val="20"/>
        </w:rPr>
      </w:pPr>
      <w:r>
        <w:rPr>
          <w:rFonts w:ascii="Times New Roman" w:hAnsi="Times New Roman"/>
          <w:i/>
          <w:sz w:val="20"/>
        </w:rPr>
        <w:t>Profitability could be negatively impacted if we do not adequately forecast the demand for our products and are unable to monetize our long-term inventories.</w:t>
      </w:r>
    </w:p>
    <w:p>
      <w:pPr>
        <w:pStyle w:val="TextBody"/>
        <w:spacing w:lineRule="auto" w:line="264" w:before="0" w:after="160"/>
        <w:ind w:left="0" w:right="0" w:hanging="0"/>
        <w:jc w:val="both"/>
        <w:rPr>
          <w:rFonts w:ascii="times new roman;times" w:hAnsi="times new roman;times"/>
          <w:sz w:val="20"/>
        </w:rPr>
      </w:pPr>
      <w:r>
        <w:rPr>
          <w:rFonts w:ascii="Times New Roman" w:hAnsi="Times New Roman"/>
          <w:sz w:val="20"/>
        </w:rPr>
        <w:t>We hold approximately $4.6</w:t>
      </w:r>
      <w:r>
        <w:rPr>
          <w:rFonts w:ascii="times new roman;times" w:hAnsi="times new roman;times"/>
          <w:sz w:val="20"/>
        </w:rPr>
        <w:t> </w:t>
      </w:r>
      <w:r>
        <w:rPr>
          <w:rFonts w:ascii="Times New Roman" w:hAnsi="Times New Roman"/>
          <w:sz w:val="20"/>
        </w:rPr>
        <w:t>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pStyle w:val="TextBody"/>
        <w:spacing w:lineRule="auto" w:line="240" w:before="0" w:after="160"/>
        <w:ind w:left="0" w:right="0" w:hanging="0"/>
        <w:jc w:val="both"/>
        <w:rPr>
          <w:rFonts w:ascii="Times New Roman" w:hAnsi="Times New Roman"/>
          <w:i/>
          <w:sz w:val="20"/>
        </w:rPr>
      </w:pPr>
      <w:r>
        <w:rPr>
          <w:rFonts w:ascii="Times New Roman" w:hAnsi="Times New Roman"/>
          <w:i/>
          <w:sz w:val="20"/>
        </w:rPr>
        <w:t>Conditions in China, India, Spain and United Arab Emirates may affect our operations.</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We have different teams working outside the U.S. in China, India, Spain and United Arab Emirates offering various services including research and development, sales and marketing, and manufacturing operations support. Our ability to operate the company smoothly may be affected significantly if either one or more of these countries are adversely impacted by political, economic, security and military conditions in these countries.</w:t>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t>Product obsolescence could harm demand for our products and could adversely affect our revenue and our results of operations.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t>International sales account for a significant portion of our net revenue and risks inherent in international sales could harm our business.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60"/>
        <w:ind w:left="0" w:right="0" w:hanging="0"/>
        <w:jc w:val="both"/>
        <w:rPr>
          <w:rFonts w:ascii="Times New Roman" w:hAnsi="Times New Roman"/>
          <w:sz w:val="20"/>
        </w:rPr>
      </w:pPr>
      <w:r>
        <w:rPr>
          <w:rFonts w:ascii="Times New Roman" w:hAnsi="Times New Roman"/>
          <w:sz w:val="20"/>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19</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before="0" w:after="0"/>
        <w:jc w:val="center"/>
        <w:rPr>
          <w:rFonts w:ascii="times new roman;times" w:hAnsi="times new roman;times"/>
          <w:sz w:val="20"/>
        </w:rPr>
      </w:pPr>
      <w:r>
        <w:rPr>
          <w:rFonts w:ascii="Times New Roman" w:hAnsi="Times New Roman"/>
          <w:b/>
          <w:sz w:val="20"/>
        </w:rPr>
        <w:t>ITEM 1A - RISK FACTORS</w:t>
      </w:r>
      <w:r>
        <w:rPr>
          <w:rFonts w:ascii="times new roman;times" w:hAnsi="times new roman;times"/>
          <w:sz w:val="20"/>
        </w:rPr>
        <w:t xml:space="preserve"> </w:t>
      </w:r>
    </w:p>
    <w:p>
      <w:pPr>
        <w:pStyle w:val="TextBody"/>
        <w:spacing w:lineRule="auto" w:line="264" w:before="0" w:after="0"/>
        <w:ind w:left="0" w:right="0" w:hanging="0"/>
        <w:jc w:val="both"/>
        <w:rPr/>
      </w:pPr>
      <w:r>
        <w:rPr/>
      </w:r>
    </w:p>
    <w:tbl>
      <w:tblPr>
        <w:tblW w:w="5000" w:type="pct"/>
        <w:jc w:val="center"/>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unexpected changes in, or the imposition of, additional legislative or regulatory requirements; </w:t>
            </w:r>
          </w:p>
        </w:tc>
      </w:tr>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unique or more onerous environmental regulations; </w:t>
            </w:r>
          </w:p>
        </w:tc>
      </w:tr>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fluctuating exchange rates; </w:t>
            </w:r>
          </w:p>
        </w:tc>
      </w:tr>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tariffs and other barriers; </w:t>
            </w:r>
          </w:p>
        </w:tc>
      </w:tr>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difficulties in staffing and managing foreign sales operations; </w:t>
            </w:r>
          </w:p>
        </w:tc>
      </w:tr>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import and export restrictions; </w:t>
            </w:r>
          </w:p>
        </w:tc>
      </w:tr>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greater difficulties in accounts receivable collection and longer payment cycles; </w:t>
            </w:r>
          </w:p>
        </w:tc>
      </w:tr>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potentially adverse tax consequences; </w:t>
            </w:r>
          </w:p>
        </w:tc>
      </w:tr>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potential hostilities and changes in diplomatic and trade relationships; and </w:t>
            </w:r>
          </w:p>
        </w:tc>
      </w:tr>
      <w:tr>
        <w:trPr/>
        <w:tc>
          <w:tcPr>
            <w:tcW w:w="22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disruption in services due to natural disaster, economic or political difficulties, transportation, quarantines or other restrictions associated with infectious diseases. </w:t>
            </w:r>
          </w:p>
        </w:tc>
      </w:tr>
    </w:tbl>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i/>
          <w:sz w:val="20"/>
        </w:rPr>
        <w:t>We may not be able to hire and retain qualified key and highly-skilled</w:t>
      </w:r>
      <w:r>
        <w:rPr>
          <w:rFonts w:ascii="times new roman;times" w:hAnsi="times new roman;times"/>
          <w:sz w:val="20"/>
        </w:rPr>
        <w:t xml:space="preserve"> </w:t>
      </w:r>
      <w:r>
        <w:rPr>
          <w:rFonts w:ascii="Times New Roman" w:hAnsi="Times New Roman"/>
          <w:i/>
          <w:sz w:val="20"/>
        </w:rPr>
        <w:t>technical employees, which could affect our ability to compete effectively and may cause our revenue and profitability to decline.</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We depend on our ability to hire and retain qualified key and highly skilled employees to manage, research and develop, market, and service new and existing products. Competition for such key and highly-skilled</w:t>
      </w:r>
      <w:r>
        <w:rPr>
          <w:rFonts w:ascii="times new roman;times" w:hAnsi="times new roman;times"/>
          <w:sz w:val="20"/>
        </w:rPr>
        <w:t xml:space="preserve"> </w:t>
      </w:r>
      <w:r>
        <w:rPr>
          <w:rFonts w:ascii="Times New Roman" w:hAnsi="Times New Roman"/>
          <w:sz w:val="20"/>
        </w:rPr>
        <w:t>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w:t>
      </w:r>
      <w:r>
        <w:rPr>
          <w:rFonts w:ascii="times new roman;times" w:hAnsi="times new roman;times"/>
          <w:sz w:val="20"/>
        </w:rPr>
        <w:t xml:space="preserve"> </w:t>
      </w:r>
      <w:r>
        <w:rPr>
          <w:rFonts w:ascii="Times New Roman" w:hAnsi="Times New Roman"/>
          <w:sz w:val="20"/>
        </w:rPr>
        <w:t xml:space="preserve">employees. </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 In addition, given the current political climate regarding the U.S. immigration laws, we may not be able attract highly-skilled</w:t>
      </w:r>
      <w:r>
        <w:rPr>
          <w:rFonts w:ascii="times new roman;times" w:hAnsi="times new roman;times"/>
          <w:sz w:val="20"/>
        </w:rPr>
        <w:t xml:space="preserve"> </w:t>
      </w:r>
      <w:r>
        <w:rPr>
          <w:rFonts w:ascii="Times New Roman" w:hAnsi="Times New Roman"/>
          <w:sz w:val="20"/>
        </w:rPr>
        <w:t>technical employees from abroad.</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We rely on third-party technology and license agreements, the loss of any of which could negatively impact our business.</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We may have difficulty in collecting outstanding receivables.</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We grant credit to substantially all of</w:t>
      </w:r>
      <w:r>
        <w:rPr>
          <w:rFonts w:ascii="times new roman;times" w:hAnsi="times new roman;times"/>
          <w:sz w:val="20"/>
        </w:rPr>
        <w:t xml:space="preserve"> </w:t>
      </w:r>
      <w:r>
        <w:rPr>
          <w:rFonts w:ascii="Times New Roman" w:hAnsi="Times New Roman"/>
          <w:sz w:val="20"/>
        </w:rPr>
        <w:t>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Interruptions to our business could adversely affect our operations.</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technology-based problems. To help guard against such risks, we carry business interruption loss insurance to help compensate us for losses that may occur, but we cannot assure that such coverage would protect us from all such possible losses.</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20</w:t>
            </w:r>
          </w:p>
        </w:tc>
      </w:tr>
    </w:tbl>
    <w:p>
      <w:pPr>
        <w:pStyle w:val="HorizontalLine"/>
        <w:spacing w:lineRule="auto" w:line="264" w:before="20" w:after="20"/>
        <w:jc w:val="center"/>
        <w:rPr/>
      </w:pPr>
      <w:r>
        <w:rPr/>
      </w:r>
    </w:p>
    <w:p>
      <w:pPr>
        <w:pStyle w:val="TextBody"/>
        <w:spacing w:lineRule="auto" w:line="264" w:before="20" w:after="20"/>
        <w:jc w:val="left"/>
        <w:rPr/>
      </w:pPr>
      <w:hyperlink w:anchor="TOC">
        <w:r>
          <w:rPr>
            <w:rStyle w:val="InternetLink"/>
            <w:rFonts w:ascii="times new roman;times" w:hAnsi="times new roman;times"/>
            <w:sz w:val="20"/>
          </w:rPr>
          <w:t>Table of Contents</w:t>
        </w:r>
      </w:hyperlink>
    </w:p>
    <w:p>
      <w:pPr>
        <w:pStyle w:val="TextBody"/>
        <w:spacing w:before="0" w:after="0"/>
        <w:jc w:val="center"/>
        <w:rPr>
          <w:rFonts w:ascii="times new roman;times" w:hAnsi="times new roman;times"/>
          <w:sz w:val="20"/>
        </w:rPr>
      </w:pPr>
      <w:r>
        <w:rPr>
          <w:rFonts w:ascii="Times New Roman" w:hAnsi="Times New Roman"/>
          <w:b/>
          <w:sz w:val="20"/>
        </w:rPr>
        <w:t>ITEM 1A - RISK FACTORS</w:t>
      </w:r>
      <w:r>
        <w:rPr>
          <w:rFonts w:ascii="times new roman;times" w:hAnsi="times new roman;times"/>
          <w:sz w:val="20"/>
        </w:rPr>
        <w:t xml:space="preserve"> </w:t>
      </w:r>
    </w:p>
    <w:p>
      <w:pPr>
        <w:pStyle w:val="TextBody"/>
        <w:spacing w:lineRule="auto" w:line="264" w:before="20" w:after="20"/>
        <w:ind w:left="0" w:right="0" w:hanging="0"/>
        <w:jc w:val="left"/>
        <w:rPr/>
      </w:pPr>
      <w:r>
        <w:rPr/>
      </w:r>
    </w:p>
    <w:p>
      <w:pPr>
        <w:pStyle w:val="TextBody"/>
        <w:spacing w:lineRule="auto" w:line="264" w:before="20" w:after="20"/>
        <w:ind w:left="0" w:right="0" w:hanging="0"/>
        <w:jc w:val="both"/>
        <w:rPr>
          <w:rFonts w:ascii="Times New Roman" w:hAnsi="Times New Roman"/>
          <w:i/>
          <w:sz w:val="20"/>
        </w:rPr>
      </w:pPr>
      <w:r>
        <w:rPr>
          <w:rFonts w:ascii="Times New Roman" w:hAnsi="Times New Roman"/>
          <w:i/>
          <w:sz w:val="20"/>
        </w:rPr>
        <w:t>Security breaches and other disruptions could compromise our information and expose us to liability, which would cause our business and reputation to suffer.</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160"/>
        <w:ind w:left="0" w:right="0" w:hanging="0"/>
        <w:jc w:val="both"/>
        <w:rPr>
          <w:rFonts w:ascii="Times New Roman" w:hAnsi="Times New Roman"/>
          <w:sz w:val="20"/>
        </w:rPr>
      </w:pPr>
      <w:r>
        <w:rPr>
          <w:rFonts w:ascii="Times New Roman" w:hAnsi="Times New Roman"/>
          <w:sz w:val="20"/>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Security breaches have occurred with increased frequency and sophistication in recent years.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pStyle w:val="TextBody"/>
        <w:spacing w:lineRule="auto" w:line="264" w:before="0" w:after="160"/>
        <w:ind w:left="0" w:right="0" w:hanging="0"/>
        <w:jc w:val="both"/>
        <w:rPr>
          <w:rFonts w:ascii="times new roman;times" w:hAnsi="times new roman;times"/>
          <w:i/>
          <w:sz w:val="20"/>
        </w:rPr>
      </w:pPr>
      <w:r>
        <w:rPr>
          <w:rFonts w:ascii="times new roman;times" w:hAnsi="times new roman;times"/>
          <w:i/>
          <w:sz w:val="20"/>
        </w:rPr>
        <w:t>We may require additional financing to fund future operations, which may not be available to us on acceptable terms or at all.</w:t>
      </w:r>
    </w:p>
    <w:p>
      <w:pPr>
        <w:pStyle w:val="TextBody"/>
        <w:spacing w:lineRule="auto" w:line="264" w:before="100" w:after="0"/>
        <w:ind w:left="0" w:right="0" w:hanging="0"/>
        <w:jc w:val="both"/>
        <w:rPr>
          <w:rFonts w:ascii="times new roman;times" w:hAnsi="times new roman;times"/>
          <w:sz w:val="20"/>
        </w:rPr>
      </w:pPr>
      <w:r>
        <w:rPr>
          <w:rFonts w:ascii="times new roman;times" w:hAnsi="times new roman;times"/>
          <w:sz w:val="20"/>
        </w:rPr>
        <w:t>As of December 31, 2020, we had approximately $3.8 million of cash and cash equivalents. Although we anticipate having sufficient cash on hand, cash from future operations and cash from the sale of marketable securities to fund our operations for the next twelve months, there can be no assurance that efforts to enforce our patents will be successful or that our marketing and sales efforts will progress as anticipated or that our cash generated from operations will be as expected, and we may need additional debt or equity financing in the next twelve months to execute our business plan and to be able to continue as a going concern. If in the future, we fail to satisfy the continued listing standards of NASDAQ, we may not be able to sell shares of our common stock. Accordingly, if additional debt or equity financings are needed, market conditions may limit our ability to raise capital on favorable terms, or at all, and the terms of any public or private offerings of debt or equity securities likely would be significantly dilutive to existing shareholders.</w:t>
      </w:r>
    </w:p>
    <w:p>
      <w:pPr>
        <w:pStyle w:val="TextBody"/>
        <w:spacing w:lineRule="auto" w:line="264" w:before="200" w:after="200"/>
        <w:ind w:left="0" w:right="0" w:hanging="0"/>
        <w:jc w:val="both"/>
        <w:rPr>
          <w:rFonts w:ascii="Times New Roman" w:hAnsi="Times New Roman"/>
          <w:b/>
          <w:i/>
          <w:sz w:val="20"/>
        </w:rPr>
      </w:pPr>
      <w:r>
        <w:rPr>
          <w:rFonts w:ascii="Times New Roman" w:hAnsi="Times New Roman"/>
          <w:b/>
          <w:i/>
          <w:sz w:val="20"/>
        </w:rPr>
        <w:t>Risks Relating to Share Ownership</w:t>
      </w:r>
    </w:p>
    <w:p>
      <w:pPr>
        <w:pStyle w:val="TextBody"/>
        <w:spacing w:lineRule="auto" w:line="264" w:before="0" w:after="140"/>
        <w:ind w:left="0" w:right="0" w:hanging="0"/>
        <w:jc w:val="both"/>
        <w:rPr>
          <w:rFonts w:ascii="times new roman;times" w:hAnsi="times new roman;times"/>
          <w:i/>
          <w:sz w:val="20"/>
        </w:rPr>
      </w:pPr>
      <w:r>
        <w:rPr>
          <w:rFonts w:ascii="times new roman;times" w:hAnsi="times new roman;times"/>
          <w:i/>
          <w:sz w:val="20"/>
        </w:rPr>
        <w:t>Global Financial, Economic and Social Conditions Could Deteriorate.</w:t>
      </w:r>
    </w:p>
    <w:p>
      <w:pPr>
        <w:pStyle w:val="TextBody"/>
        <w:spacing w:lineRule="auto" w:line="264" w:before="0" w:after="0"/>
        <w:ind w:left="0" w:right="0" w:hanging="0"/>
        <w:jc w:val="both"/>
        <w:rPr>
          <w:rFonts w:ascii="times new roman;times" w:hAnsi="times new roman;times"/>
          <w:sz w:val="20"/>
        </w:rPr>
      </w:pPr>
      <w:r>
        <w:rPr>
          <w:rFonts w:ascii="times new roman;times" w:hAnsi="times new roman;times"/>
          <w:sz w:val="20"/>
        </w:rPr>
        <w:t>Our business could be materially affected by conditions in the global financial markets and economic conditions generally.  The recent outbreak of a novel coronavirus, which causes the disease now known as COVID-19, was first identified in December 2019 in Wuhan, China, and has since spread globally. Government efforts to contain the spread of the coronavirus through lockdowns of cities, business closures, restrictions on travel and emergency quarantines, among others, and responses by businesses and individuals to reduce the risk of exposure to infection, including social distancing in the form of reduced travel, cancellation of meetings and public and private events, and implementation of work-at-home policies, among others, have caused significant disruptions to the global economy and normal business operations across a growing list of sectors and countries, including in the United States.  The foregoing have, and are likely to continue to adversely affect business confidence and consumer sentiments, and have been, and may continue to be, accompanied by significant volatility and declines in financial markets and asset values.  The spread of the coronavirus, particularly if its development into a worldwide health crisis worsens, also may have broader macro-economic implications, including reduced levels of economic growth and possibly a global recession, the effects of which could be felt well beyond the time the pandemic is contained, and which could adversely affect demand for our products and our results of operations and financial condition. The impact of COVID-19 on any of our suppliers, co-manufacturers, distributors or transportation or logistics providers may negatively affect the price and availability of our products and impact our supply chain. If the pandemic continues to evolve into a severe worldwide health crisis, the disease could have a material adverse effect on our business, results of operations, financial condition and cash flows and adversely impact the trading price of our common stock.</w:t>
      </w:r>
    </w:p>
    <w:p>
      <w:pPr>
        <w:pStyle w:val="TextBody"/>
        <w:spacing w:lineRule="auto" w:line="264" w:before="140" w:after="140"/>
        <w:ind w:left="0" w:right="0" w:hanging="0"/>
        <w:jc w:val="both"/>
        <w:rPr>
          <w:rFonts w:ascii="Times New Roman" w:hAnsi="Times New Roman"/>
          <w:i/>
          <w:sz w:val="20"/>
        </w:rPr>
      </w:pPr>
      <w:r>
        <w:rPr>
          <w:rFonts w:ascii="Times New Roman" w:hAnsi="Times New Roman"/>
          <w:i/>
          <w:sz w:val="20"/>
        </w:rPr>
        <w:t>Our stock price fluctuates as a result of the conduct of our business and stock market fluctuations. </w:t>
      </w:r>
    </w:p>
    <w:p>
      <w:pPr>
        <w:pStyle w:val="TextBody"/>
        <w:spacing w:lineRule="auto" w:line="264" w:before="0" w:after="100"/>
        <w:ind w:left="0" w:right="0" w:hanging="0"/>
        <w:jc w:val="both"/>
        <w:rPr>
          <w:rFonts w:ascii="times new roman;times" w:hAnsi="times new roman;times"/>
          <w:sz w:val="20"/>
        </w:rPr>
      </w:pPr>
      <w:r>
        <w:rPr>
          <w:rFonts w:ascii="Times New Roman" w:hAnsi="Times New Roman"/>
          <w:sz w:val="20"/>
        </w:rPr>
        <w:t>The market price of our common stock has experienced significant fluctuations and may continue to fluctuate significantly. The market price of our common stock may be significantly affected by a variety of factors, including the following:</w:t>
      </w:r>
      <w:r>
        <w:rPr>
          <w:rFonts w:ascii="times new roman;times" w:hAnsi="times new roman;times"/>
          <w:sz w:val="20"/>
        </w:rPr>
        <w:t> </w:t>
      </w:r>
    </w:p>
    <w:p>
      <w:pPr>
        <w:pStyle w:val="TextBody"/>
        <w:spacing w:lineRule="auto" w:line="264" w:before="0" w:after="0"/>
        <w:ind w:left="0" w:right="0" w:hanging="0"/>
        <w:jc w:val="both"/>
        <w:rPr/>
      </w:pPr>
      <w:r>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21</w:t>
            </w:r>
          </w:p>
        </w:tc>
      </w:tr>
    </w:tbl>
    <w:p>
      <w:pPr>
        <w:pStyle w:val="HorizontalLine"/>
        <w:spacing w:lineRule="auto" w:line="264" w:before="0" w:after="0"/>
        <w:jc w:val="center"/>
        <w:rPr/>
      </w:pPr>
      <w:r>
        <w:rPr/>
      </w:r>
    </w:p>
    <w:p>
      <w:pPr>
        <w:pStyle w:val="TextBody"/>
        <w:spacing w:lineRule="auto" w:line="264" w:before="0" w:after="0"/>
        <w:jc w:val="left"/>
        <w:rPr/>
      </w:pPr>
      <w:hyperlink w:anchor="TOC">
        <w:r>
          <w:rPr>
            <w:rStyle w:val="InternetLink"/>
            <w:rFonts w:ascii="times new roman;times" w:hAnsi="times new roman;times"/>
            <w:sz w:val="20"/>
          </w:rPr>
          <w:t>Table of Contents</w:t>
        </w:r>
      </w:hyperlink>
    </w:p>
    <w:p>
      <w:pPr>
        <w:pStyle w:val="TextBody"/>
        <w:widowControl/>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ITEM 1A - RISK FACTORS</w:t>
      </w:r>
    </w:p>
    <w:p>
      <w:pPr>
        <w:pStyle w:val="TextBody"/>
        <w:spacing w:lineRule="auto" w:line="264" w:before="0" w:after="0"/>
        <w:ind w:left="0" w:right="0" w:hanging="0"/>
        <w:jc w:val="left"/>
        <w:rPr/>
      </w:pPr>
      <w:r>
        <w:rPr/>
      </w:r>
    </w:p>
    <w:tbl>
      <w:tblPr>
        <w:tblW w:w="5000" w:type="pct"/>
        <w:jc w:val="center"/>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statements or changes in opinions, ratings, or earnings estimates made by brokerage firms or industry analysts relating to the market in which we do business or relating to us specifically;</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disparity between our reported results and the projections of analysts;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shift in sales mix of products that we currently sell to a sales mix of lower-gross profit product offerings;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level and mix of inventory held by our distributors;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announcement of new products or product enhancements by us or our competitors;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technological innovations by us or our competitors;</w:t>
            </w:r>
          </w:p>
        </w:tc>
      </w:tr>
      <w:tr>
        <w:trPr/>
        <w:tc>
          <w:tcPr>
            <w:tcW w:w="184" w:type="dxa"/>
            <w:tcBorders/>
            <w:shd w:fill="auto" w:val="clear"/>
            <w:vAlign w:val="center"/>
          </w:tcPr>
          <w:p>
            <w:pPr>
              <w:pStyle w:val="TableContents"/>
              <w:spacing w:before="0" w:after="0"/>
              <w:ind w:left="0" w:right="0" w:hanging="0"/>
              <w:jc w:val="center"/>
              <w:rPr/>
            </w:pPr>
            <w:r>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success in meeting targeted availability dates for new or redesigned products;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ability to profitably and efficiently manage our supply of products and key components;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ability to maintain profitable relationships with our customers;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ability to maintain an appropriate cost structure;</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quarterly variations in our results of operations;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general consumer confidence or market conditions, or market conditions specific to technology industry;</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domestic and international economic conditions;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unexpected changes in regulatory requirements and tariffs;</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report financial information in a timely manner;</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markets in which our stock is traded;</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integrate the companies we have acquired; and</w:t>
            </w:r>
          </w:p>
        </w:tc>
      </w:tr>
      <w:tr>
        <w:trPr/>
        <w:tc>
          <w:tcPr>
            <w:tcW w:w="18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10021" w:type="dxa"/>
            <w:tcBorders/>
            <w:shd w:fill="auto" w:val="clear"/>
            <w:vAlign w:val="center"/>
          </w:tcPr>
          <w:p>
            <w:pPr>
              <w:pStyle w:val="TableContents"/>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successfully utilize our cash reserves resulting from the settlement of litigation and arbitration matters.</w:t>
            </w:r>
          </w:p>
        </w:tc>
      </w:tr>
    </w:tbl>
    <w:p>
      <w:pPr>
        <w:pStyle w:val="TextBody"/>
        <w:spacing w:lineRule="auto" w:line="264" w:before="0" w:after="0"/>
        <w:ind w:left="0" w:right="0" w:hanging="0"/>
        <w:jc w:val="center"/>
        <w:rPr/>
      </w:pPr>
      <w:r>
        <w:rPr/>
      </w:r>
    </w:p>
    <w:p>
      <w:pPr>
        <w:pStyle w:val="TextBody"/>
        <w:spacing w:lineRule="auto" w:line="264" w:before="0" w:after="0"/>
        <w:ind w:left="0" w:right="0" w:hanging="0"/>
        <w:jc w:val="left"/>
        <w:rPr>
          <w:rFonts w:ascii="Times New Roman" w:hAnsi="Times New Roman"/>
          <w:i/>
          <w:sz w:val="20"/>
        </w:rPr>
      </w:pPr>
      <w:r>
        <w:rPr>
          <w:rFonts w:ascii="Times New Roman" w:hAnsi="Times New Roman"/>
          <w:i/>
          <w:sz w:val="20"/>
        </w:rPr>
        <w:t xml:space="preserve">Our stock price may in the future not meet the minimum bid price for continued listing on the Nasdaq Capital Market. Our ability to publicly or privately sell equity securities and the liquidity of our common stock could be adversely affected if we are delisted from The Nasdaq Capital Market. </w:t>
      </w:r>
    </w:p>
    <w:p>
      <w:pPr>
        <w:pStyle w:val="TextBody"/>
        <w:spacing w:lineRule="auto" w:line="264" w:before="0" w:after="0"/>
        <w:ind w:left="0" w:right="0" w:hanging="0"/>
        <w:jc w:val="center"/>
        <w:rPr/>
      </w:pPr>
      <w:r>
        <w:rPr/>
        <w:t> </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Nasdaq Listing Rule 5450(a)(1) provides that the closing bid price for our common stock may not be below $1.00 per share for any period of 30 consecutive trading days to maintain our continued listing on The Nasdaq Capital Market ("Minimum Bid Price Rule"). Although we are currently in compliance with the Minimum Bid Price Rule, there can be no assurance that our common stock will continue to satisfy this rule. If we were to fail to comply with the Minimum Bid Price Rule in the future and became subject to delisting, such delisting from Nasdaq would adversely affect our ability to raise additional financing through the public or private sale of equity securities, would significantly affect the ability of investors to trade our securities and would negatively affect the value and liquidity of our common stock. Delisting also could have other negative results, including the potential loss of confidence by employees, the loss of institutional investor interest and fewer business development opportunities.</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Rights to acquire our common stock could result in dilution to other holders of our common stock.</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 xml:space="preserve">As of December 31, 2020, there were outstanding options to acquire approximately </w:t>
      </w:r>
      <w:r>
        <w:rPr>
          <w:rFonts w:ascii="Times New Roman" w:hAnsi="Times New Roman"/>
          <w:sz w:val="20"/>
        </w:rPr>
        <w:t>843,446</w:t>
      </w:r>
      <w:r>
        <w:rPr>
          <w:rFonts w:ascii="times new roman;times" w:hAnsi="times new roman;times"/>
          <w:sz w:val="20"/>
        </w:rPr>
        <w:t> </w:t>
      </w:r>
      <w:r>
        <w:rPr>
          <w:rFonts w:ascii="Times New Roman" w:hAnsi="Times New Roman"/>
          <w:sz w:val="20"/>
        </w:rPr>
        <w:t>shares of our common stock at a weighted average exercise price of $</w:t>
      </w:r>
      <w:r>
        <w:rPr>
          <w:rFonts w:ascii="Times New Roman" w:hAnsi="Times New Roman"/>
          <w:sz w:val="20"/>
        </w:rPr>
        <w:t>6.60</w:t>
      </w:r>
      <w:r>
        <w:rPr>
          <w:rFonts w:ascii="times new roman;times" w:hAnsi="times new roman;times"/>
          <w:sz w:val="20"/>
        </w:rPr>
        <w:t> </w:t>
      </w:r>
      <w:r>
        <w:rPr>
          <w:rFonts w:ascii="Times New Roman" w:hAnsi="Times New Roman"/>
          <w:sz w:val="20"/>
        </w:rPr>
        <w:t>per share.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The sale of additional shares of our common stock could have a negative effect on the market price of our common stock.</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The sale of substantial amounts of our common stock in the public market, such as the Rights Offering</w:t>
      </w:r>
      <w:r>
        <w:rPr>
          <w:rFonts w:ascii="times new roman;times" w:hAnsi="times new roman;times"/>
          <w:sz w:val="20"/>
        </w:rPr>
        <w:t xml:space="preserve"> that we completed in December 2018 and the Notes and Warrants that we issued in December 2019</w:t>
      </w:r>
      <w:r>
        <w:rPr>
          <w:rFonts w:ascii="Times New Roman" w:hAnsi="Times New Roman"/>
          <w:sz w:val="20"/>
        </w:rPr>
        <w: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22</w:t>
            </w:r>
          </w:p>
        </w:tc>
      </w:tr>
    </w:tbl>
    <w:p>
      <w:pPr>
        <w:pStyle w:val="HorizontalLine"/>
        <w:spacing w:lineRule="auto" w:line="264" w:before="0" w:after="0"/>
        <w:jc w:val="center"/>
        <w:rPr/>
      </w:pPr>
      <w:r>
        <w:rPr/>
      </w:r>
    </w:p>
    <w:p>
      <w:pPr>
        <w:pStyle w:val="TextBody"/>
        <w:spacing w:lineRule="auto" w:line="264"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64"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ITEM 1A - RISK FACTORS</w:t>
      </w:r>
    </w:p>
    <w:p>
      <w:pPr>
        <w:pStyle w:val="TextBody"/>
        <w:widowControl/>
        <w:spacing w:before="0" w:after="0"/>
        <w:ind w:left="0" w:right="0" w:hanging="0"/>
        <w:jc w:val="center"/>
        <w:rPr/>
      </w:pPr>
      <w:r>
        <w:rPr/>
      </w:r>
    </w:p>
    <w:p>
      <w:pPr>
        <w:pStyle w:val="TextBody"/>
        <w:spacing w:lineRule="auto" w:line="264" w:before="0" w:after="0"/>
        <w:ind w:left="0" w:right="0" w:hanging="0"/>
        <w:jc w:val="both"/>
        <w:rPr>
          <w:rFonts w:ascii="Times New Roman" w:hAnsi="Times New Roman"/>
          <w:i/>
          <w:sz w:val="20"/>
        </w:rPr>
      </w:pPr>
      <w:r>
        <w:rPr>
          <w:rFonts w:ascii="Times New Roman" w:hAnsi="Times New Roman"/>
          <w:i/>
          <w:sz w:val="20"/>
        </w:rPr>
        <w:t>If equity research analysts do not publish research or reports about our business or if they issue unfavorable commentary or downgrade our common stock, the price of our common stock could decline.</w:t>
      </w:r>
    </w:p>
    <w:p>
      <w:pPr>
        <w:pStyle w:val="TextBody"/>
        <w:spacing w:lineRule="auto" w:line="264" w:before="0" w:after="0"/>
        <w:ind w:left="0" w:right="0" w:hanging="0"/>
        <w:jc w:val="center"/>
        <w:rPr/>
      </w:pPr>
      <w:r>
        <w:rPr/>
        <w:t> </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pStyle w:val="TextBody"/>
        <w:spacing w:lineRule="auto" w:line="264" w:before="0" w:after="0"/>
        <w:ind w:left="0" w:right="0" w:hanging="0"/>
        <w:jc w:val="center"/>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i/>
          <w:sz w:val="20"/>
        </w:rPr>
        <w:t>Write off of</w:t>
      </w:r>
      <w:r>
        <w:rPr>
          <w:rFonts w:ascii="times new roman;times" w:hAnsi="times new roman;times"/>
          <w:sz w:val="20"/>
        </w:rPr>
        <w:t xml:space="preserve"> </w:t>
      </w:r>
      <w:r>
        <w:rPr>
          <w:rFonts w:ascii="Times New Roman" w:hAnsi="Times New Roman"/>
          <w:i/>
          <w:sz w:val="20"/>
        </w:rPr>
        <w:t>capitalized legal expenses related to our defense of patents could negatively impact our net income and stockholders' equity.</w:t>
      </w:r>
    </w:p>
    <w:p>
      <w:pPr>
        <w:pStyle w:val="TextBody"/>
        <w:spacing w:lineRule="auto" w:line="264" w:before="0" w:after="0"/>
        <w:ind w:left="0" w:right="0" w:hanging="0"/>
        <w:jc w:val="center"/>
        <w:rPr/>
      </w:pPr>
      <w:r>
        <w:rPr/>
        <w:t> </w:t>
      </w:r>
    </w:p>
    <w:p>
      <w:pPr>
        <w:pStyle w:val="TextBody"/>
        <w:spacing w:lineRule="auto" w:line="264" w:before="0" w:after="0"/>
        <w:ind w:left="0" w:right="0" w:hanging="0"/>
        <w:jc w:val="both"/>
        <w:rPr>
          <w:rFonts w:ascii="times new roman;times" w:hAnsi="times new roman;times"/>
          <w:sz w:val="20"/>
        </w:rPr>
      </w:pPr>
      <w:r>
        <w:rPr>
          <w:rFonts w:ascii="Times New Roman" w:hAnsi="Times New Roman"/>
          <w:sz w:val="20"/>
        </w:rPr>
        <w:t>Our intangible assets include capitalized legal expenses net of amortization of $16.6</w:t>
      </w:r>
      <w:r>
        <w:rPr>
          <w:rFonts w:ascii="times new roman;times" w:hAnsi="times new roman;times"/>
          <w:sz w:val="20"/>
        </w:rPr>
        <w:t xml:space="preserve"> </w:t>
      </w:r>
      <w:r>
        <w:rPr>
          <w:rFonts w:ascii="Times New Roman" w:hAnsi="Times New Roman"/>
          <w:sz w:val="20"/>
        </w:rPr>
        <w:t>million related to our defense of patents from infringement by our competitors. Legal expenses have been capitalized upon satisfaction of two conditions: (a) a determination being made that a successful defense of this litigation is probable, and (b) that the monetary benefits arising out of such successful defense will be in excess of the costs for the defense. If either one of these conditions fail to be satisfied in the future, the carrying amount in the books may</w:t>
      </w:r>
      <w:r>
        <w:rPr>
          <w:rFonts w:ascii="times new roman;times" w:hAnsi="times new roman;times"/>
          <w:sz w:val="20"/>
        </w:rPr>
        <w:t> </w:t>
      </w:r>
      <w:r>
        <w:rPr>
          <w:rFonts w:ascii="Times New Roman" w:hAnsi="Times New Roman"/>
          <w:sz w:val="20"/>
        </w:rPr>
        <w:t>have to be written off either completely or partially.</w:t>
      </w:r>
      <w:r>
        <w:rPr>
          <w:rFonts w:ascii="times new roman;times" w:hAnsi="times new roman;times"/>
          <w:sz w:val="20"/>
        </w:rPr>
        <w:t> </w:t>
      </w:r>
      <w:r>
        <w:rPr>
          <w:rFonts w:ascii="Times New Roman" w:hAnsi="Times New Roman"/>
          <w:sz w:val="20"/>
        </w:rPr>
        <w:t>There can be no assurance that we will be successful in the defense of these litigation claims, in whole or in part.</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spacing w:lineRule="auto" w:line="264" w:before="0" w:after="0"/>
        <w:ind w:left="0" w:right="0" w:hanging="0"/>
        <w:jc w:val="both"/>
        <w:rPr>
          <w:rFonts w:ascii="Times New Roman;serif" w:hAnsi="Times New Roman;serif"/>
          <w:i/>
          <w:sz w:val="20"/>
        </w:rPr>
      </w:pPr>
      <w:r>
        <w:rPr>
          <w:rFonts w:ascii="Times New Roman;serif" w:hAnsi="Times New Roman;serif"/>
          <w:i/>
          <w:sz w:val="20"/>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serif" w:hAnsi="Times New Roman;serif"/>
          <w:sz w:val="20"/>
        </w:rPr>
      </w:pPr>
      <w:r>
        <w:rPr>
          <w:rFonts w:ascii="Times New Roman;serif" w:hAnsi="Times New Roman;serif"/>
          <w:sz w:val="20"/>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 of incorporation or our bylaws or (iv) any action asserting a claim governed by the internal affairs doctrine, in each case subject to the Delaware Court of Chancery having personal jurisdiction over the indispensable parties named as defendants therein.</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 w:hAnsi="Times New Roman"/>
          <w:sz w:val="20"/>
        </w:rPr>
      </w:pPr>
      <w:r>
        <w:rPr>
          <w:rFonts w:ascii="Times New Roman;serif" w:hAnsi="Times New Roman;serif"/>
          <w:sz w:val="20"/>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r>
        <w:rPr>
          <w:rFonts w:ascii="Times New Roman" w:hAnsi="Times New Roman"/>
          <w:sz w:val="20"/>
        </w:rPr>
        <w:t xml:space="preserve"> </w:t>
      </w:r>
    </w:p>
    <w:p>
      <w:pPr>
        <w:pStyle w:val="TextBody"/>
        <w:spacing w:lineRule="auto" w:line="264" w:before="0" w:after="0"/>
        <w:ind w:left="0" w:right="0" w:hanging="0"/>
        <w:jc w:val="both"/>
        <w:rPr>
          <w:rFonts w:ascii="Times New Roman;serif" w:hAnsi="Times New Roman;serif"/>
          <w:sz w:val="20"/>
        </w:rPr>
      </w:pPr>
      <w:r>
        <w:rPr>
          <w:rFonts w:ascii="Times New Roman;serif" w:hAnsi="Times New Roman;serif"/>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23</w:t>
            </w:r>
          </w:p>
        </w:tc>
      </w:tr>
    </w:tbl>
    <w:p>
      <w:pPr>
        <w:pStyle w:val="HorizontalLine"/>
        <w:spacing w:lineRule="auto" w:line="264" w:before="0" w:after="0"/>
        <w:jc w:val="center"/>
        <w:rPr/>
      </w:pPr>
      <w:r>
        <w:rPr/>
      </w:r>
    </w:p>
    <w:p>
      <w:pPr>
        <w:pStyle w:val="TextBody"/>
        <w:spacing w:lineRule="auto" w:line="264" w:before="0" w:after="0"/>
        <w:jc w:val="left"/>
        <w:rPr/>
      </w:pPr>
      <w:hyperlink w:anchor="TOC">
        <w:r>
          <w:rPr>
            <w:rStyle w:val="InternetLink"/>
            <w:rFonts w:ascii="times new roman;times" w:hAnsi="times new roman;times"/>
            <w:sz w:val="20"/>
          </w:rPr>
          <w:t>Table of Contents</w:t>
        </w:r>
      </w:hyperlink>
    </w:p>
    <w:p>
      <w:pPr>
        <w:pStyle w:val="TextBody"/>
        <w:spacing w:lineRule="auto" w:line="264" w:before="0" w:after="0"/>
        <w:ind w:left="0" w:right="0" w:hanging="0"/>
        <w:jc w:val="center"/>
        <w:rPr/>
      </w:pPr>
      <w:r>
        <w:rPr/>
      </w:r>
    </w:p>
    <w:p>
      <w:pPr>
        <w:pStyle w:val="TextBody"/>
        <w:spacing w:lineRule="auto" w:line="264" w:before="0" w:after="0"/>
        <w:ind w:left="0" w:right="0" w:hanging="0"/>
        <w:jc w:val="left"/>
        <w:rPr/>
      </w:pPr>
      <w:hyperlink r:id="rId5">
        <w:r>
          <w:rPr>
            <w:rStyle w:val="VisitedInternetLink"/>
            <w:rFonts w:ascii="Times New Roman" w:hAnsi="Times New Roman"/>
            <w:b/>
            <w:strike w:val="false"/>
            <w:dstrike w:val="false"/>
            <w:color w:val="000000"/>
            <w:sz w:val="20"/>
            <w:u w:val="none"/>
            <w:effect w:val="none"/>
          </w:rPr>
          <w:t xml:space="preserve">ITEM </w:t>
        </w:r>
      </w:hyperlink>
      <w:hyperlink r:id="rId6">
        <w:r>
          <w:rPr>
            <w:rStyle w:val="VisitedInternetLink"/>
            <w:rFonts w:ascii="Times New Roman" w:hAnsi="Times New Roman"/>
            <w:b/>
            <w:strike w:val="false"/>
            <w:dstrike w:val="false"/>
            <w:color w:val="000000"/>
            <w:sz w:val="20"/>
            <w:u w:val="none"/>
            <w:effect w:val="none"/>
          </w:rPr>
          <w:t>1</w:t>
        </w:r>
      </w:hyperlink>
      <w:hyperlink r:id="rId7">
        <w:r>
          <w:rPr>
            <w:rStyle w:val="VisitedInternetLink"/>
            <w:rFonts w:ascii="Times New Roman" w:hAnsi="Times New Roman"/>
            <w:b/>
            <w:strike w:val="false"/>
            <w:dstrike w:val="false"/>
            <w:color w:val="000000"/>
            <w:sz w:val="20"/>
            <w:u w:val="none"/>
            <w:effect w:val="none"/>
          </w:rPr>
          <w:t>B. UNRESOLVED STAFF COMMENTS</w:t>
        </w:r>
      </w:hyperlink>
    </w:p>
    <w:p>
      <w:pPr>
        <w:pStyle w:val="TextBody"/>
        <w:spacing w:lineRule="auto" w:line="264" w:before="0" w:after="0"/>
        <w:ind w:left="0" w:right="0" w:hanging="0"/>
        <w:jc w:val="center"/>
        <w:rPr/>
      </w:pPr>
      <w:r>
        <w:rPr/>
        <w:t> </w:t>
      </w:r>
    </w:p>
    <w:p>
      <w:pPr>
        <w:pStyle w:val="TextBody"/>
        <w:spacing w:lineRule="auto" w:line="264" w:before="0" w:after="0"/>
        <w:ind w:left="0" w:right="0" w:hanging="0"/>
        <w:jc w:val="left"/>
        <w:rPr>
          <w:rFonts w:ascii="Times New Roman" w:hAnsi="Times New Roman"/>
          <w:sz w:val="20"/>
        </w:rPr>
      </w:pPr>
      <w:r>
        <w:rPr>
          <w:rFonts w:ascii="Times New Roman" w:hAnsi="Times New Roman"/>
          <w:sz w:val="20"/>
        </w:rPr>
        <w:t>Not applicable.</w:t>
      </w:r>
    </w:p>
    <w:p>
      <w:pPr>
        <w:pStyle w:val="TextBody"/>
        <w:spacing w:lineRule="auto" w:line="264" w:before="0" w:after="0"/>
        <w:ind w:left="0" w:right="0" w:hanging="0"/>
        <w:jc w:val="center"/>
        <w:rPr/>
      </w:pPr>
      <w:r>
        <w:rPr/>
        <w:t> </w:t>
      </w:r>
    </w:p>
    <w:p>
      <w:pPr>
        <w:pStyle w:val="TextBody"/>
        <w:spacing w:lineRule="auto" w:line="264" w:before="0" w:after="0"/>
        <w:ind w:left="0" w:right="0" w:hanging="0"/>
        <w:jc w:val="left"/>
        <w:rPr/>
      </w:pPr>
      <w:hyperlink r:id="rId8">
        <w:r>
          <w:rPr>
            <w:rStyle w:val="VisitedInternetLink"/>
            <w:rFonts w:ascii="Times New Roman" w:hAnsi="Times New Roman"/>
            <w:b/>
            <w:strike w:val="false"/>
            <w:dstrike w:val="false"/>
            <w:color w:val="000000"/>
            <w:sz w:val="20"/>
            <w:u w:val="none"/>
            <w:effect w:val="none"/>
          </w:rPr>
          <w:t>ITEM 2. PROPERTIES</w:t>
        </w:r>
      </w:hyperlink>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serif" w:hAnsi="Times New Roman;serif"/>
          <w:sz w:val="20"/>
        </w:rPr>
      </w:pPr>
      <w:r>
        <w:rPr>
          <w:rFonts w:ascii="Times New Roman;serif" w:hAnsi="Times New Roman;serif"/>
          <w:sz w:val="20"/>
        </w:rPr>
        <w:t>We occupy a 1,350 square-foot facility in Gainesville, Florida under the terms of an operating lease expiring in February 2023. The Gainesville facility is used primarily to support our research and development activities. </w:t>
      </w:r>
    </w:p>
    <w:p>
      <w:pPr>
        <w:pStyle w:val="TextBody"/>
        <w:spacing w:lineRule="auto" w:line="264"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serif" w:hAnsi="Times New Roman;serif"/>
          <w:color w:val="000000"/>
          <w:sz w:val="20"/>
        </w:rPr>
      </w:pPr>
      <w:r>
        <w:rPr>
          <w:rFonts w:ascii="Times New Roman;serif" w:hAnsi="Times New Roman;serif"/>
          <w:color w:val="000000"/>
          <w:sz w:val="20"/>
        </w:rPr>
        <w:t>We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  </w:t>
      </w:r>
    </w:p>
    <w:p>
      <w:pPr>
        <w:pStyle w:val="TextBody"/>
        <w:spacing w:lineRule="auto" w:line="264"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serif" w:hAnsi="Times New Roman;serif"/>
          <w:color w:val="000000"/>
          <w:sz w:val="20"/>
        </w:rPr>
      </w:pPr>
      <w:r>
        <w:rPr>
          <w:rFonts w:ascii="Times New Roman;serif" w:hAnsi="Times New Roman;serif"/>
          <w:color w:val="000000"/>
          <w:sz w:val="20"/>
        </w:rPr>
        <w:t>We occupy a 950 square-foot facility in Austin, Texas under the terms of an operating lease expiring in October 2022. This facility supports our sales, marketing, customer support, and research and development activities.</w:t>
      </w:r>
    </w:p>
    <w:p>
      <w:pPr>
        <w:pStyle w:val="TextBody"/>
        <w:spacing w:lineRule="auto" w:line="264"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serif" w:hAnsi="Times New Roman;serif"/>
          <w:color w:val="000000"/>
          <w:sz w:val="20"/>
        </w:rPr>
      </w:pPr>
      <w:r>
        <w:rPr>
          <w:rFonts w:ascii="Times New Roman;serif" w:hAnsi="Times New Roman;serif"/>
          <w:color w:val="000000"/>
          <w:sz w:val="20"/>
        </w:rPr>
        <w:t>We occupy a 3,068 square-foot facility in Zaragoza, Spain under the terms of an operating lease expiring in March 2022.  This office supports our research and development and customer support activities.</w:t>
      </w:r>
    </w:p>
    <w:p>
      <w:pPr>
        <w:pStyle w:val="TextBody"/>
        <w:spacing w:lineRule="auto" w:line="264"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serif" w:hAnsi="Times New Roman;serif"/>
          <w:color w:val="000000"/>
          <w:sz w:val="20"/>
        </w:rPr>
      </w:pPr>
      <w:r>
        <w:rPr>
          <w:rFonts w:ascii="Times New Roman;serif" w:hAnsi="Times New Roman;serif"/>
          <w:color w:val="000000"/>
          <w:sz w:val="20"/>
        </w:rPr>
        <w:t>We occupy a 6,175 square-foot facility in Chennai, India under the terms of an operating lease expiring in August 2021. This facility supports our administrative, marketing, customer support, and research and product development activities.</w:t>
      </w:r>
    </w:p>
    <w:p>
      <w:pPr>
        <w:pStyle w:val="TextBody"/>
        <w:spacing w:lineRule="auto" w:line="264"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times" w:hAnsi="times new roman;times"/>
          <w:sz w:val="20"/>
        </w:rPr>
      </w:pPr>
      <w:r>
        <w:rPr>
          <w:rFonts w:ascii="Times New Roman;serif" w:hAnsi="Times New Roman;serif"/>
          <w:color w:val="000000"/>
          <w:sz w:val="20"/>
        </w:rPr>
        <w:t>We occupy a 40,000 square-foot warehouse in Salt Lake City, Utah under the terms of an operating lease expiring in April 2025, which serves as our primary inventory fulfillment and repair center.</w:t>
      </w:r>
      <w:r>
        <w:rPr>
          <w:rFonts w:ascii="times new roman;times" w:hAnsi="times new roman;times"/>
          <w:sz w:val="20"/>
        </w:rPr>
        <w:t xml:space="preserve"> </w:t>
      </w:r>
    </w:p>
    <w:p>
      <w:pPr>
        <w:pStyle w:val="TextBody"/>
        <w:spacing w:lineRule="auto" w:line="264" w:before="0" w:after="0"/>
        <w:ind w:left="0" w:right="0" w:hanging="0"/>
        <w:jc w:val="both"/>
        <w:rPr/>
      </w:pPr>
      <w:r>
        <w:rPr/>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We believe our current facilities are adequate to meet our needs for the foreseeable future and that suitable additional or alternative space will be available in the future on commercially reasonable terms as needed.</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pPr>
      <w:hyperlink r:id="rId9">
        <w:r>
          <w:rPr>
            <w:rStyle w:val="VisitedInternetLink"/>
            <w:rFonts w:ascii="Times New Roman" w:hAnsi="Times New Roman"/>
            <w:b/>
            <w:strike w:val="false"/>
            <w:dstrike w:val="false"/>
            <w:color w:val="000000"/>
            <w:sz w:val="20"/>
            <w:u w:val="none"/>
            <w:effect w:val="none"/>
          </w:rPr>
          <w:t>ITEM 3. LEGAL PROCEEDINGS</w:t>
        </w:r>
      </w:hyperlink>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pPr>
      <w:r>
        <w:rPr>
          <w:rFonts w:ascii="Times New Roman" w:hAnsi="Times New Roman"/>
          <w:sz w:val="20"/>
        </w:rPr>
        <w:t xml:space="preserve">See </w:t>
      </w:r>
      <w:hyperlink w:anchor="Note 8 - Contingencies">
        <w:r>
          <w:rPr>
            <w:rStyle w:val="InternetLink"/>
            <w:rFonts w:ascii="Times New Roman" w:hAnsi="Times New Roman"/>
            <w:sz w:val="20"/>
            <w:u w:val="single"/>
          </w:rPr>
          <w:t>Note 8 – Commitments and Contingencies-Legal Proceedings</w:t>
        </w:r>
      </w:hyperlink>
      <w:r>
        <w:rPr>
          <w:rFonts w:ascii="times new roman;times" w:hAnsi="times new roman;times"/>
          <w:sz w:val="20"/>
        </w:rPr>
        <w:t> </w:t>
      </w:r>
      <w:r>
        <w:rPr>
          <w:rFonts w:ascii="Times New Roman" w:hAnsi="Times New Roman"/>
          <w:sz w:val="20"/>
        </w:rPr>
        <w:t>of the Notes to Consolidated Financial Statements (Part II, Item 8) for information regarding legal proceedings in which we are involved, which is incorporated in this Item 3 by reference.</w:t>
      </w:r>
    </w:p>
    <w:p>
      <w:pPr>
        <w:pStyle w:val="TextBody"/>
        <w:spacing w:lineRule="auto" w:line="264" w:before="0" w:after="0"/>
        <w:ind w:left="0" w:right="0" w:hanging="0"/>
        <w:jc w:val="center"/>
        <w:rPr/>
      </w:pPr>
      <w:r>
        <w:rPr/>
        <w:t> </w:t>
      </w:r>
    </w:p>
    <w:p>
      <w:pPr>
        <w:pStyle w:val="TextBody"/>
        <w:spacing w:lineRule="auto" w:line="264" w:before="0" w:after="0"/>
        <w:ind w:left="0" w:right="0" w:hanging="0"/>
        <w:jc w:val="left"/>
        <w:rPr/>
      </w:pPr>
      <w:hyperlink r:id="rId10">
        <w:r>
          <w:rPr>
            <w:rStyle w:val="VisitedInternetLink"/>
            <w:rFonts w:ascii="Times New Roman" w:hAnsi="Times New Roman"/>
            <w:b/>
            <w:strike w:val="false"/>
            <w:dstrike w:val="false"/>
            <w:color w:val="000000"/>
            <w:sz w:val="20"/>
            <w:u w:val="none"/>
            <w:effect w:val="none"/>
          </w:rPr>
          <w:t>ITEM 4. MINE SAFETY DISCLOSURES</w:t>
        </w:r>
      </w:hyperlink>
    </w:p>
    <w:p>
      <w:pPr>
        <w:pStyle w:val="TextBody"/>
        <w:spacing w:lineRule="auto" w:line="264" w:before="0" w:after="0"/>
        <w:ind w:left="0" w:right="0" w:hanging="0"/>
        <w:jc w:val="left"/>
        <w:rPr/>
      </w:pPr>
      <w:r>
        <w:rPr/>
        <w:t> </w:t>
      </w:r>
    </w:p>
    <w:p>
      <w:pPr>
        <w:pStyle w:val="TextBody"/>
        <w:spacing w:lineRule="auto" w:line="264" w:before="0" w:after="0"/>
        <w:ind w:left="0" w:right="0" w:hanging="0"/>
        <w:jc w:val="left"/>
        <w:rPr>
          <w:rFonts w:ascii="Times New Roman" w:hAnsi="Times New Roman"/>
          <w:sz w:val="20"/>
        </w:rPr>
      </w:pPr>
      <w:r>
        <w:rPr>
          <w:rFonts w:ascii="Times New Roman" w:hAnsi="Times New Roman"/>
          <w:sz w:val="20"/>
        </w:rPr>
        <w:t>Not Applicable. </w:t>
      </w:r>
    </w:p>
    <w:p>
      <w:pPr>
        <w:pStyle w:val="TextBody"/>
        <w:spacing w:lineRule="auto" w:line="264" w:before="0" w:after="0"/>
        <w:ind w:left="0" w:right="0" w:hanging="0"/>
        <w:jc w:val="center"/>
        <w:rPr>
          <w:rFonts w:ascii="Times New Roman" w:hAnsi="Times New Roman"/>
          <w:sz w:val="20"/>
        </w:rPr>
      </w:pPr>
      <w:r>
        <w:rPr>
          <w:rFonts w:ascii="Times New Roman" w:hAnsi="Times New Roman"/>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24</w:t>
            </w:r>
          </w:p>
        </w:tc>
      </w:tr>
    </w:tbl>
    <w:p>
      <w:pPr>
        <w:pStyle w:val="HorizontalLine"/>
        <w:spacing w:lineRule="auto" w:line="264" w:before="0" w:after="0"/>
        <w:jc w:val="center"/>
        <w:rPr/>
      </w:pPr>
      <w:r>
        <w:rPr/>
      </w:r>
    </w:p>
    <w:p>
      <w:pPr>
        <w:pStyle w:val="TextBody"/>
        <w:spacing w:lineRule="auto" w:line="264" w:before="0" w:after="0"/>
        <w:jc w:val="left"/>
        <w:rPr/>
      </w:pPr>
      <w:hyperlink w:anchor="TOC">
        <w:r>
          <w:rPr>
            <w:rStyle w:val="InternetLink"/>
            <w:rFonts w:ascii="times new roman;times" w:hAnsi="times new roman;times"/>
            <w:sz w:val="20"/>
          </w:rPr>
          <w:t>Table of Contents</w:t>
        </w:r>
      </w:hyperlink>
    </w:p>
    <w:p>
      <w:pPr>
        <w:pStyle w:val="TextBody"/>
        <w:spacing w:lineRule="auto" w:line="264" w:before="0" w:after="0"/>
        <w:ind w:left="0" w:right="0" w:hanging="0"/>
        <w:jc w:val="center"/>
        <w:rPr/>
      </w:pPr>
      <w:r>
        <w:rPr/>
      </w:r>
    </w:p>
    <w:p>
      <w:pPr>
        <w:pStyle w:val="TextBody"/>
        <w:spacing w:lineRule="auto" w:line="288" w:before="0" w:after="0"/>
        <w:ind w:left="0" w:right="0" w:hanging="0"/>
        <w:jc w:val="center"/>
        <w:rPr/>
      </w:pPr>
      <w:hyperlink r:id="rId11">
        <w:r>
          <w:rPr>
            <w:rStyle w:val="VisitedInternetLink"/>
            <w:rFonts w:ascii="Times New Roman" w:hAnsi="Times New Roman"/>
            <w:b/>
            <w:strike w:val="false"/>
            <w:dstrike w:val="false"/>
            <w:color w:val="000000"/>
            <w:sz w:val="20"/>
            <w:u w:val="none"/>
            <w:effect w:val="none"/>
          </w:rPr>
          <w:t>PART II</w:t>
        </w:r>
      </w:hyperlink>
      <w:r>
        <w:rPr>
          <w:rFonts w:ascii="times new roman;times" w:hAnsi="times new roman;times"/>
          <w:sz w:val="20"/>
        </w:rPr>
        <w:t> </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pPr>
      <w:hyperlink r:id="rId12">
        <w:r>
          <w:rPr>
            <w:rStyle w:val="VisitedInternetLink"/>
            <w:rFonts w:ascii="Times New Roman" w:hAnsi="Times New Roman"/>
            <w:b/>
            <w:strike w:val="false"/>
            <w:dstrike w:val="false"/>
            <w:color w:val="000000"/>
            <w:sz w:val="20"/>
            <w:u w:val="none"/>
            <w:effect w:val="none"/>
          </w:rPr>
          <w:t>ITEM 5. MARKET FOR REGISTRANT’S COMMON EQUITY, RELATED STOCKHOLDER MATTERS AND ISSUER PURCHASES OF EQUITY SECURITIES</w:t>
        </w:r>
      </w:hyperlink>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 xml:space="preserve">Our common stock is traded on the NASDAQ Capital Market under the symbol CLRO. On </w:t>
      </w:r>
      <w:r>
        <w:rPr>
          <w:rFonts w:ascii="times new roman;times" w:hAnsi="times new roman;times"/>
          <w:sz w:val="20"/>
        </w:rPr>
        <w:t>March 30, 2021</w:t>
      </w:r>
      <w:r>
        <w:rPr>
          <w:rFonts w:ascii="Times New Roman" w:hAnsi="Times New Roman"/>
          <w:sz w:val="20"/>
        </w:rPr>
        <w:t>, there were 18,775,773</w:t>
      </w:r>
      <w:r>
        <w:rPr>
          <w:rFonts w:ascii="times new roman;times" w:hAnsi="times new roman;times"/>
          <w:sz w:val="20"/>
        </w:rPr>
        <w:t>  </w:t>
      </w:r>
      <w:r>
        <w:rPr>
          <w:rFonts w:ascii="Times New Roman" w:hAnsi="Times New Roman"/>
          <w:sz w:val="20"/>
        </w:rPr>
        <w:t>shares of our common stock issued and outstanding held by approximately 300</w:t>
      </w:r>
      <w:r>
        <w:rPr>
          <w:rFonts w:ascii="times new roman;times" w:hAnsi="times new roman;times"/>
          <w:sz w:val="20"/>
        </w:rPr>
        <w:t> </w:t>
      </w:r>
      <w:r>
        <w:rPr>
          <w:rFonts w:ascii="Times New Roman" w:hAnsi="Times New Roman"/>
          <w:sz w:val="20"/>
        </w:rPr>
        <w:t>shareholders of record. Each broker dealer or a clearing corporation that holds shares for customers is counted as a single shareholder of record.</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Dividends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t>The Company paid a cash dividend of $0.07 per share of ClearOne common stock in the first quarter of 2018. As part of the focus on preserving cash in connection with our litigation to defend our strategic patents from infringement, on June 13, 2018, the Company announced the suspension of its dividend program until such time as the Company deems it appropriate to once again declare dividends.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Issuer Purchases of Equity Securities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times" w:hAnsi="times new roman;times"/>
          <w:sz w:val="20"/>
        </w:rPr>
        <w:t>None.</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 xml:space="preserve">Sales of Unregistered Securities </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t>None.</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pPr>
      <w:hyperlink r:id="rId13">
        <w:r>
          <w:rPr>
            <w:rStyle w:val="VisitedInternetLink"/>
            <w:rFonts w:ascii="Times New Roman" w:hAnsi="Times New Roman"/>
            <w:b/>
            <w:strike w:val="false"/>
            <w:dstrike w:val="false"/>
            <w:color w:val="000000"/>
            <w:sz w:val="20"/>
            <w:u w:val="none"/>
            <w:effect w:val="none"/>
          </w:rPr>
          <w:t>ITEM 6. SELECTED CONSOLIDATED FINANCIAL DATA</w:t>
        </w:r>
      </w:hyperlink>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t>Not applicable.</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25</w:t>
            </w:r>
          </w:p>
        </w:tc>
      </w:tr>
    </w:tbl>
    <w:p>
      <w:pPr>
        <w:pStyle w:val="HorizontalLine"/>
        <w:spacing w:lineRule="auto" w:line="288" w:before="0" w:after="0"/>
        <w:jc w:val="both"/>
        <w:rPr/>
      </w:pPr>
      <w:r>
        <w:rPr/>
      </w:r>
    </w:p>
    <w:p>
      <w:pPr>
        <w:pStyle w:val="TextBody"/>
        <w:spacing w:lineRule="auto" w:line="288" w:before="0" w:after="0"/>
        <w:jc w:val="left"/>
        <w:rPr/>
      </w:pPr>
      <w:hyperlink w:anchor="TOC">
        <w:r>
          <w:rPr>
            <w:rStyle w:val="InternetLink"/>
            <w:rFonts w:ascii="times new roman;times" w:hAnsi="times new roman;times"/>
            <w:sz w:val="20"/>
          </w:rPr>
          <w:t>Table of Contents</w:t>
        </w:r>
      </w:hyperlink>
    </w:p>
    <w:p>
      <w:pPr>
        <w:pStyle w:val="TextBody"/>
        <w:spacing w:lineRule="auto" w:line="288" w:before="0" w:after="0"/>
        <w:ind w:left="0" w:right="0" w:hanging="0"/>
        <w:jc w:val="both"/>
        <w:rPr/>
      </w:pPr>
      <w:r>
        <w:rPr/>
      </w:r>
    </w:p>
    <w:p>
      <w:pPr>
        <w:pStyle w:val="TextBody"/>
        <w:spacing w:lineRule="auto" w:line="288" w:before="0" w:after="0"/>
        <w:ind w:left="0" w:right="0" w:hanging="0"/>
        <w:jc w:val="both"/>
        <w:rPr/>
      </w:pPr>
      <w:hyperlink r:id="rId14">
        <w:r>
          <w:rPr>
            <w:rStyle w:val="VisitedInternetLink"/>
            <w:rFonts w:ascii="Times New Roman" w:hAnsi="Times New Roman"/>
            <w:b/>
            <w:strike w:val="false"/>
            <w:dstrike w:val="false"/>
            <w:color w:val="000000"/>
            <w:sz w:val="20"/>
            <w:u w:val="none"/>
            <w:effect w:val="none"/>
          </w:rPr>
          <w:t>ITEM 7. MANAGEMENT’S DISCUSSION AND ANALYSIS OF FINANCIAL CONDITION AND RESULTS OF OPERATIONS</w:t>
        </w:r>
      </w:hyperlink>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pStyle w:val="TextBody"/>
        <w:spacing w:lineRule="auto" w:line="240" w:before="0" w:after="0"/>
        <w:ind w:left="0" w:right="0" w:hanging="0"/>
        <w:jc w:val="both"/>
        <w:rPr/>
      </w:pPr>
      <w:r>
        <w:rPr/>
        <w:t> </w:t>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OVERVIEW</w:t>
      </w:r>
    </w:p>
    <w:p>
      <w:pPr>
        <w:pStyle w:val="TextBody"/>
        <w:spacing w:lineRule="auto" w:line="240"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ClearOne is a global market leader enabling conferencing, collaboration and network streaming solutions. The performance and simplicity of our advanced, comprehensive solutions offer unprecedented levels</w:t>
      </w:r>
      <w:r>
        <w:rPr>
          <w:rFonts w:ascii="times new roman;times" w:hAnsi="times new roman;times"/>
          <w:sz w:val="20"/>
        </w:rPr>
        <w:t> </w:t>
      </w:r>
      <w:r>
        <w:rPr>
          <w:rFonts w:ascii="Times New Roman" w:hAnsi="Times New Roman"/>
          <w:sz w:val="20"/>
        </w:rPr>
        <w:t>of functionality, reliability and scalability.</w:t>
      </w:r>
    </w:p>
    <w:p>
      <w:pPr>
        <w:pStyle w:val="TextBody"/>
        <w:spacing w:lineRule="auto" w:line="240"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We derive a major portion of our revenue from audio conferencing products and microphones by primarily promoting our products in the professional audio-visual channel. We have extended our total addressable market from the installed audio conferencing</w:t>
      </w:r>
      <w:r>
        <w:rPr>
          <w:rFonts w:ascii="times new roman;times" w:hAnsi="times new roman;times"/>
          <w:sz w:val="20"/>
        </w:rPr>
        <w:t xml:space="preserve"> </w:t>
      </w:r>
      <w:r>
        <w:rPr>
          <w:rFonts w:ascii="Times New Roman" w:hAnsi="Times New Roman"/>
          <w:sz w:val="20"/>
        </w:rPr>
        <w:t>market to adjacent complementary markets – microphones, video collaboration and AV networking. We have achieved this historically through strategic technological acquisitions as well as by internal product development.</w:t>
      </w:r>
    </w:p>
    <w:p>
      <w:pPr>
        <w:pStyle w:val="TextBody"/>
        <w:spacing w:lineRule="auto" w:line="240" w:before="0" w:after="0"/>
        <w:ind w:left="0" w:right="0" w:hanging="0"/>
        <w:jc w:val="both"/>
        <w:rPr/>
      </w:pPr>
      <w:r>
        <w:rPr/>
        <w:t> </w:t>
      </w:r>
    </w:p>
    <w:p>
      <w:pPr>
        <w:pStyle w:val="TextBody"/>
        <w:widowControl/>
        <w:spacing w:lineRule="auto" w:line="288" w:before="0" w:after="0"/>
        <w:ind w:left="0" w:right="0" w:hanging="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During the first quarter of 2020,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COLLABORATE Versa Lite CT is a USB audio enabled BMA CTH room solution. This solution dramatically enhances the audio experience for any cloud-collaboration application such as COLLABORATE Space,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USB Expander to share room audio. The included 50-foot CAT6 cable connects the USB Expander to the BMA CTH.</w:t>
      </w:r>
    </w:p>
    <w:p>
      <w:pPr>
        <w:pStyle w:val="TextBody"/>
        <w:spacing w:lineRule="auto" w:line="240" w:before="0" w:after="0"/>
        <w:ind w:left="0" w:right="0" w:hanging="0"/>
        <w:jc w:val="both"/>
        <w:rPr/>
      </w:pPr>
      <w:r>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February 2020, we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 pad. When paired with COLLABORATE Live, users can make and receive video calls as well as manage content sharing options.</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COLLABORATE Space, our powerful cloud-based collaboration solution, added two new valuable features - webinar hosting and Web RTC. COLLABORATE Space Pro and Enterprise meeting plans can be upgraded to include the new Webinar feature allowing session hosts to conduct video and audio presentations for up to 1000 participants. The new Web RTC feature works with all popular browsers including Microsoft Edge, Google Chrome, Safari and Mozilla Firefox. The new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 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widowControl/>
        <w:spacing w:lineRule="auto" w:line="264" w:before="0" w:after="0"/>
        <w:ind w:left="0" w:right="0" w:hanging="0"/>
        <w:jc w:val="both"/>
        <w:rPr>
          <w:rFonts w:ascii="times new roman" w:hAnsi="times new roman"/>
          <w:sz w:val="20"/>
        </w:rPr>
      </w:pPr>
      <w:r>
        <w:rPr>
          <w:rFonts w:ascii="times new roman" w:hAnsi="times new roman"/>
          <w:sz w:val="20"/>
        </w:rPr>
        <w:t>During April 2020, we introduced UNITE 20 Pro Webcam, which easily mounts on a PC or laptop to provide full 1080p30 image with an ultra wide-angle field-of-view up to 120</w:t>
      </w:r>
      <w:r>
        <w:rPr>
          <w:rFonts w:ascii="proxima novaregular" w:hAnsi="proxima novaregular"/>
          <w:b w:val="false"/>
          <w:i w:val="false"/>
          <w:caps w:val="false"/>
          <w:smallCaps w:val="false"/>
          <w:color w:val="666666"/>
          <w:spacing w:val="0"/>
          <w:sz w:val="24"/>
        </w:rPr>
        <w:t>°. </w:t>
      </w:r>
      <w:r>
        <w:rPr>
          <w:rFonts w:ascii="times new roman" w:hAnsi="times new roman"/>
          <w:sz w:val="20"/>
        </w:rPr>
        <w:t> A super-high signal-to-noise ratio and advanced 2D and 3D noise reduction provides superior desktop camera video quality.</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26</w:t>
            </w:r>
          </w:p>
        </w:tc>
      </w:tr>
    </w:tbl>
    <w:p>
      <w:pPr>
        <w:pStyle w:val="HorizontalLine"/>
        <w:spacing w:lineRule="auto" w:line="288" w:before="0" w:after="0"/>
        <w:jc w:val="both"/>
        <w:rPr/>
      </w:pPr>
      <w:r>
        <w:rPr/>
      </w:r>
    </w:p>
    <w:p>
      <w:pPr>
        <w:pStyle w:val="TextBody"/>
        <w:spacing w:lineRule="auto" w:line="288"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88" w:before="0" w:after="0"/>
        <w:ind w:left="0" w:right="0" w:hanging="0"/>
        <w:jc w:val="center"/>
        <w:rPr/>
      </w:pPr>
      <w:r>
        <w:rPr/>
        <w:t> </w:t>
      </w: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spacing w:lineRule="auto" w:line="240" w:before="0" w:after="0"/>
        <w:ind w:left="0" w:right="0" w:hanging="0"/>
        <w:jc w:val="both"/>
        <w:rPr/>
      </w:pPr>
      <w:r>
        <w:rPr/>
      </w:r>
    </w:p>
    <w:p>
      <w:pPr>
        <w:pStyle w:val="TextBody"/>
        <w:widowControl/>
        <w:spacing w:lineRule="auto" w:line="288" w:before="0" w:after="0"/>
        <w:ind w:left="0" w:right="0" w:hanging="0"/>
        <w:jc w:val="both"/>
        <w:rPr>
          <w:rFonts w:ascii="times new roman" w:hAnsi="times new roman"/>
          <w:sz w:val="20"/>
        </w:rPr>
      </w:pPr>
      <w:r>
        <w:rPr>
          <w:rFonts w:ascii="times new roman" w:hAnsi="times new roman"/>
          <w:sz w:val="20"/>
        </w:rPr>
        <w:t>During July 2020, we were awarded a significant new patent relating to beamforming microphone array technology by the US Patent and Trademark Office. ClearOne’s innovative new patent, US Patent No. 10,728,653 (the “’653 Patent”),  describes a ceiling tile microphone that includes beamforming, acoustic echo cancellation, and adaptive acoustic processing that automatically adjusts to a room configuration. There is no language in the claims of the new patent limiting its scope to flush-mounted ceiling tile beamforming microphone arrays, as opposed to non-flush mounted ceiling tile beamforming microphone arrays. The ’653 Patent is a member of a family of patents and applications that includes US Patent No. 9,813,806 (</w:t>
      </w:r>
      <w:r>
        <w:rPr>
          <w:rFonts w:ascii="times new roman" w:hAnsi="times new roman"/>
          <w:b w:val="false"/>
          <w:i w:val="false"/>
          <w:caps w:val="false"/>
          <w:smallCaps w:val="false"/>
          <w:color w:val="000000"/>
          <w:spacing w:val="0"/>
          <w:sz w:val="20"/>
        </w:rPr>
        <w:t>the “’806</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Patent”)</w:t>
      </w:r>
      <w:r>
        <w:rPr>
          <w:rFonts w:ascii="times new roman" w:hAnsi="times new roman"/>
          <w:sz w:val="20"/>
        </w:rPr>
        <w:t>. That patent family includes issued patents and patent applications that cover ceiling tile and wall tile embodiments of beamforming microphone arrays, as well as augmentation of beamforming microphone arrays with non-beamforming microphones.</w:t>
      </w:r>
    </w:p>
    <w:p>
      <w:pPr>
        <w:pStyle w:val="TextBody"/>
        <w:spacing w:lineRule="auto" w:line="240" w:before="0" w:after="0"/>
        <w:ind w:left="0" w:right="0" w:hanging="0"/>
        <w:jc w:val="both"/>
        <w:rPr/>
      </w:pPr>
      <w:r>
        <w:rPr/>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Duri</w:t>
      </w:r>
      <w:r>
        <w:rPr>
          <w:rFonts w:ascii="Times New Roman;serif" w:hAnsi="Times New Roman;serif"/>
          <w:b w:val="false"/>
          <w:i w:val="false"/>
          <w:caps w:val="false"/>
          <w:smallCaps w:val="false"/>
          <w:color w:val="000000"/>
          <w:spacing w:val="0"/>
          <w:sz w:val="20"/>
        </w:rPr>
        <w:t>ng September 2020, we shipped </w:t>
      </w:r>
      <w:r>
        <w:rPr>
          <w:rFonts w:ascii="Times New Roman" w:hAnsi="Times New Roman"/>
          <w:b w:val="false"/>
          <w:i w:val="false"/>
          <w:caps w:val="false"/>
          <w:smallCaps w:val="false"/>
          <w:color w:val="000000"/>
          <w:spacing w:val="0"/>
          <w:sz w:val="20"/>
        </w:rPr>
        <w:t>Conference Controller with 10-inch touch screen designed for easy control of ClearOne’s CONVERGE® Pro 2 audio DSP mixers as well as COLLABORATE® Live video conferencing room systems from a single device. The Conference Controller functions can also be conveniently accessed from a personal mobile device, eliminating the need for touching shared surfaces by downloading the free mobile apps. A perfect addition to ClearOne’s audio and video platforms, the Conference Controller can be paired with CONVERGE Pro 2 DSPs, allowing users to make and receive VoIP and/or PSTN conference calls and multiparty calls with the easy-to-use, on-screen dial pad.  When paired with COLLABORATE Live room video systems, users can make and receive video calls as well as manage content-sharing options. A modern user interface makes controlling conferencing functions as intuitive and simple as familiar mobile and tablet devices. The Conference Controller enables easy contact management with built-in search. In addition, the slim and modern industrial design blends well with modern conference-room aesthetics. During 2020, we continued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our</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efforts, primarily through</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litigation,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to stop</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infringement of our strategic patents. We also maintained our programs to cut costs and to speed up product development that we believe will enable us to get back to a growth path.</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October 2020, we announced the latest update of CONVERGENCE AV Network Manager software. The new update now has an organizational portal for multiple user accounts with support for up to 2048 combined devices and users. It also includes LDAP support and two levels of access — a secure administrator level for full access and a viewer level for monitoring with 256-bit encrypted device and user password management. CONVERGENCE software is a unified AV network management platform to monitor, control, and audit ClearOne Pro Audio and Video products and services. Remote real-time system access provides at-a-glance and all-inclusive dashboard views with unlimited scalability designed to support organizations of any size. The solution provides a powerful and elegant user interface on any browser from desktop to mobile. Users can stay up to date with email status notifications and can search, sort, and filter to find what is needed quickly. Efficient batch firmware updates can be performed on multiple audio or video devices at once. Users can also download, back up, or restore project files simultaneously for multiple CONVERGE® Pro 2 and Huddle DSP mixers, as well as their P-Link peripherals.</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software also offers many other features, such as: provisioning CONVERGE Pro 2 VoIP lines and viewing VoIP registration status; configuring and managing COLLABORATE® Live room codecs and COLLABORATE Space user accounts; and downloading logs and reports for devices, users, histories, and calls. CONVERGENCE supports integration with third-party management systems like IBM Cognos Analytics and Barco Overture via a RESTful web service interface. ClearOne’s AV network management platform is available in twelve languages.</w:t>
      </w:r>
    </w:p>
    <w:p>
      <w:pPr>
        <w:pStyle w:val="TextBody"/>
        <w:widowControl/>
        <w:spacing w:lineRule="auto" w:line="288" w:before="0" w:after="0"/>
        <w:ind w:left="0" w:right="0" w:hanging="0"/>
        <w:jc w:val="both"/>
        <w:rPr/>
      </w:pPr>
      <w:r>
        <w:rPr/>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October 2020, we also announced our new BMA 360, the world’s most technologically advanced Beamforming Microphone Array Ceiling Tile, delivering unequaled audio performance and deployment ease. The ClearOne BMA 360 is the world’s first truly wideband, frequency invariant beamforming mic array with uniform gain response across all frequency bands. With FiBeam™ technology, conference participants will experience the ultimate in natural and full fidelity audio across all beams and within a single beam. Deep sidelobe beamforming, DsBeam™, provides unparalleled maximum sidelobe depth, below -40 dB, resulting in superior rejection of reverberation and noise in difficult spaces for superb clarity and intelligibility. The BMA 360 is based on a dramatically new approach to beamforming that provides a new beam topology to easily achieve distortion-free, full 360-degree coverage of any room shape and any seating arrangement using ClearOne Audio Intelligence™. Further advancements in adaptive steering (think of it as smart switching) provide impeccable coverage of each conference participant as well as support for camera tracking.</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27</w:t>
            </w:r>
          </w:p>
        </w:tc>
      </w:tr>
    </w:tbl>
    <w:p>
      <w:pPr>
        <w:pStyle w:val="HorizontalLine"/>
        <w:spacing w:lineRule="auto" w:line="288" w:before="0" w:after="0"/>
        <w:jc w:val="both"/>
        <w:rPr/>
      </w:pPr>
      <w:r>
        <w:rPr/>
      </w:r>
    </w:p>
    <w:p>
      <w:pPr>
        <w:pStyle w:val="TextBody"/>
        <w:spacing w:lineRule="auto" w:line="288"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88"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widowControl/>
        <w:spacing w:lineRule="auto" w:line="288"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addition to the advancements in beamforming technology, the 6G Acoustic Echo Cancellation (AEC) delivers unmatched per-beam full-duplex audio performance. On-board audio algorithms, like noise reduction, filtering, and Automatic Level Control, eliminate the need for per-beam processing in a DSP mixer - requiring fewer DSP mixer resources. Finally, robust built-in amplifiers, configurable as 4 x 15 Watt or 2 x 30 Watt, provide flexibility for driving loudspeakers. ClearOne’s breakthrough technologies, FiBeam, DsBeam, and 6G AEC combine to create VividVoice™, a significant advancement for professional conferencing. The integrated features in the BMA 360 significantly reduce system design complexity, simplify installation, consume less rack space, and lower system cost. The BMA 360 also supports daisy-chaining of up to three ceiling tiles via P-Link for divisible rooms, or larger conference setups – for simpler wiring, longer distances, and lower-cost deployments compared to networked “home-run” connections via Ethernet. ClearOne’s BMA technology is protected by at least a dozen patents and pending patent applications.</w:t>
      </w:r>
    </w:p>
    <w:p>
      <w:pPr>
        <w:pStyle w:val="TextBody"/>
        <w:widowControl/>
        <w:spacing w:lineRule="auto" w:line="288" w:before="0" w:after="0"/>
        <w:ind w:left="0" w:right="0" w:hanging="0"/>
        <w:jc w:val="both"/>
        <w:rPr/>
      </w:pPr>
      <w:r>
        <w:rPr/>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During November 2020, we introduced </w:t>
      </w:r>
      <w:r>
        <w:rPr>
          <w:rFonts w:ascii="times new roman;times" w:hAnsi="times new roman;times"/>
          <w:b w:val="false"/>
          <w:i w:val="false"/>
          <w:caps w:val="false"/>
          <w:smallCaps w:val="false"/>
          <w:color w:val="000000"/>
          <w:spacing w:val="0"/>
          <w:sz w:val="20"/>
        </w:rPr>
        <w:t>Aura™, a comprehensive range of Good, Better and Best packages of enterprise quality audio, video, audio-video options and a free COLLABORATE® Space lifetime subscription, the award-winning video collaboration app to meet the growing home office market demand for professional audio and video collaboration solutions that match the quality found in a traditional corporate office. COVID 19 pandemic had brought long lasting changes to the workplace. Home has become the new office for tens of millions of professionals who now need a work environment every bit as productive as their corporate office. Aura was developed to deliver that much-needed enterprise quality experience in the home. For homeowners, prospective homebuyers, builders, architects and designers, the purpose-built home office is rapidly replacing the home theater in importance. Aura solutions are geared for high performance professionals across multiple industries. Aura meets this growing need for easy to purchase and install commercial quality solutions that deliver HDConference® audio and true-to-life video technology through a variety of professional microphone, audioconferencing, videoconferencing, camera and collaboration component choices that optimize home office acoustic and aesthetic aspirations. Designed to be easily installed by both homeowners and installers, Aura owners are also supported by a dedicated sales and support team that is available 24/7.</w:t>
      </w:r>
    </w:p>
    <w:p>
      <w:pPr>
        <w:pStyle w:val="TextBody"/>
        <w:widowControl/>
        <w:spacing w:lineRule="auto" w:line="288" w:before="0" w:after="0"/>
        <w:ind w:left="0" w:right="0" w:hanging="0"/>
        <w:jc w:val="both"/>
        <w:rPr/>
      </w:pPr>
      <w:r>
        <w:rPr/>
      </w:r>
    </w:p>
    <w:p>
      <w:pPr>
        <w:pStyle w:val="TextBody"/>
        <w:widowControl/>
        <w:spacing w:lineRule="auto" w:line="288" w:before="0" w:after="0"/>
        <w:ind w:left="0" w:right="0" w:hanging="0"/>
        <w:jc w:val="both"/>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 xml:space="preserve">During 2020, our overall revenue increased by 16% when compared to revenue during 2019. </w:t>
      </w:r>
      <w:r>
        <w:rPr>
          <w:rFonts w:ascii="times new roman;times" w:hAnsi="times new roman;times"/>
          <w:b w:val="false"/>
          <w:i w:val="false"/>
          <w:caps w:val="false"/>
          <w:smallCaps w:val="false"/>
          <w:strike w:val="false"/>
          <w:dstrike w:val="false"/>
          <w:color w:val="000000"/>
          <w:spacing w:val="0"/>
          <w:sz w:val="20"/>
          <w:u w:val="none"/>
          <w:effect w:val="none"/>
        </w:rPr>
        <w:t>The increase in revenues were largely due to increase in revenue from video products, also helped by increase in revenue from microphones and partially offset by declines in  revenue from audio conferencing products. </w:t>
      </w:r>
      <w:r>
        <w:rPr>
          <w:rFonts w:ascii="times new roman;times" w:hAnsi="times new roman;times"/>
          <w:b w:val="false"/>
          <w:i w:val="false"/>
          <w:caps w:val="false"/>
          <w:smallCaps w:val="false"/>
          <w:strike w:val="false"/>
          <w:dstrike w:val="false"/>
          <w:color w:val="000000"/>
          <w:spacing w:val="0"/>
          <w:sz w:val="20"/>
          <w:u w:val="none"/>
          <w:effect w:val="none"/>
        </w:rPr>
        <w:t>Despite the negative impact of COVID-19 and the infringement of our patents by Shure on all professional installed products, our new solutions incorporating Beamforming Microphone Array Ceiling Tile ("BMA-CT") resulted in overall Beamforming Microphone Array ("BMA") revenue being significantly higher than last year. However, revenue from BMA products as well as from our pro audio products are far below the levels prior to infringement of our patents. Our revenue performance reflects an impact of the on-going harm of infringement of ClearOne’s patents despite the preliminary injunction granted against Shure as we believe Shure continues to infringe our patents and violates the preliminary injunction. The patent infringement also has negatively impacted directly the revenue from ClearOne’s other products not related to the infringed patents notwithstanding a significant growth in revenue from video products this year. Our gross profit margin decreased to 43.2% during 2020 from 44.7% during 2019. Net profit changed from net loss of $8.4 million in 2019 to net income of $0.5 million in 2020. The change from net loss to net income is primarily due to recognition of income tax refund receivable of approximately $7.1 million arising out of the carryback of net operating losses that became possible due to the enactment of the CARES Act, as well as an increase in gross profit due to increase in revenues and decrease in operating costs.  </w:t>
      </w:r>
    </w:p>
    <w:p>
      <w:pPr>
        <w:pStyle w:val="TextBody"/>
        <w:widowControl/>
        <w:spacing w:lineRule="auto" w:line="288" w:before="0" w:after="0"/>
        <w:ind w:left="0" w:right="0" w:hanging="0"/>
        <w:jc w:val="both"/>
        <w:rPr>
          <w:rFonts w:ascii="times new roman;times" w:hAnsi="times new roman;times"/>
          <w:b w:val="false"/>
          <w:i w:val="false"/>
          <w:caps w:val="false"/>
          <w:smallCaps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z w:val="20"/>
          <w:u w:val="none"/>
          <w:effect w:val="none"/>
        </w:rPr>
      </w:r>
    </w:p>
    <w:p>
      <w:pPr>
        <w:pStyle w:val="TextBody"/>
        <w:widowControl/>
        <w:spacing w:lineRule="auto" w:line="288" w:before="0" w:after="40"/>
        <w:ind w:left="0" w:right="0" w:hanging="0"/>
        <w:jc w:val="both"/>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'806 patent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 On September 1, 2020, the U.S. District Court of Northern Illinois held that "Shure has violated the preliminary injunction order and is found in contempt because it designed the MXA910-A in such a way that allows it to be easily installed flush in most ceiling grids”. The Court also opined that, “[t]he record is clear and convincing that Shure - through its design choices - violated the injunction order by allowing integrators to install the MXA910-A in the enjoined flush configuration.” Ultimately, the Court ordered that “Shure shall no longer manufacture, market, or sell the MXA910...” . ClearOne’s motion to accuse Shure’s MXA910-US of infringing the ’806 Patent is still pending with the Court.</w:t>
      </w:r>
    </w:p>
    <w:p>
      <w:pPr>
        <w:pStyle w:val="TextBody"/>
        <w:widowControl/>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28</w:t>
            </w:r>
          </w:p>
        </w:tc>
      </w:tr>
    </w:tbl>
    <w:p>
      <w:pPr>
        <w:pStyle w:val="HorizontalLine"/>
        <w:spacing w:lineRule="auto" w:line="288" w:before="0" w:after="0"/>
        <w:jc w:val="both"/>
        <w:rPr/>
      </w:pPr>
      <w:r>
        <w:rPr/>
      </w:r>
    </w:p>
    <w:p>
      <w:pPr>
        <w:pStyle w:val="TextBody"/>
        <w:spacing w:lineRule="auto" w:line="288"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88" w:before="0" w:after="0"/>
        <w:ind w:left="0" w:right="0" w:hanging="0"/>
        <w:jc w:val="center"/>
        <w:rPr>
          <w:rFonts w:ascii="Times New Roman" w:hAnsi="Times New Roman"/>
          <w:b/>
          <w:i w:val="false"/>
          <w:caps w:val="false"/>
          <w:smallCaps w:val="false"/>
          <w:strike w:val="false"/>
          <w:dstrike w:val="false"/>
          <w:color w:val="000000"/>
          <w:spacing w:val="0"/>
          <w:sz w:val="20"/>
          <w:u w:val="none"/>
          <w:effect w:val="none"/>
        </w:rPr>
      </w:pPr>
      <w:r>
        <w:rPr>
          <w:rFonts w:ascii="Times New Roman" w:hAnsi="Times New Roman"/>
          <w:b/>
          <w:i w:val="false"/>
          <w:caps w:val="false"/>
          <w:smallCaps w:val="false"/>
          <w:strike w:val="false"/>
          <w:dstrike w:val="false"/>
          <w:color w:val="000000"/>
          <w:spacing w:val="0"/>
          <w:sz w:val="20"/>
          <w:u w:val="none"/>
          <w:effect w:val="none"/>
        </w:rPr>
        <w:t>MANAGEMENT'S DISCUSSION AND ANALYSIS OF FINANCIAL CONDITION AND RESULTS OF OPERATIONS</w:t>
      </w:r>
    </w:p>
    <w:p>
      <w:pPr>
        <w:pStyle w:val="TextBody"/>
        <w:widowControl/>
        <w:spacing w:lineRule="auto" w:line="288" w:before="0" w:after="0"/>
        <w:ind w:left="0" w:right="0" w:hanging="0"/>
        <w:jc w:val="both"/>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Industry conditions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w:t>
      </w:r>
      <w:r>
        <w:rPr>
          <w:rFonts w:ascii="times new roman;times" w:hAnsi="times new roman;times"/>
          <w:sz w:val="20"/>
        </w:rPr>
        <w:t> </w:t>
      </w:r>
      <w:r>
        <w:rPr>
          <w:rFonts w:ascii="Times New Roman" w:hAnsi="Times New Roman"/>
          <w:sz w:val="20"/>
        </w:rPr>
        <w:t>gain market share and achieve certain non-financial goals.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i/>
          <w:sz w:val="20"/>
        </w:rPr>
      </w:pPr>
      <w:r>
        <w:rPr>
          <w:rFonts w:ascii="Times New Roman" w:hAnsi="Times New Roman"/>
          <w:i/>
          <w:sz w:val="20"/>
        </w:rPr>
        <w:t>Economic conditions, challenges and risks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The audio-visual products market is characterized by intense competition and rapidly evolving technology. Our competitors vary within each product category. Our installed professional audio conferencing</w:t>
      </w:r>
      <w:r>
        <w:rPr>
          <w:rFonts w:ascii="times new roman;times" w:hAnsi="times new roman;times"/>
          <w:sz w:val="20"/>
        </w:rPr>
        <w:t xml:space="preserve"> </w:t>
      </w:r>
      <w:r>
        <w:rPr>
          <w:rFonts w:ascii="Times New Roman" w:hAnsi="Times New Roman"/>
          <w:sz w:val="20"/>
        </w:rPr>
        <w:t>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w:t>
      </w:r>
      <w:r>
        <w:rPr>
          <w:rFonts w:ascii="times new roman;times" w:hAnsi="times new roman;times"/>
          <w:sz w:val="20"/>
        </w:rPr>
        <w:t xml:space="preserve"> </w:t>
      </w:r>
      <w:r>
        <w:rPr>
          <w:rFonts w:ascii="Times New Roman" w:hAnsi="Times New Roman"/>
          <w:sz w:val="20"/>
        </w:rPr>
        <w:t>market, we face challenges to revenue growth due to the limited size of the market and pricing pressures from new competitors attracted to the commercial market due to higher margins.</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video products and beamforming microphone arrays, especially BMA-CT and the newly introduced BMA 360 are critical to our long term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growth. We face intense competition in this market from well-established market leaders as well as emerging players rich with marketing funds. We expect our strategy of combining Collaborate Space, our cloud-based video conferencing product, Collaborate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Live, our appliance-based media collaboration product, our high quality</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professional cameras, and our high-end audio conferencing technology will generate high growth in the near future. </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derive a significant portion of our revenue (approximately 38% for the year ended </w:t>
      </w:r>
      <w:r>
        <w:rPr>
          <w:rFonts w:ascii="Times New Roman" w:hAnsi="Times New Roman"/>
          <w:b w:val="false"/>
          <w:i w:val="false"/>
          <w:caps w:val="false"/>
          <w:smallCaps w:val="false"/>
          <w:color w:val="000000"/>
          <w:spacing w:val="0"/>
          <w:sz w:val="20"/>
        </w:rPr>
        <w:t>December 31, 2020</w:t>
      </w:r>
      <w:r>
        <w:rPr>
          <w:rFonts w:ascii="Times New Roman" w:hAnsi="Times New Roman"/>
          <w:b w:val="false"/>
          <w:i w:val="false"/>
          <w:caps w:val="false"/>
          <w:smallCaps w:val="false"/>
          <w:color w:val="000000"/>
          <w:spacing w:val="0"/>
          <w:sz w:val="20"/>
        </w:rPr>
        <w:t>) from international operations and expect this trend to continue in the future. Most of our revenue from outside the U.S. is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billed in U.S. dollars and is not exposed to any significant currency risk. However, we are exposed to foreign exchange risk if the U.S. dollar is strong against other currencies as it will make U.S. Dollar denominated prices of our products less competitive.</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 w:hAnsi="Times New Roman"/>
          <w:sz w:val="20"/>
        </w:rPr>
      </w:pPr>
      <w:r>
        <w:rPr>
          <w:rFonts w:ascii="times new roman;times" w:hAnsi="times new roman;times"/>
          <w:b w:val="false"/>
          <w:i w:val="false"/>
          <w:caps w:val="false"/>
          <w:smallCaps w:val="false"/>
          <w:color w:val="000000"/>
          <w:spacing w:val="0"/>
          <w:sz w:val="20"/>
        </w:rPr>
        <w:t>In December 2019, a novel strain of coronavirus (“COVID-</w:t>
      </w:r>
      <w:r>
        <w:rPr>
          <w:rFonts w:ascii="Times New Roman" w:hAnsi="Times New Roman"/>
          <w:sz w:val="20"/>
        </w:rPr>
        <w:t>19</w:t>
      </w:r>
      <w:r>
        <w:rPr>
          <w:rFonts w:ascii="Times New Roman" w:hAnsi="Times New Roman"/>
          <w:caps w:val="false"/>
          <w:smallCaps w:val="false"/>
          <w:color w:val="000000"/>
          <w:spacing w:val="0"/>
          <w:sz w:val="20"/>
        </w:rPr>
        <w:t>”</w:t>
      </w:r>
      <w:r>
        <w:rPr>
          <w:rFonts w:ascii="times new roman;times" w:hAnsi="times new roman;times"/>
          <w:b w:val="false"/>
          <w:i w:val="false"/>
          <w:caps w:val="false"/>
          <w:smallCaps w:val="false"/>
          <w:color w:val="000000"/>
          <w:spacing w:val="0"/>
          <w:sz w:val="20"/>
        </w:rPr>
        <w:t>) started spreading from China and was declared a pandemic. The COVID-</w:t>
      </w:r>
      <w:r>
        <w:rPr>
          <w:rFonts w:ascii="Times New Roman" w:hAnsi="Times New Roman"/>
          <w:sz w:val="20"/>
        </w:rPr>
        <w:t>19</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pandemic caused severe global disruptions and had varying impact on our business.  The installed audio conferencing market was negatively impacted due to </w:t>
      </w:r>
      <w:r>
        <w:rPr>
          <w:rFonts w:ascii="Times New Roman" w:hAnsi="Times New Roman"/>
          <w:sz w:val="20"/>
        </w:rPr>
        <w:t>lockdowns</w:t>
      </w:r>
      <w:r>
        <w:rPr>
          <w:rFonts w:ascii="times new roman;times" w:hAnsi="times new roman;times"/>
          <w:b w:val="false"/>
          <w:i w:val="false"/>
          <w:caps w:val="false"/>
          <w:smallCaps w:val="false"/>
          <w:color w:val="000000"/>
          <w:spacing w:val="0"/>
          <w:sz w:val="20"/>
        </w:rPr>
        <w:t>, postponement of projects and restrictions on installers to visit commercial sites. On the other hand, COVID-</w:t>
      </w:r>
      <w:r>
        <w:rPr>
          <w:rFonts w:ascii="Times New Roman" w:hAnsi="Times New Roman"/>
          <w:sz w:val="20"/>
        </w:rPr>
        <w:t>19</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generated higher than normal demand for our video products and personal conferencing products due to the significant expansion of work-from-home market. The extent of COVID-</w:t>
      </w:r>
      <w:r>
        <w:rPr>
          <w:rFonts w:ascii="Times New Roman" w:hAnsi="Times New Roman"/>
          <w:sz w:val="20"/>
        </w:rPr>
        <w:t>19</w:t>
      </w:r>
      <w:r>
        <w:rPr>
          <w:rFonts w:ascii="Times New Roman" w:hAnsi="Times New Roman"/>
          <w:caps w:val="false"/>
          <w:smallCaps w:val="false"/>
          <w:color w:val="000000"/>
          <w:spacing w:val="0"/>
          <w:sz w:val="20"/>
        </w:rPr>
        <w:t>’</w:t>
      </w:r>
      <w:r>
        <w:rPr>
          <w:rFonts w:ascii="times new roman;times" w:hAnsi="times new roman;times"/>
          <w:b w:val="false"/>
          <w:i w:val="false"/>
          <w:caps w:val="false"/>
          <w:smallCaps w:val="false"/>
          <w:color w:val="000000"/>
          <w:spacing w:val="0"/>
          <w:sz w:val="20"/>
        </w:rPr>
        <w:t>s effect on our operational and financial performance will depend on future developments, including the vaccination rate, effectiveness of vaccines especially on novel strains of COVID-</w:t>
      </w:r>
      <w:r>
        <w:rPr>
          <w:rFonts w:ascii="Times New Roman" w:hAnsi="Times New Roman"/>
          <w:sz w:val="20"/>
        </w:rPr>
        <w:t>19</w:t>
      </w:r>
      <w:r>
        <w:rPr>
          <w:rFonts w:ascii="times new roman;times" w:hAnsi="times new roman;times"/>
          <w:b w:val="false"/>
          <w:i w:val="false"/>
          <w:caps w:val="false"/>
          <w:smallCaps w:val="false"/>
          <w:color w:val="000000"/>
          <w:spacing w:val="0"/>
          <w:sz w:val="20"/>
        </w:rPr>
        <w:t>, government regulations, </w:t>
      </w:r>
      <w:r>
        <w:rPr>
          <w:rFonts w:ascii="Times New Roman" w:hAnsi="Times New Roman"/>
          <w:sz w:val="20"/>
        </w:rPr>
        <w:t>etc</w:t>
      </w:r>
      <w:r>
        <w:rPr>
          <w:rFonts w:ascii="times new roman;times" w:hAnsi="times new roman;times"/>
          <w:b w:val="false"/>
          <w:i w:val="false"/>
          <w:caps w:val="false"/>
          <w:smallCaps w:val="false"/>
          <w:color w:val="000000"/>
          <w:spacing w:val="0"/>
          <w:sz w:val="20"/>
        </w:rPr>
        <w:t>., all of which are uncertain and difficult to predict considering the rapidly evolving landscape. If the pandemic continues to be a severe worldwide health crisis, the disease could have a material adverse effect on our business, results of operations, financial condition and cash flows and adversely impact the trading price of our common stock.</w:t>
      </w:r>
    </w:p>
    <w:p>
      <w:pPr>
        <w:pStyle w:val="TextBody"/>
        <w:widowControl/>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spacing w:lineRule="auto" w:line="288" w:before="0" w:after="0"/>
        <w:ind w:left="0" w:right="0" w:hanging="0"/>
        <w:jc w:val="both"/>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Deferred Revenue</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Deferred revenue decreased from $173 thousand in 2019 to $123 thousand in 2020.</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29</w:t>
            </w:r>
          </w:p>
        </w:tc>
      </w:tr>
    </w:tbl>
    <w:p>
      <w:pPr>
        <w:pStyle w:val="HorizontalLine"/>
        <w:spacing w:lineRule="auto" w:line="288" w:before="0" w:after="0"/>
        <w:jc w:val="both"/>
        <w:rPr/>
      </w:pPr>
      <w:r>
        <w:rPr/>
      </w:r>
    </w:p>
    <w:p>
      <w:pPr>
        <w:pStyle w:val="TextBody"/>
        <w:spacing w:lineRule="auto" w:line="288" w:before="0" w:after="0"/>
        <w:jc w:val="left"/>
        <w:rPr/>
      </w:pPr>
      <w:hyperlink w:anchor="TOC">
        <w:r>
          <w:rPr>
            <w:rStyle w:val="InternetLink"/>
            <w:rFonts w:ascii="times new roman;times" w:hAnsi="times new roman;times"/>
            <w:sz w:val="20"/>
          </w:rPr>
          <w:t>Table of Contents</w:t>
        </w:r>
      </w:hyperlink>
    </w:p>
    <w:p>
      <w:pPr>
        <w:pStyle w:val="TextBody"/>
        <w:spacing w:lineRule="auto" w:line="288" w:before="0" w:after="0"/>
        <w:ind w:left="0" w:right="0" w:hanging="0"/>
        <w:jc w:val="center"/>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DISCUSSION OF RESULTS OF OPERATIONS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The following table sets forth certain items from our consolidated statements of operations and comprehensive income (loss) for the years ended December 31, 2020 and 2019, together with the percentage change each item represents. Throughout this discussion, we compare results of operations for the year ended December 31, 2020 (“2020</w:t>
      </w:r>
      <w:r>
        <w:rPr>
          <w:rFonts w:ascii="times new roman;times" w:hAnsi="times new roman;times"/>
          <w:sz w:val="20"/>
        </w:rPr>
        <w:t>”</w:t>
      </w:r>
      <w:r>
        <w:rPr>
          <w:rFonts w:ascii="Times New Roman" w:hAnsi="Times New Roman"/>
          <w:sz w:val="20"/>
        </w:rPr>
        <w:t>) to the year ended December 31, 2019 (“2019</w:t>
      </w:r>
      <w:r>
        <w:rPr>
          <w:rFonts w:ascii="times new roman;times" w:hAnsi="times new roman;times"/>
          <w:sz w:val="20"/>
        </w:rPr>
        <w:t xml:space="preserve">” </w:t>
      </w:r>
      <w:r>
        <w:rPr>
          <w:rFonts w:ascii="Times New Roman" w:hAnsi="Times New Roman"/>
          <w:sz w:val="20"/>
        </w:rPr>
        <w:t>or “the comparable period”).</w:t>
      </w:r>
    </w:p>
    <w:p>
      <w:pPr>
        <w:pStyle w:val="TextBody"/>
        <w:spacing w:lineRule="auto" w:line="288" w:before="0" w:after="0"/>
        <w:ind w:left="0" w:right="0" w:hanging="0"/>
        <w:jc w:val="both"/>
        <w:rPr/>
      </w:pPr>
      <w:r>
        <w:rPr/>
        <w:t> </w:t>
      </w:r>
    </w:p>
    <w:tbl>
      <w:tblPr>
        <w:tblW w:w="4250" w:type="pct"/>
        <w:jc w:val="left"/>
        <w:tblInd w:w="0" w:type="dxa"/>
        <w:tblCellMar>
          <w:top w:w="0" w:type="dxa"/>
          <w:left w:w="0" w:type="dxa"/>
          <w:bottom w:w="28" w:type="dxa"/>
          <w:right w:w="0" w:type="dxa"/>
        </w:tblCellMar>
      </w:tblPr>
      <w:tblGrid>
        <w:gridCol w:w="3898"/>
        <w:gridCol w:w="138"/>
        <w:gridCol w:w="230"/>
        <w:gridCol w:w="729"/>
        <w:gridCol w:w="137"/>
        <w:gridCol w:w="138"/>
        <w:gridCol w:w="247"/>
        <w:gridCol w:w="729"/>
        <w:gridCol w:w="144"/>
        <w:gridCol w:w="137"/>
        <w:gridCol w:w="262"/>
        <w:gridCol w:w="1552"/>
        <w:gridCol w:w="333"/>
      </w:tblGrid>
      <w:tr>
        <w:trPr/>
        <w:tc>
          <w:tcPr>
            <w:tcW w:w="3898" w:type="dxa"/>
            <w:tcBorders>
              <w:bottom w:val="single" w:sz="12" w:space="0" w:color="000000"/>
            </w:tcBorders>
            <w:shd w:fill="auto" w:val="clear"/>
            <w:vAlign w:val="center"/>
          </w:tcPr>
          <w:p>
            <w:pPr>
              <w:pStyle w:val="TableContents"/>
              <w:spacing w:before="0" w:after="0"/>
              <w:ind w:left="0" w:right="0" w:hanging="0"/>
              <w:rPr>
                <w:rFonts w:ascii="Times New Roman" w:hAnsi="Times New Roman"/>
                <w:b/>
                <w:sz w:val="18"/>
              </w:rPr>
            </w:pPr>
            <w:r>
              <w:rPr>
                <w:rFonts w:ascii="Times New Roman" w:hAnsi="Times New Roman"/>
                <w:b/>
                <w:sz w:val="18"/>
              </w:rPr>
              <w:t xml:space="preserve">(In thousands, except percentages)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959"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137" w:type="dxa"/>
            <w:tcBorders/>
            <w:shd w:fill="auto" w:val="clear"/>
            <w:tcMar>
              <w:bottom w:w="0" w:type="dxa"/>
            </w:tcM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976"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144" w:type="dxa"/>
            <w:tcBorders/>
            <w:shd w:fill="auto" w:val="clear"/>
            <w:tcMar>
              <w:bottom w:w="0" w:type="dxa"/>
            </w:tcMar>
            <w:vAlign w:val="center"/>
          </w:tcPr>
          <w:p>
            <w:pPr>
              <w:pStyle w:val="TableContents"/>
              <w:spacing w:before="0" w:after="0"/>
              <w:ind w:left="0" w:right="0" w:hanging="0"/>
              <w:rPr/>
            </w:pPr>
            <w:r>
              <w:rPr/>
              <w:t xml:space="preserve">  </w:t>
            </w:r>
          </w:p>
        </w:tc>
        <w:tc>
          <w:tcPr>
            <w:tcW w:w="137" w:type="dxa"/>
            <w:tcBorders/>
            <w:shd w:fill="auto" w:val="clear"/>
            <w:tcMar>
              <w:bottom w:w="0" w:type="dxa"/>
            </w:tcMar>
            <w:vAlign w:val="center"/>
          </w:tcPr>
          <w:p>
            <w:pPr>
              <w:pStyle w:val="TableContents"/>
              <w:spacing w:before="0" w:after="0"/>
              <w:ind w:left="0" w:right="0" w:hanging="0"/>
              <w:rPr/>
            </w:pPr>
            <w:r>
              <w:rPr/>
              <w:t xml:space="preserve">  </w:t>
            </w:r>
          </w:p>
        </w:tc>
        <w:tc>
          <w:tcPr>
            <w:tcW w:w="1814" w:type="dxa"/>
            <w:gridSpan w:val="2"/>
            <w:tcBorders>
              <w:bottom w:val="single" w:sz="6" w:space="0" w:color="000000"/>
            </w:tcBorders>
            <w:shd w:fill="auto" w:val="clear"/>
            <w:vAlign w:val="center"/>
          </w:tcPr>
          <w:p>
            <w:pPr>
              <w:pStyle w:val="TableContents"/>
              <w:spacing w:before="0" w:after="0"/>
              <w:ind w:left="0" w:right="0" w:hanging="0"/>
              <w:jc w:val="center"/>
              <w:rPr>
                <w:b/>
                <w:sz w:val="18"/>
              </w:rPr>
            </w:pPr>
            <w:r>
              <w:rPr>
                <w:b/>
                <w:sz w:val="18"/>
              </w:rPr>
              <w:t>Change%</w:t>
            </w:r>
          </w:p>
          <w:p>
            <w:pPr>
              <w:pStyle w:val="TableContents"/>
              <w:spacing w:before="0" w:after="0"/>
              <w:ind w:left="0" w:right="0" w:hanging="0"/>
              <w:jc w:val="center"/>
              <w:rPr>
                <w:rFonts w:ascii="Times New Roman" w:hAnsi="Times New Roman"/>
                <w:b/>
                <w:sz w:val="18"/>
              </w:rPr>
            </w:pPr>
            <w:r>
              <w:rPr>
                <w:rFonts w:ascii="Times New Roman" w:hAnsi="Times New Roman"/>
                <w:b/>
                <w:sz w:val="18"/>
              </w:rPr>
              <w:t>Favorable (Adverse)</w:t>
            </w:r>
          </w:p>
        </w:tc>
        <w:tc>
          <w:tcPr>
            <w:tcW w:w="333" w:type="dxa"/>
            <w:tcBorders/>
            <w:shd w:fill="auto" w:val="clear"/>
            <w:tcMar>
              <w:bottom w:w="0" w:type="dxa"/>
            </w:tcMar>
            <w:vAlign w:val="center"/>
          </w:tcPr>
          <w:p>
            <w:pPr>
              <w:pStyle w:val="TableContents"/>
              <w:spacing w:before="0" w:after="0"/>
              <w:ind w:left="0" w:right="0" w:hanging="0"/>
              <w:rPr/>
            </w:pPr>
            <w:r>
              <w:rPr/>
              <w:t>  </w:t>
            </w:r>
          </w:p>
        </w:tc>
      </w:tr>
      <w:tr>
        <w:trPr/>
        <w:tc>
          <w:tcPr>
            <w:tcW w:w="3898"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Revenue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0" w:type="dxa"/>
            <w:tcBorders/>
            <w:shd w:fill="CCEEFF" w:val="clear"/>
            <w:tcMar>
              <w:bottom w:w="0" w:type="dxa"/>
            </w:tcMar>
            <w:vAlign w:val="center"/>
          </w:tcPr>
          <w:p>
            <w:pPr>
              <w:pStyle w:val="TableContents"/>
              <w:pBdr/>
              <w:spacing w:before="0" w:after="0"/>
              <w:ind w:left="0" w:right="0" w:hanging="0"/>
              <w:jc w:val="left"/>
              <w:rPr/>
            </w:pPr>
            <w:r>
              <w:rPr/>
              <w:t xml:space="preserve">$ </w:t>
            </w:r>
          </w:p>
        </w:tc>
        <w:tc>
          <w:tcPr>
            <w:tcW w:w="729"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29,069 </w:t>
            </w:r>
          </w:p>
        </w:tc>
        <w:tc>
          <w:tcPr>
            <w:tcW w:w="137"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7"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  </w:t>
            </w:r>
          </w:p>
        </w:tc>
        <w:tc>
          <w:tcPr>
            <w:tcW w:w="729"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25,042 </w:t>
            </w:r>
          </w:p>
        </w:tc>
        <w:tc>
          <w:tcPr>
            <w:tcW w:w="144" w:type="dxa"/>
            <w:tcBorders/>
            <w:shd w:fill="CCEEFF" w:val="clear"/>
            <w:tcMar>
              <w:bottom w:w="0" w:type="dxa"/>
            </w:tcMar>
            <w:vAlign w:val="center"/>
          </w:tcPr>
          <w:p>
            <w:pPr>
              <w:pStyle w:val="TableContents"/>
              <w:spacing w:before="0" w:after="0"/>
              <w:ind w:left="0" w:right="0" w:hanging="0"/>
              <w:rPr/>
            </w:pPr>
            <w:r>
              <w:rPr/>
              <w:t xml:space="preserve">  </w:t>
            </w:r>
          </w:p>
        </w:tc>
        <w:tc>
          <w:tcPr>
            <w:tcW w:w="137" w:type="dxa"/>
            <w:tcBorders/>
            <w:shd w:fill="CCEEFF" w:val="clear"/>
            <w:tcMar>
              <w:bottom w:w="0" w:type="dxa"/>
            </w:tcMar>
            <w:vAlign w:val="center"/>
          </w:tcPr>
          <w:p>
            <w:pPr>
              <w:pStyle w:val="TableContents"/>
              <w:spacing w:before="0" w:after="0"/>
              <w:ind w:left="0" w:right="0" w:hanging="0"/>
              <w:rPr/>
            </w:pPr>
            <w:r>
              <w:rPr/>
              <w:t xml:space="preserve">  </w:t>
            </w:r>
          </w:p>
        </w:tc>
        <w:tc>
          <w:tcPr>
            <w:tcW w:w="262" w:type="dxa"/>
            <w:tcBorders/>
            <w:shd w:fill="CCEEFF" w:val="clear"/>
            <w:tcMar>
              <w:bottom w:w="0" w:type="dxa"/>
            </w:tcMar>
            <w:vAlign w:val="center"/>
          </w:tcPr>
          <w:p>
            <w:pPr>
              <w:pStyle w:val="TableContents"/>
              <w:spacing w:before="0" w:after="0"/>
              <w:ind w:left="0" w:right="0" w:hanging="0"/>
              <w:rPr/>
            </w:pPr>
            <w:r>
              <w:rPr/>
              <w:t xml:space="preserve">  </w:t>
            </w:r>
          </w:p>
        </w:tc>
        <w:tc>
          <w:tcPr>
            <w:tcW w:w="1552"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16</w:t>
            </w:r>
          </w:p>
        </w:tc>
        <w:tc>
          <w:tcPr>
            <w:tcW w:w="333"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w:t>
            </w:r>
          </w:p>
        </w:tc>
      </w:tr>
      <w:tr>
        <w:trPr/>
        <w:tc>
          <w:tcPr>
            <w:tcW w:w="3898"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Cost of goods sold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0" w:type="dxa"/>
            <w:tcBorders>
              <w:bottom w:val="single" w:sz="4" w:space="0" w:color="000000"/>
            </w:tcBorders>
            <w:shd w:fill="auto" w:val="clear"/>
            <w:vAlign w:val="center"/>
          </w:tcPr>
          <w:p>
            <w:pPr>
              <w:pStyle w:val="TableContents"/>
              <w:pBdr/>
              <w:spacing w:before="0" w:after="0"/>
              <w:ind w:left="0" w:right="0" w:hanging="0"/>
              <w:rPr/>
            </w:pPr>
            <w:r>
              <w:rPr/>
              <w:t xml:space="preserve">  </w:t>
            </w:r>
          </w:p>
        </w:tc>
        <w:tc>
          <w:tcPr>
            <w:tcW w:w="729" w:type="dxa"/>
            <w:tcBorders>
              <w:bottom w:val="single" w:sz="4"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16,510 </w:t>
            </w:r>
          </w:p>
        </w:tc>
        <w:tc>
          <w:tcPr>
            <w:tcW w:w="137" w:type="dxa"/>
            <w:tcBorders>
              <w:bottom w:val="single" w:sz="4" w:space="0" w:color="000000"/>
            </w:tcBorders>
            <w:shd w:fill="auto" w:val="cle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7" w:type="dxa"/>
            <w:tcBorders>
              <w:bottom w:val="single" w:sz="4" w:space="0" w:color="000000"/>
            </w:tcBorders>
            <w:shd w:fill="auto" w:val="clear"/>
            <w:vAlign w:val="center"/>
          </w:tcPr>
          <w:p>
            <w:pPr>
              <w:pStyle w:val="TableContents"/>
              <w:spacing w:before="0" w:after="0"/>
              <w:ind w:left="0" w:right="0" w:hanging="0"/>
              <w:rPr/>
            </w:pPr>
            <w:r>
              <w:rPr/>
              <w:t xml:space="preserve">  </w:t>
            </w:r>
          </w:p>
        </w:tc>
        <w:tc>
          <w:tcPr>
            <w:tcW w:w="729" w:type="dxa"/>
            <w:tcBorders>
              <w:bottom w:val="single" w:sz="4"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13,849 </w:t>
            </w:r>
          </w:p>
        </w:tc>
        <w:tc>
          <w:tcPr>
            <w:tcW w:w="144" w:type="dxa"/>
            <w:tcBorders>
              <w:bottom w:val="single" w:sz="4" w:space="0" w:color="000000"/>
            </w:tcBorders>
            <w:shd w:fill="auto" w:val="clear"/>
            <w:vAlign w:val="center"/>
          </w:tcPr>
          <w:p>
            <w:pPr>
              <w:pStyle w:val="TableContents"/>
              <w:spacing w:before="0" w:after="0"/>
              <w:ind w:left="0" w:right="0" w:hanging="0"/>
              <w:rPr/>
            </w:pPr>
            <w:r>
              <w:rPr/>
              <w:t xml:space="preserve">  </w:t>
            </w:r>
          </w:p>
        </w:tc>
        <w:tc>
          <w:tcPr>
            <w:tcW w:w="137" w:type="dxa"/>
            <w:tcBorders/>
            <w:shd w:fill="auto" w:val="clear"/>
            <w:tcMar>
              <w:bottom w:w="0" w:type="dxa"/>
            </w:tcMar>
            <w:vAlign w:val="center"/>
          </w:tcPr>
          <w:p>
            <w:pPr>
              <w:pStyle w:val="TableContents"/>
              <w:spacing w:before="0" w:after="0"/>
              <w:ind w:left="0" w:right="0" w:hanging="0"/>
              <w:rPr/>
            </w:pPr>
            <w:r>
              <w:rPr/>
              <w:t xml:space="preserve">  </w:t>
            </w:r>
          </w:p>
        </w:tc>
        <w:tc>
          <w:tcPr>
            <w:tcW w:w="262" w:type="dxa"/>
            <w:tcBorders/>
            <w:shd w:fill="auto" w:val="clear"/>
            <w:tcMar>
              <w:bottom w:w="0" w:type="dxa"/>
            </w:tcMar>
            <w:vAlign w:val="center"/>
          </w:tcPr>
          <w:p>
            <w:pPr>
              <w:pStyle w:val="TableContents"/>
              <w:spacing w:before="0" w:after="0"/>
              <w:ind w:left="0" w:right="0" w:hanging="0"/>
              <w:rPr/>
            </w:pPr>
            <w:r>
              <w:rPr/>
              <w:t xml:space="preserve">  </w:t>
            </w:r>
          </w:p>
        </w:tc>
        <w:tc>
          <w:tcPr>
            <w:tcW w:w="1552"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w:t>
            </w:r>
          </w:p>
        </w:tc>
        <w:tc>
          <w:tcPr>
            <w:tcW w:w="333" w:type="dxa"/>
            <w:tcBorders/>
            <w:shd w:fill="auto" w:val="clear"/>
            <w:tcMar>
              <w:bottom w:w="0" w:type="dxa"/>
            </w:tcMar>
            <w:vAlign w:val="center"/>
          </w:tcPr>
          <w:p>
            <w:pPr>
              <w:pStyle w:val="TableContents"/>
              <w:spacing w:before="0" w:after="0"/>
              <w:ind w:left="0" w:right="0" w:hanging="0"/>
              <w:rPr/>
            </w:pPr>
            <w:r>
              <w:rPr/>
              <w:t>%</w:t>
            </w:r>
          </w:p>
        </w:tc>
      </w:tr>
      <w:tr>
        <w:trPr/>
        <w:tc>
          <w:tcPr>
            <w:tcW w:w="3898"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profit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0" w:type="dxa"/>
            <w:tcBorders>
              <w:top w:val="single" w:sz="4" w:space="0" w:color="000000"/>
              <w:bottom w:val="single" w:sz="4" w:space="0" w:color="000000"/>
            </w:tcBorders>
            <w:shd w:fill="CCEEFF" w:val="clear"/>
            <w:tcMar>
              <w:top w:w="28" w:type="dxa"/>
            </w:tcMar>
            <w:vAlign w:val="center"/>
          </w:tcPr>
          <w:p>
            <w:pPr>
              <w:pStyle w:val="TableContents"/>
              <w:pBdr/>
              <w:spacing w:before="0" w:after="0"/>
              <w:ind w:left="0" w:right="0" w:hanging="0"/>
              <w:rPr/>
            </w:pPr>
            <w:r>
              <w:rPr/>
              <w:t xml:space="preserve">  </w:t>
            </w:r>
          </w:p>
        </w:tc>
        <w:tc>
          <w:tcPr>
            <w:tcW w:w="729"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12,559 </w:t>
            </w:r>
          </w:p>
        </w:tc>
        <w:tc>
          <w:tcPr>
            <w:tcW w:w="137"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7"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rPr/>
            </w:pPr>
            <w:r>
              <w:rPr/>
              <w:t xml:space="preserve">  </w:t>
            </w:r>
          </w:p>
        </w:tc>
        <w:tc>
          <w:tcPr>
            <w:tcW w:w="729"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11,193 </w:t>
            </w:r>
          </w:p>
        </w:tc>
        <w:tc>
          <w:tcPr>
            <w:tcW w:w="144"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rPr/>
            </w:pPr>
            <w:r>
              <w:rPr/>
              <w:t xml:space="preserve">  </w:t>
            </w:r>
          </w:p>
        </w:tc>
        <w:tc>
          <w:tcPr>
            <w:tcW w:w="137" w:type="dxa"/>
            <w:tcBorders/>
            <w:shd w:fill="CCEEFF" w:val="clear"/>
            <w:tcMar>
              <w:bottom w:w="0" w:type="dxa"/>
            </w:tcMar>
            <w:vAlign w:val="center"/>
          </w:tcPr>
          <w:p>
            <w:pPr>
              <w:pStyle w:val="TableContents"/>
              <w:spacing w:before="0" w:after="0"/>
              <w:ind w:left="0" w:right="0" w:hanging="0"/>
              <w:rPr/>
            </w:pPr>
            <w:r>
              <w:rPr/>
              <w:t xml:space="preserve">  </w:t>
            </w:r>
          </w:p>
        </w:tc>
        <w:tc>
          <w:tcPr>
            <w:tcW w:w="262" w:type="dxa"/>
            <w:tcBorders/>
            <w:shd w:fill="CCEEFF" w:val="clear"/>
            <w:tcMar>
              <w:bottom w:w="0" w:type="dxa"/>
            </w:tcMar>
            <w:vAlign w:val="center"/>
          </w:tcPr>
          <w:p>
            <w:pPr>
              <w:pStyle w:val="TableContents"/>
              <w:spacing w:before="0" w:after="0"/>
              <w:ind w:left="0" w:right="0" w:hanging="0"/>
              <w:rPr/>
            </w:pPr>
            <w:r>
              <w:rPr/>
              <w:t xml:space="preserve">  </w:t>
            </w:r>
          </w:p>
        </w:tc>
        <w:tc>
          <w:tcPr>
            <w:tcW w:w="1552"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w:t>
            </w:r>
          </w:p>
        </w:tc>
        <w:tc>
          <w:tcPr>
            <w:tcW w:w="333"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3898"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Sales and marketing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0" w:type="dxa"/>
            <w:tcBorders>
              <w:top w:val="single" w:sz="4" w:space="0" w:color="000000"/>
            </w:tcBorders>
            <w:shd w:fill="auto" w:val="clear"/>
            <w:tcMar>
              <w:top w:w="28" w:type="dxa"/>
              <w:bottom w:w="0" w:type="dxa"/>
            </w:tcMar>
            <w:vAlign w:val="center"/>
          </w:tcPr>
          <w:p>
            <w:pPr>
              <w:pStyle w:val="TableContents"/>
              <w:pBdr/>
              <w:spacing w:before="0" w:after="0"/>
              <w:ind w:left="0" w:right="0" w:hanging="0"/>
              <w:rPr/>
            </w:pPr>
            <w:r>
              <w:rPr/>
              <w:t xml:space="preserve">  </w:t>
            </w:r>
          </w:p>
        </w:tc>
        <w:tc>
          <w:tcPr>
            <w:tcW w:w="729" w:type="dxa"/>
            <w:tcBorders>
              <w:top w:val="single" w:sz="4" w:space="0" w:color="000000"/>
            </w:tcBorders>
            <w:shd w:fill="auto" w:val="clear"/>
            <w:tcMar>
              <w:top w:w="28" w:type="dxa"/>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6,728 </w:t>
            </w:r>
          </w:p>
        </w:tc>
        <w:tc>
          <w:tcPr>
            <w:tcW w:w="137" w:type="dxa"/>
            <w:tcBorders>
              <w:top w:val="single" w:sz="4"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7" w:type="dxa"/>
            <w:tcBorders>
              <w:top w:val="single" w:sz="4"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c>
          <w:tcPr>
            <w:tcW w:w="729" w:type="dxa"/>
            <w:tcBorders>
              <w:top w:val="single" w:sz="4" w:space="0" w:color="000000"/>
            </w:tcBorders>
            <w:shd w:fill="auto" w:val="clear"/>
            <w:tcMar>
              <w:top w:w="28" w:type="dxa"/>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7,935 </w:t>
            </w:r>
          </w:p>
        </w:tc>
        <w:tc>
          <w:tcPr>
            <w:tcW w:w="144" w:type="dxa"/>
            <w:tcBorders>
              <w:top w:val="single" w:sz="4"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c>
          <w:tcPr>
            <w:tcW w:w="137" w:type="dxa"/>
            <w:tcBorders/>
            <w:shd w:fill="auto" w:val="clear"/>
            <w:tcMar>
              <w:bottom w:w="0" w:type="dxa"/>
            </w:tcMar>
            <w:vAlign w:val="center"/>
          </w:tcPr>
          <w:p>
            <w:pPr>
              <w:pStyle w:val="TableContents"/>
              <w:spacing w:before="0" w:after="0"/>
              <w:ind w:left="0" w:right="0" w:hanging="0"/>
              <w:rPr/>
            </w:pPr>
            <w:r>
              <w:rPr/>
              <w:t xml:space="preserve">  </w:t>
            </w:r>
          </w:p>
        </w:tc>
        <w:tc>
          <w:tcPr>
            <w:tcW w:w="262" w:type="dxa"/>
            <w:tcBorders/>
            <w:shd w:fill="auto" w:val="clear"/>
            <w:tcMar>
              <w:bottom w:w="0" w:type="dxa"/>
            </w:tcMar>
            <w:vAlign w:val="center"/>
          </w:tcPr>
          <w:p>
            <w:pPr>
              <w:pStyle w:val="TableContents"/>
              <w:spacing w:before="0" w:after="0"/>
              <w:ind w:left="0" w:right="0" w:hanging="0"/>
              <w:rPr/>
            </w:pPr>
            <w:r>
              <w:rPr/>
              <w:t xml:space="preserve">  </w:t>
            </w:r>
          </w:p>
        </w:tc>
        <w:tc>
          <w:tcPr>
            <w:tcW w:w="1552"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w:t>
            </w:r>
          </w:p>
        </w:tc>
        <w:tc>
          <w:tcPr>
            <w:tcW w:w="333"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w:t>
            </w:r>
          </w:p>
        </w:tc>
      </w:tr>
      <w:tr>
        <w:trPr/>
        <w:tc>
          <w:tcPr>
            <w:tcW w:w="3898"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Research and product development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0" w:type="dxa"/>
            <w:tcBorders/>
            <w:shd w:fill="CCEEFF" w:val="clear"/>
            <w:tcMar>
              <w:bottom w:w="0" w:type="dxa"/>
            </w:tcMar>
            <w:vAlign w:val="center"/>
          </w:tcPr>
          <w:p>
            <w:pPr>
              <w:pStyle w:val="TableContents"/>
              <w:pBdr/>
              <w:spacing w:before="0" w:after="0"/>
              <w:ind w:left="0" w:right="0" w:hanging="0"/>
              <w:rPr/>
            </w:pPr>
            <w:r>
              <w:rPr/>
              <w:t xml:space="preserve">  </w:t>
            </w:r>
          </w:p>
        </w:tc>
        <w:tc>
          <w:tcPr>
            <w:tcW w:w="729"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5,512 </w:t>
            </w:r>
          </w:p>
        </w:tc>
        <w:tc>
          <w:tcPr>
            <w:tcW w:w="137"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7" w:type="dxa"/>
            <w:tcBorders/>
            <w:shd w:fill="CCEEFF" w:val="clear"/>
            <w:tcMar>
              <w:bottom w:w="0" w:type="dxa"/>
            </w:tcMar>
            <w:vAlign w:val="center"/>
          </w:tcPr>
          <w:p>
            <w:pPr>
              <w:pStyle w:val="TableContents"/>
              <w:spacing w:before="0" w:after="0"/>
              <w:ind w:left="0" w:right="0" w:hanging="0"/>
              <w:rPr/>
            </w:pPr>
            <w:r>
              <w:rPr/>
              <w:t xml:space="preserve">  </w:t>
            </w:r>
          </w:p>
        </w:tc>
        <w:tc>
          <w:tcPr>
            <w:tcW w:w="729"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5,775 </w:t>
            </w:r>
          </w:p>
        </w:tc>
        <w:tc>
          <w:tcPr>
            <w:tcW w:w="144" w:type="dxa"/>
            <w:tcBorders/>
            <w:shd w:fill="CCEEFF" w:val="clear"/>
            <w:tcMar>
              <w:bottom w:w="0" w:type="dxa"/>
            </w:tcMar>
            <w:vAlign w:val="center"/>
          </w:tcPr>
          <w:p>
            <w:pPr>
              <w:pStyle w:val="TableContents"/>
              <w:spacing w:before="0" w:after="0"/>
              <w:ind w:left="0" w:right="0" w:hanging="0"/>
              <w:rPr/>
            </w:pPr>
            <w:r>
              <w:rPr/>
              <w:t xml:space="preserve">  </w:t>
            </w:r>
          </w:p>
        </w:tc>
        <w:tc>
          <w:tcPr>
            <w:tcW w:w="137" w:type="dxa"/>
            <w:tcBorders/>
            <w:shd w:fill="CCEEFF" w:val="clear"/>
            <w:tcMar>
              <w:bottom w:w="0" w:type="dxa"/>
            </w:tcMar>
            <w:vAlign w:val="center"/>
          </w:tcPr>
          <w:p>
            <w:pPr>
              <w:pStyle w:val="TableContents"/>
              <w:spacing w:before="0" w:after="0"/>
              <w:ind w:left="0" w:right="0" w:hanging="0"/>
              <w:rPr/>
            </w:pPr>
            <w:r>
              <w:rPr/>
              <w:t xml:space="preserve">  </w:t>
            </w:r>
          </w:p>
        </w:tc>
        <w:tc>
          <w:tcPr>
            <w:tcW w:w="262" w:type="dxa"/>
            <w:tcBorders/>
            <w:shd w:fill="CCEEFF" w:val="clear"/>
            <w:tcMar>
              <w:bottom w:w="0" w:type="dxa"/>
            </w:tcMar>
            <w:vAlign w:val="center"/>
          </w:tcPr>
          <w:p>
            <w:pPr>
              <w:pStyle w:val="TableContents"/>
              <w:spacing w:before="0" w:after="0"/>
              <w:ind w:left="0" w:right="0" w:hanging="0"/>
              <w:rPr/>
            </w:pPr>
            <w:r>
              <w:rPr/>
              <w:t xml:space="preserve">  </w:t>
            </w:r>
          </w:p>
        </w:tc>
        <w:tc>
          <w:tcPr>
            <w:tcW w:w="1552"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w:t>
            </w:r>
          </w:p>
        </w:tc>
        <w:tc>
          <w:tcPr>
            <w:tcW w:w="333"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w:t>
            </w:r>
          </w:p>
        </w:tc>
      </w:tr>
      <w:tr>
        <w:trPr/>
        <w:tc>
          <w:tcPr>
            <w:tcW w:w="3898"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General and administrative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0" w:type="dxa"/>
            <w:tcBorders>
              <w:bottom w:val="single" w:sz="4" w:space="0" w:color="000000"/>
            </w:tcBorders>
            <w:shd w:fill="auto" w:val="clear"/>
            <w:vAlign w:val="center"/>
          </w:tcPr>
          <w:p>
            <w:pPr>
              <w:pStyle w:val="TableContents"/>
              <w:pBdr/>
              <w:spacing w:before="0" w:after="0"/>
              <w:ind w:left="0" w:right="0" w:hanging="0"/>
              <w:rPr/>
            </w:pPr>
            <w:r>
              <w:rPr/>
              <w:t xml:space="preserve">  </w:t>
            </w:r>
          </w:p>
        </w:tc>
        <w:tc>
          <w:tcPr>
            <w:tcW w:w="729" w:type="dxa"/>
            <w:tcBorders>
              <w:bottom w:val="single" w:sz="4"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5,886 </w:t>
            </w:r>
          </w:p>
        </w:tc>
        <w:tc>
          <w:tcPr>
            <w:tcW w:w="137" w:type="dxa"/>
            <w:tcBorders>
              <w:bottom w:val="single" w:sz="4" w:space="0" w:color="000000"/>
            </w:tcBorders>
            <w:shd w:fill="auto" w:val="cle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7" w:type="dxa"/>
            <w:tcBorders>
              <w:bottom w:val="single" w:sz="4" w:space="0" w:color="000000"/>
            </w:tcBorders>
            <w:shd w:fill="auto" w:val="clear"/>
            <w:vAlign w:val="center"/>
          </w:tcPr>
          <w:p>
            <w:pPr>
              <w:pStyle w:val="TableContents"/>
              <w:spacing w:before="0" w:after="0"/>
              <w:ind w:left="0" w:right="0" w:hanging="0"/>
              <w:rPr/>
            </w:pPr>
            <w:r>
              <w:rPr/>
              <w:t xml:space="preserve">  </w:t>
            </w:r>
          </w:p>
        </w:tc>
        <w:tc>
          <w:tcPr>
            <w:tcW w:w="729" w:type="dxa"/>
            <w:tcBorders>
              <w:bottom w:val="single" w:sz="4"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6,045 </w:t>
            </w:r>
          </w:p>
        </w:tc>
        <w:tc>
          <w:tcPr>
            <w:tcW w:w="144" w:type="dxa"/>
            <w:tcBorders>
              <w:bottom w:val="single" w:sz="4" w:space="0" w:color="000000"/>
            </w:tcBorders>
            <w:shd w:fill="auto" w:val="clear"/>
            <w:vAlign w:val="center"/>
          </w:tcPr>
          <w:p>
            <w:pPr>
              <w:pStyle w:val="TableContents"/>
              <w:spacing w:before="0" w:after="0"/>
              <w:ind w:left="0" w:right="0" w:hanging="0"/>
              <w:rPr/>
            </w:pPr>
            <w:r>
              <w:rPr/>
              <w:t xml:space="preserve">  </w:t>
            </w:r>
          </w:p>
        </w:tc>
        <w:tc>
          <w:tcPr>
            <w:tcW w:w="137" w:type="dxa"/>
            <w:tcBorders/>
            <w:shd w:fill="auto" w:val="clear"/>
            <w:tcMar>
              <w:bottom w:w="0" w:type="dxa"/>
            </w:tcMar>
            <w:vAlign w:val="center"/>
          </w:tcPr>
          <w:p>
            <w:pPr>
              <w:pStyle w:val="TableContents"/>
              <w:spacing w:before="0" w:after="0"/>
              <w:ind w:left="0" w:right="0" w:hanging="0"/>
              <w:rPr/>
            </w:pPr>
            <w:r>
              <w:rPr/>
              <w:t xml:space="preserve">  </w:t>
            </w:r>
          </w:p>
        </w:tc>
        <w:tc>
          <w:tcPr>
            <w:tcW w:w="262" w:type="dxa"/>
            <w:tcBorders/>
            <w:shd w:fill="auto" w:val="clear"/>
            <w:tcMar>
              <w:bottom w:w="0" w:type="dxa"/>
            </w:tcMar>
            <w:vAlign w:val="center"/>
          </w:tcPr>
          <w:p>
            <w:pPr>
              <w:pStyle w:val="TableContents"/>
              <w:spacing w:before="0" w:after="0"/>
              <w:ind w:left="0" w:right="0" w:hanging="0"/>
              <w:rPr/>
            </w:pPr>
            <w:r>
              <w:rPr/>
              <w:t xml:space="preserve">  </w:t>
            </w:r>
          </w:p>
        </w:tc>
        <w:tc>
          <w:tcPr>
            <w:tcW w:w="1552"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c>
          <w:tcPr>
            <w:tcW w:w="333"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w:t>
            </w:r>
          </w:p>
        </w:tc>
      </w:tr>
      <w:tr>
        <w:trPr/>
        <w:tc>
          <w:tcPr>
            <w:tcW w:w="3898"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operating expenses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0" w:type="dxa"/>
            <w:tcBorders>
              <w:top w:val="single" w:sz="4" w:space="0" w:color="000000"/>
              <w:bottom w:val="single" w:sz="4" w:space="0" w:color="000000"/>
            </w:tcBorders>
            <w:shd w:fill="CCEEFF" w:val="clear"/>
            <w:tcMar>
              <w:top w:w="28" w:type="dxa"/>
            </w:tcMar>
            <w:vAlign w:val="center"/>
          </w:tcPr>
          <w:p>
            <w:pPr>
              <w:pStyle w:val="TableContents"/>
              <w:pBdr/>
              <w:spacing w:before="0" w:after="0"/>
              <w:ind w:left="0" w:right="0" w:hanging="0"/>
              <w:rPr/>
            </w:pPr>
            <w:r>
              <w:rPr/>
              <w:t xml:space="preserve">  </w:t>
            </w:r>
          </w:p>
        </w:tc>
        <w:tc>
          <w:tcPr>
            <w:tcW w:w="729"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18,126 </w:t>
            </w:r>
          </w:p>
        </w:tc>
        <w:tc>
          <w:tcPr>
            <w:tcW w:w="137"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7"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rPr/>
            </w:pPr>
            <w:r>
              <w:rPr/>
              <w:t xml:space="preserve">  </w:t>
            </w:r>
          </w:p>
        </w:tc>
        <w:tc>
          <w:tcPr>
            <w:tcW w:w="729"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19,755 </w:t>
            </w:r>
          </w:p>
        </w:tc>
        <w:tc>
          <w:tcPr>
            <w:tcW w:w="144"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rPr/>
            </w:pPr>
            <w:r>
              <w:rPr/>
              <w:t xml:space="preserve">  </w:t>
            </w:r>
          </w:p>
        </w:tc>
        <w:tc>
          <w:tcPr>
            <w:tcW w:w="137" w:type="dxa"/>
            <w:tcBorders/>
            <w:shd w:fill="CCEEFF" w:val="clear"/>
            <w:tcMar>
              <w:bottom w:w="0" w:type="dxa"/>
            </w:tcMar>
            <w:vAlign w:val="center"/>
          </w:tcPr>
          <w:p>
            <w:pPr>
              <w:pStyle w:val="TableContents"/>
              <w:spacing w:before="0" w:after="0"/>
              <w:ind w:left="0" w:right="0" w:hanging="0"/>
              <w:rPr/>
            </w:pPr>
            <w:r>
              <w:rPr/>
              <w:t xml:space="preserve">  </w:t>
            </w:r>
          </w:p>
        </w:tc>
        <w:tc>
          <w:tcPr>
            <w:tcW w:w="262" w:type="dxa"/>
            <w:tcBorders/>
            <w:shd w:fill="CCEEFF" w:val="clear"/>
            <w:tcMar>
              <w:bottom w:w="0" w:type="dxa"/>
            </w:tcMar>
            <w:vAlign w:val="center"/>
          </w:tcPr>
          <w:p>
            <w:pPr>
              <w:pStyle w:val="TableContents"/>
              <w:spacing w:before="0" w:after="0"/>
              <w:ind w:left="0" w:right="0" w:hanging="0"/>
              <w:rPr/>
            </w:pPr>
            <w:r>
              <w:rPr/>
              <w:t xml:space="preserve">  </w:t>
            </w:r>
          </w:p>
        </w:tc>
        <w:tc>
          <w:tcPr>
            <w:tcW w:w="1552"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c>
          <w:tcPr>
            <w:tcW w:w="333"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w:t>
            </w:r>
          </w:p>
        </w:tc>
      </w:tr>
      <w:tr>
        <w:trPr/>
        <w:tc>
          <w:tcPr>
            <w:tcW w:w="3898"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loss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0" w:type="dxa"/>
            <w:tcBorders>
              <w:top w:val="single" w:sz="4" w:space="0" w:color="000000"/>
              <w:bottom w:val="single" w:sz="2" w:space="0" w:color="000000"/>
            </w:tcBorders>
            <w:shd w:fill="auto" w:val="clear"/>
            <w:tcMar>
              <w:top w:w="28" w:type="dxa"/>
            </w:tcMar>
            <w:vAlign w:val="center"/>
          </w:tcPr>
          <w:p>
            <w:pPr>
              <w:pStyle w:val="TableContents"/>
              <w:pBdr/>
              <w:spacing w:before="0" w:after="0"/>
              <w:ind w:left="0" w:right="0" w:hanging="0"/>
              <w:rPr/>
            </w:pPr>
            <w:r>
              <w:rPr/>
              <w:t xml:space="preserve">  </w:t>
            </w:r>
          </w:p>
        </w:tc>
        <w:tc>
          <w:tcPr>
            <w:tcW w:w="729" w:type="dxa"/>
            <w:tcBorders>
              <w:top w:val="single" w:sz="4" w:space="0" w:color="000000"/>
              <w:bottom w:val="single" w:sz="2" w:space="0" w:color="000000"/>
            </w:tcBorders>
            <w:shd w:fill="auto" w:val="clear"/>
            <w:tcMar>
              <w:top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(5,567</w:t>
            </w:r>
          </w:p>
        </w:tc>
        <w:tc>
          <w:tcPr>
            <w:tcW w:w="137" w:type="dxa"/>
            <w:tcBorders>
              <w:top w:val="single" w:sz="4" w:space="0" w:color="000000"/>
              <w:bottom w:val="single" w:sz="2" w:space="0" w:color="000000"/>
            </w:tcBorders>
            <w:shd w:fill="auto" w:val="clear"/>
            <w:tcMar>
              <w:top w:w="28" w:type="dxa"/>
            </w:tcMar>
            <w:vAlign w:val="center"/>
          </w:tcPr>
          <w:p>
            <w:pPr>
              <w:pStyle w:val="TableContents"/>
              <w:spacing w:before="0" w:after="0"/>
              <w:ind w:left="0" w:right="0" w:hanging="0"/>
              <w:rPr/>
            </w:pPr>
            <w:r>
              <w:rPr/>
              <w:t>)</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7" w:type="dxa"/>
            <w:tcBorders>
              <w:top w:val="single" w:sz="4" w:space="0" w:color="000000"/>
              <w:bottom w:val="single" w:sz="2" w:space="0" w:color="000000"/>
            </w:tcBorders>
            <w:shd w:fill="auto" w:val="clear"/>
            <w:tcMar>
              <w:top w:w="28" w:type="dxa"/>
            </w:tcMar>
            <w:vAlign w:val="center"/>
          </w:tcPr>
          <w:p>
            <w:pPr>
              <w:pStyle w:val="TableContents"/>
              <w:spacing w:before="0" w:after="0"/>
              <w:ind w:left="0" w:right="0" w:hanging="0"/>
              <w:rPr/>
            </w:pPr>
            <w:r>
              <w:rPr/>
              <w:t xml:space="preserve">  </w:t>
            </w:r>
          </w:p>
        </w:tc>
        <w:tc>
          <w:tcPr>
            <w:tcW w:w="729" w:type="dxa"/>
            <w:tcBorders>
              <w:top w:val="single" w:sz="4" w:space="0" w:color="000000"/>
              <w:bottom w:val="single" w:sz="2" w:space="0" w:color="000000"/>
            </w:tcBorders>
            <w:shd w:fill="auto" w:val="clear"/>
            <w:tcMar>
              <w:top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(8,562 </w:t>
            </w:r>
          </w:p>
        </w:tc>
        <w:tc>
          <w:tcPr>
            <w:tcW w:w="144" w:type="dxa"/>
            <w:tcBorders>
              <w:top w:val="single" w:sz="4" w:space="0" w:color="000000"/>
            </w:tcBorders>
            <w:shd w:fill="auto" w:val="clear"/>
            <w:tcMar>
              <w:top w:w="28" w:type="dxa"/>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7" w:type="dxa"/>
            <w:tcBorders/>
            <w:shd w:fill="auto" w:val="clear"/>
            <w:tcMar>
              <w:bottom w:w="0" w:type="dxa"/>
            </w:tcMar>
            <w:vAlign w:val="center"/>
          </w:tcPr>
          <w:p>
            <w:pPr>
              <w:pStyle w:val="TableContents"/>
              <w:spacing w:before="0" w:after="0"/>
              <w:ind w:left="0" w:right="0" w:hanging="0"/>
              <w:rPr/>
            </w:pPr>
            <w:r>
              <w:rPr/>
              <w:t xml:space="preserve">  </w:t>
            </w:r>
          </w:p>
        </w:tc>
        <w:tc>
          <w:tcPr>
            <w:tcW w:w="262" w:type="dxa"/>
            <w:tcBorders/>
            <w:shd w:fill="auto" w:val="clear"/>
            <w:tcMar>
              <w:bottom w:w="0" w:type="dxa"/>
            </w:tcMar>
            <w:vAlign w:val="center"/>
          </w:tcPr>
          <w:p>
            <w:pPr>
              <w:pStyle w:val="TableContents"/>
              <w:spacing w:before="0" w:after="0"/>
              <w:ind w:left="0" w:right="0" w:hanging="0"/>
              <w:rPr/>
            </w:pPr>
            <w:r>
              <w:rPr/>
              <w:t xml:space="preserve">  </w:t>
            </w:r>
          </w:p>
        </w:tc>
        <w:tc>
          <w:tcPr>
            <w:tcW w:w="1552"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35</w:t>
            </w:r>
          </w:p>
        </w:tc>
        <w:tc>
          <w:tcPr>
            <w:tcW w:w="333"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w:t>
            </w:r>
          </w:p>
        </w:tc>
      </w:tr>
      <w:tr>
        <w:trPr/>
        <w:tc>
          <w:tcPr>
            <w:tcW w:w="3898"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Loss before income taxes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0" w:type="dxa"/>
            <w:tcBorders/>
            <w:shd w:fill="CCEEFF" w:val="clear"/>
            <w:tcMar>
              <w:bottom w:w="0" w:type="dxa"/>
            </w:tcMar>
            <w:vAlign w:val="center"/>
          </w:tcPr>
          <w:p>
            <w:pPr>
              <w:pStyle w:val="TableContents"/>
              <w:pBdr/>
              <w:spacing w:before="0" w:after="0"/>
              <w:ind w:left="0" w:right="0" w:hanging="0"/>
              <w:rPr/>
            </w:pPr>
            <w:r>
              <w:rPr/>
              <w:t xml:space="preserve">   </w:t>
            </w:r>
          </w:p>
        </w:tc>
        <w:tc>
          <w:tcPr>
            <w:tcW w:w="729"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(5,924</w:t>
            </w:r>
          </w:p>
        </w:tc>
        <w:tc>
          <w:tcPr>
            <w:tcW w:w="137" w:type="dxa"/>
            <w:tcBorders/>
            <w:shd w:fill="CCEEFF" w:val="clear"/>
            <w:tcMar>
              <w:bottom w:w="0" w:type="dxa"/>
            </w:tcMar>
            <w:vAlign w:val="center"/>
          </w:tcPr>
          <w:p>
            <w:pPr>
              <w:pStyle w:val="TableContents"/>
              <w:spacing w:before="0" w:after="0"/>
              <w:ind w:left="0" w:right="0" w:hanging="0"/>
              <w:rPr/>
            </w:pPr>
            <w:r>
              <w:rPr/>
              <w:t>)</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7" w:type="dxa"/>
            <w:tcBorders/>
            <w:shd w:fill="CCEEFF" w:val="clear"/>
            <w:tcMar>
              <w:bottom w:w="0" w:type="dxa"/>
            </w:tcMar>
            <w:vAlign w:val="center"/>
          </w:tcPr>
          <w:p>
            <w:pPr>
              <w:pStyle w:val="TableContents"/>
              <w:spacing w:before="0" w:after="0"/>
              <w:ind w:left="0" w:right="0" w:hanging="0"/>
              <w:rPr/>
            </w:pPr>
            <w:r>
              <w:rPr/>
              <w:t xml:space="preserve">  </w:t>
            </w:r>
          </w:p>
        </w:tc>
        <w:tc>
          <w:tcPr>
            <w:tcW w:w="729"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(8,352 </w:t>
            </w:r>
          </w:p>
        </w:tc>
        <w:tc>
          <w:tcPr>
            <w:tcW w:w="144"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7" w:type="dxa"/>
            <w:tcBorders/>
            <w:shd w:fill="CCEEFF" w:val="clear"/>
            <w:tcMar>
              <w:bottom w:w="0" w:type="dxa"/>
            </w:tcMar>
            <w:vAlign w:val="center"/>
          </w:tcPr>
          <w:p>
            <w:pPr>
              <w:pStyle w:val="TableContents"/>
              <w:spacing w:before="0" w:after="0"/>
              <w:ind w:left="0" w:right="0" w:hanging="0"/>
              <w:rPr/>
            </w:pPr>
            <w:r>
              <w:rPr/>
              <w:t xml:space="preserve">  </w:t>
            </w:r>
          </w:p>
        </w:tc>
        <w:tc>
          <w:tcPr>
            <w:tcW w:w="262" w:type="dxa"/>
            <w:tcBorders/>
            <w:shd w:fill="CCEEFF" w:val="clear"/>
            <w:tcMar>
              <w:bottom w:w="0" w:type="dxa"/>
            </w:tcMar>
            <w:vAlign w:val="center"/>
          </w:tcPr>
          <w:p>
            <w:pPr>
              <w:pStyle w:val="TableContents"/>
              <w:spacing w:before="0" w:after="0"/>
              <w:ind w:left="0" w:right="0" w:hanging="0"/>
              <w:rPr/>
            </w:pPr>
            <w:r>
              <w:rPr/>
              <w:t xml:space="preserve">  </w:t>
            </w:r>
          </w:p>
        </w:tc>
        <w:tc>
          <w:tcPr>
            <w:tcW w:w="1552"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w:t>
            </w:r>
          </w:p>
        </w:tc>
        <w:tc>
          <w:tcPr>
            <w:tcW w:w="333"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w:t>
            </w:r>
          </w:p>
        </w:tc>
      </w:tr>
      <w:tr>
        <w:trPr/>
        <w:tc>
          <w:tcPr>
            <w:tcW w:w="3898"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Provision for (benefit from) income taxes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0" w:type="dxa"/>
            <w:tcBorders/>
            <w:shd w:fill="auto" w:val="clear"/>
            <w:tcMar>
              <w:bottom w:w="0" w:type="dxa"/>
            </w:tcMar>
            <w:vAlign w:val="center"/>
          </w:tcPr>
          <w:p>
            <w:pPr>
              <w:pStyle w:val="TableContents"/>
              <w:pBdr/>
              <w:spacing w:before="0" w:after="0"/>
              <w:ind w:left="0" w:right="0" w:hanging="0"/>
              <w:rPr/>
            </w:pPr>
            <w:r>
              <w:rPr/>
              <w:t xml:space="preserve">  </w:t>
            </w:r>
          </w:p>
        </w:tc>
        <w:tc>
          <w:tcPr>
            <w:tcW w:w="729"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(6,429</w:t>
            </w:r>
          </w:p>
        </w:tc>
        <w:tc>
          <w:tcPr>
            <w:tcW w:w="137" w:type="dxa"/>
            <w:tcBorders/>
            <w:shd w:fill="auto" w:val="clear"/>
            <w:tcMar>
              <w:bottom w:w="0" w:type="dxa"/>
            </w:tcMar>
            <w:vAlign w:val="center"/>
          </w:tcPr>
          <w:p>
            <w:pPr>
              <w:pStyle w:val="TableContents"/>
              <w:spacing w:before="0" w:after="0"/>
              <w:ind w:left="0" w:right="0" w:hanging="0"/>
              <w:rPr/>
            </w:pPr>
            <w:r>
              <w:rPr/>
              <w:t>)</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7" w:type="dxa"/>
            <w:tcBorders/>
            <w:shd w:fill="auto" w:val="clear"/>
            <w:tcMar>
              <w:bottom w:w="0" w:type="dxa"/>
            </w:tcMar>
            <w:vAlign w:val="center"/>
          </w:tcPr>
          <w:p>
            <w:pPr>
              <w:pStyle w:val="TableContents"/>
              <w:spacing w:before="0" w:after="0"/>
              <w:ind w:left="0" w:right="0" w:hanging="0"/>
              <w:rPr/>
            </w:pPr>
            <w:r>
              <w:rPr/>
              <w:t xml:space="preserve">  </w:t>
            </w:r>
          </w:p>
        </w:tc>
        <w:tc>
          <w:tcPr>
            <w:tcW w:w="729"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56 </w:t>
            </w:r>
          </w:p>
        </w:tc>
        <w:tc>
          <w:tcPr>
            <w:tcW w:w="144" w:type="dxa"/>
            <w:tcBorders/>
            <w:shd w:fill="auto" w:val="clear"/>
            <w:tcMar>
              <w:bottom w:w="0" w:type="dxa"/>
            </w:tcMar>
            <w:vAlign w:val="center"/>
          </w:tcPr>
          <w:p>
            <w:pPr>
              <w:pStyle w:val="TableContents"/>
              <w:spacing w:before="0" w:after="0"/>
              <w:ind w:left="0" w:right="0" w:hanging="0"/>
              <w:rPr/>
            </w:pPr>
            <w:r>
              <w:rPr/>
              <w:t xml:space="preserve">  </w:t>
            </w:r>
          </w:p>
        </w:tc>
        <w:tc>
          <w:tcPr>
            <w:tcW w:w="137" w:type="dxa"/>
            <w:tcBorders/>
            <w:shd w:fill="auto" w:val="clear"/>
            <w:tcMar>
              <w:bottom w:w="0" w:type="dxa"/>
            </w:tcMar>
            <w:vAlign w:val="center"/>
          </w:tcPr>
          <w:p>
            <w:pPr>
              <w:pStyle w:val="TableContents"/>
              <w:spacing w:before="0" w:after="0"/>
              <w:ind w:left="0" w:right="0" w:hanging="0"/>
              <w:rPr/>
            </w:pPr>
            <w:r>
              <w:rPr/>
              <w:t xml:space="preserve">  </w:t>
            </w:r>
          </w:p>
        </w:tc>
        <w:tc>
          <w:tcPr>
            <w:tcW w:w="262" w:type="dxa"/>
            <w:tcBorders/>
            <w:shd w:fill="auto" w:val="clear"/>
            <w:tcMar>
              <w:bottom w:w="0" w:type="dxa"/>
            </w:tcMar>
            <w:vAlign w:val="center"/>
          </w:tcPr>
          <w:p>
            <w:pPr>
              <w:pStyle w:val="TableContents"/>
              <w:spacing w:before="0" w:after="0"/>
              <w:ind w:left="0" w:right="0" w:hanging="0"/>
              <w:rPr/>
            </w:pPr>
            <w:r>
              <w:rPr/>
              <w:t xml:space="preserve">  </w:t>
            </w:r>
          </w:p>
        </w:tc>
        <w:tc>
          <w:tcPr>
            <w:tcW w:w="1552"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11580</w:t>
            </w:r>
          </w:p>
        </w:tc>
        <w:tc>
          <w:tcPr>
            <w:tcW w:w="333"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w:t>
            </w:r>
          </w:p>
        </w:tc>
      </w:tr>
      <w:tr>
        <w:trPr/>
        <w:tc>
          <w:tcPr>
            <w:tcW w:w="3898"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Net income (loss)</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0" w:type="dxa"/>
            <w:tcBorders>
              <w:top w:val="single" w:sz="4" w:space="0" w:color="000000"/>
              <w:bottom w:val="single" w:sz="4" w:space="0" w:color="000000"/>
            </w:tcBorders>
            <w:shd w:fill="CCEEFF" w:val="clear"/>
            <w:tcMar>
              <w:top w:w="28" w:type="dxa"/>
            </w:tcMar>
            <w:vAlign w:val="center"/>
          </w:tcPr>
          <w:p>
            <w:pPr>
              <w:pStyle w:val="TableContents"/>
              <w:pBdr/>
              <w:spacing w:before="0" w:after="0"/>
              <w:ind w:left="0" w:right="0" w:hanging="0"/>
              <w:jc w:val="left"/>
              <w:rPr/>
            </w:pPr>
            <w:r>
              <w:rPr/>
              <w:t> </w:t>
            </w:r>
            <w:r>
              <w:rPr>
                <w:rFonts w:ascii="Times New Roman" w:hAnsi="Times New Roman"/>
                <w:sz w:val="20"/>
              </w:rPr>
              <w:t>$</w:t>
            </w:r>
          </w:p>
        </w:tc>
        <w:tc>
          <w:tcPr>
            <w:tcW w:w="729"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505</w:t>
            </w:r>
          </w:p>
        </w:tc>
        <w:tc>
          <w:tcPr>
            <w:tcW w:w="137" w:type="dxa"/>
            <w:tcBorders>
              <w:top w:val="single" w:sz="4" w:space="0" w:color="000000"/>
              <w:bottom w:val="single" w:sz="4" w:space="0" w:color="000000"/>
            </w:tcBorders>
            <w:shd w:fill="CCEEFF" w:val="clear"/>
            <w:tcMar>
              <w:top w:w="28" w:type="dxa"/>
            </w:tcMar>
            <w:vAlign w:val="center"/>
          </w:tcPr>
          <w:p>
            <w:pPr>
              <w:pStyle w:val="TableContents"/>
              <w:spacing w:before="0" w:after="283"/>
              <w:ind w:left="0" w:right="0" w:hanging="0"/>
              <w:rPr>
                <w:sz w:val="4"/>
                <w:szCs w:val="4"/>
              </w:rPr>
            </w:pPr>
            <w:r>
              <w:rPr>
                <w:sz w:val="4"/>
                <w:szCs w:val="4"/>
              </w:rPr>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7"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29"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(8,408 </w:t>
            </w:r>
          </w:p>
        </w:tc>
        <w:tc>
          <w:tcPr>
            <w:tcW w:w="144" w:type="dxa"/>
            <w:tcBorders>
              <w:top w:val="single" w:sz="4" w:space="0" w:color="000000"/>
              <w:bottom w:val="single" w:sz="4" w:space="0" w:color="000000"/>
            </w:tcBorders>
            <w:shd w:fill="CCEEFF" w:val="clear"/>
            <w:tcMar>
              <w:top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7" w:type="dxa"/>
            <w:tcBorders/>
            <w:shd w:fill="CCEEFF" w:val="clear"/>
            <w:tcMar>
              <w:bottom w:w="0" w:type="dxa"/>
            </w:tcMar>
            <w:vAlign w:val="center"/>
          </w:tcPr>
          <w:p>
            <w:pPr>
              <w:pStyle w:val="TableContents"/>
              <w:spacing w:before="0" w:after="0"/>
              <w:ind w:left="0" w:right="0" w:hanging="0"/>
              <w:rPr/>
            </w:pPr>
            <w:r>
              <w:rPr/>
              <w:t xml:space="preserve">  </w:t>
            </w:r>
          </w:p>
        </w:tc>
        <w:tc>
          <w:tcPr>
            <w:tcW w:w="262" w:type="dxa"/>
            <w:tcBorders/>
            <w:shd w:fill="CCEEFF" w:val="clear"/>
            <w:tcMar>
              <w:bottom w:w="0" w:type="dxa"/>
            </w:tcMar>
            <w:vAlign w:val="center"/>
          </w:tcPr>
          <w:p>
            <w:pPr>
              <w:pStyle w:val="TableContents"/>
              <w:spacing w:before="0" w:after="0"/>
              <w:ind w:left="0" w:right="0" w:hanging="0"/>
              <w:rPr/>
            </w:pPr>
            <w:r>
              <w:rPr/>
              <w:t xml:space="preserve">  </w:t>
            </w:r>
          </w:p>
        </w:tc>
        <w:tc>
          <w:tcPr>
            <w:tcW w:w="1552"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106</w:t>
            </w:r>
          </w:p>
        </w:tc>
        <w:tc>
          <w:tcPr>
            <w:tcW w:w="333"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w:t>
            </w:r>
          </w:p>
        </w:tc>
      </w:tr>
    </w:tbl>
    <w:p>
      <w:pPr>
        <w:pStyle w:val="TextBody"/>
        <w:spacing w:lineRule="auto" w:line="288" w:before="0" w:after="0"/>
        <w:ind w:left="0" w:right="0" w:hanging="0"/>
        <w:jc w:val="both"/>
        <w:rPr/>
      </w:pPr>
      <w:r>
        <w:rPr/>
        <w:t>  </w:t>
      </w:r>
    </w:p>
    <w:p>
      <w:pPr>
        <w:pStyle w:val="TextBody"/>
        <w:spacing w:lineRule="auto" w:line="288" w:before="0" w:after="0"/>
        <w:ind w:left="0" w:right="0" w:hanging="0"/>
        <w:jc w:val="left"/>
        <w:rPr>
          <w:rFonts w:ascii="Times New Roman" w:hAnsi="Times New Roman"/>
          <w:b/>
          <w:sz w:val="20"/>
        </w:rPr>
      </w:pPr>
      <w:r>
        <w:rPr>
          <w:rFonts w:ascii="Times New Roman" w:hAnsi="Times New Roman"/>
          <w:b/>
          <w:sz w:val="20"/>
        </w:rPr>
        <w:t>Revenue</w:t>
      </w:r>
    </w:p>
    <w:p>
      <w:pPr>
        <w:pStyle w:val="TextBody"/>
        <w:spacing w:lineRule="auto" w:line="288" w:before="0" w:after="0"/>
        <w:ind w:left="0" w:right="0" w:hanging="0"/>
        <w:jc w:val="both"/>
        <w:rPr/>
      </w:pPr>
      <w:r>
        <w:rPr/>
        <w:t> </w:t>
      </w:r>
    </w:p>
    <w:p>
      <w:pPr>
        <w:pStyle w:val="TextBody"/>
        <w:widowControl/>
        <w:spacing w:lineRule="auto" w:line="288" w:before="0" w:after="0"/>
        <w:ind w:left="0" w:right="0" w:hanging="0"/>
        <w:jc w:val="both"/>
        <w:rPr>
          <w:rFonts w:ascii="times new roman;times" w:hAnsi="times new roman;times"/>
          <w:sz w:val="20"/>
        </w:rPr>
      </w:pPr>
      <w:r>
        <w:rPr>
          <w:rFonts w:ascii="Times New Roman" w:hAnsi="Times New Roman"/>
          <w:sz w:val="20"/>
        </w:rPr>
        <w:t xml:space="preserve">Our revenue </w:t>
      </w:r>
      <w:r>
        <w:rPr>
          <w:rFonts w:ascii="times new roman;times" w:hAnsi="times new roman;times"/>
          <w:sz w:val="20"/>
        </w:rPr>
        <w:t xml:space="preserve">increased </w:t>
      </w:r>
      <w:r>
        <w:rPr>
          <w:rFonts w:ascii="Times New Roman" w:hAnsi="Times New Roman"/>
          <w:sz w:val="20"/>
        </w:rPr>
        <w:t>to $29.1</w:t>
      </w:r>
      <w:r>
        <w:rPr>
          <w:rFonts w:ascii="times new roman;times" w:hAnsi="times new roman;times"/>
          <w:sz w:val="20"/>
        </w:rPr>
        <w:t xml:space="preserve"> </w:t>
      </w:r>
      <w:r>
        <w:rPr>
          <w:rFonts w:ascii="Times New Roman" w:hAnsi="Times New Roman"/>
          <w:sz w:val="20"/>
        </w:rPr>
        <w:t>million in 2020 compared to $25.0 million in 2019. The highest increase was seen in video products with a 95</w:t>
      </w:r>
      <w:r>
        <w:rPr>
          <w:rFonts w:ascii="Times New Roman" w:hAnsi="Times New Roman"/>
          <w:b w:val="false"/>
          <w:i w:val="false"/>
          <w:caps w:val="false"/>
          <w:smallCaps w:val="false"/>
          <w:color w:val="000000"/>
          <w:spacing w:val="0"/>
          <w:sz w:val="20"/>
        </w:rPr>
        <w:t>% increase, </w:t>
      </w:r>
      <w:r>
        <w:rPr>
          <w:rFonts w:ascii="Times New Roman" w:hAnsi="Times New Roman"/>
          <w:sz w:val="20"/>
        </w:rPr>
        <w:t>followed by an increase in microphones of 4%. These increases were partially offset by a 6% decline in audio conferencing.  The increase in revenue from video products was mainly fueled by growth in demand for media collaboration products. Microphones increased in revenue on the back of significant growth from BMA products despite decline in revenues from other microphones. Except personal audio conferencing products, which had a significant increase in revenues, all other categories under audio conferencing declined in revenue during 2020. We believe the on-going</w:t>
      </w:r>
      <w:r>
        <w:rPr>
          <w:rFonts w:ascii="times new roman;times" w:hAnsi="times new roman;times"/>
          <w:sz w:val="20"/>
        </w:rPr>
        <w:t> </w:t>
      </w:r>
      <w:r>
        <w:rPr>
          <w:rFonts w:ascii="Times New Roman" w:hAnsi="Times New Roman"/>
          <w:sz w:val="20"/>
        </w:rPr>
        <w:t>infringement of ClearOne’s</w:t>
      </w:r>
      <w:r>
        <w:rPr>
          <w:rFonts w:ascii="times new roman;times" w:hAnsi="times new roman;times"/>
          <w:sz w:val="20"/>
        </w:rPr>
        <w:t xml:space="preserve"> </w:t>
      </w:r>
      <w:r>
        <w:rPr>
          <w:rFonts w:ascii="Times New Roman" w:hAnsi="Times New Roman"/>
          <w:sz w:val="20"/>
        </w:rPr>
        <w:t>patents is the major cause of our revenue decline in certain categories of audio conferencing and microphones. </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The share of audio conferencing</w:t>
      </w:r>
      <w:r>
        <w:rPr>
          <w:rFonts w:ascii="times new roman;times" w:hAnsi="times new roman;times"/>
          <w:sz w:val="20"/>
        </w:rPr>
        <w:t xml:space="preserve"> </w:t>
      </w:r>
      <w:r>
        <w:rPr>
          <w:rFonts w:ascii="Times New Roman" w:hAnsi="Times New Roman"/>
          <w:sz w:val="20"/>
        </w:rPr>
        <w:t>products in our product mix declined sharply from 46% in 2019 to 38% in 2020.</w:t>
      </w:r>
      <w:r>
        <w:rPr>
          <w:rFonts w:ascii="times new roman;times" w:hAnsi="times new roman;times"/>
          <w:sz w:val="20"/>
        </w:rPr>
        <w:t> </w:t>
      </w:r>
      <w:r>
        <w:rPr>
          <w:rFonts w:ascii="Times New Roman" w:hAnsi="Times New Roman"/>
          <w:sz w:val="20"/>
        </w:rPr>
        <w:t>The share of microphones in the revenue mix marginally dropped from 35% in 2019 to 31% in 2020. Share of video products in the revenue mix jumped up significantly from 18% in 2019 to 31% in 2020. </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t>During 2020, revenue increased significantly in North America and Europe, while it declined considerably in China and the Middle East.  Asia Pacific including the Middle East decreased by 23%, Europe and Africa increased by 47% and the Americas increased by approximately 30%.</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t>We believe, although there can be no assurance, that we can sustain our revenue growth and return to generating operating profits through our strategic initiatives namely product innovation, cost reduction and defense of our intellectual property.</w:t>
      </w:r>
    </w:p>
    <w:p>
      <w:pPr>
        <w:pStyle w:val="TextBody"/>
        <w:spacing w:lineRule="auto" w:line="288" w:before="0" w:after="0"/>
        <w:ind w:left="0" w:right="0" w:hanging="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30</w:t>
            </w:r>
          </w:p>
        </w:tc>
      </w:tr>
    </w:tbl>
    <w:p>
      <w:pPr>
        <w:pStyle w:val="HorizontalLine"/>
        <w:spacing w:lineRule="auto" w:line="288" w:before="0" w:after="0"/>
        <w:jc w:val="both"/>
        <w:rPr/>
      </w:pPr>
      <w:r>
        <w:rPr/>
      </w:r>
    </w:p>
    <w:p>
      <w:pPr>
        <w:pStyle w:val="TextBody"/>
        <w:spacing w:lineRule="auto" w:line="288"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88"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Cost of Goods Sold and Gross Profit</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and the allocation of overhead expenses.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Our gross profit during 2020</w:t>
      </w:r>
      <w:r>
        <w:rPr>
          <w:rFonts w:ascii="times new roman;times" w:hAnsi="times new roman;times"/>
          <w:sz w:val="20"/>
        </w:rPr>
        <w:t xml:space="preserve"> </w:t>
      </w:r>
      <w:r>
        <w:rPr>
          <w:rFonts w:ascii="Times New Roman" w:hAnsi="Times New Roman"/>
          <w:sz w:val="20"/>
        </w:rPr>
        <w:t>was approximately $12.6</w:t>
      </w:r>
      <w:r>
        <w:rPr>
          <w:rFonts w:ascii="times new roman;times" w:hAnsi="times new roman;times"/>
          <w:sz w:val="20"/>
        </w:rPr>
        <w:t> </w:t>
      </w:r>
      <w:r>
        <w:rPr>
          <w:rFonts w:ascii="Times New Roman" w:hAnsi="Times New Roman"/>
          <w:sz w:val="20"/>
        </w:rPr>
        <w:t>million or 43%</w:t>
      </w:r>
      <w:r>
        <w:rPr>
          <w:rFonts w:ascii="times new roman;times" w:hAnsi="times new roman;times"/>
          <w:sz w:val="20"/>
        </w:rPr>
        <w:t xml:space="preserve"> </w:t>
      </w:r>
      <w:r>
        <w:rPr>
          <w:rFonts w:ascii="Times New Roman" w:hAnsi="Times New Roman"/>
          <w:sz w:val="20"/>
        </w:rPr>
        <w:t>compared to approximately $11.2</w:t>
      </w:r>
      <w:r>
        <w:rPr>
          <w:rFonts w:ascii="times new roman;times" w:hAnsi="times new roman;times"/>
          <w:sz w:val="20"/>
        </w:rPr>
        <w:t xml:space="preserve"> </w:t>
      </w:r>
      <w:r>
        <w:rPr>
          <w:rFonts w:ascii="Times New Roman" w:hAnsi="Times New Roman"/>
          <w:sz w:val="20"/>
        </w:rPr>
        <w:t>million or 45% in 2019. The gross profit margin was negatively impacted due to increase in share of lower margin products in the revenue mix, increased freight and tariff costs and increased inventory obsolescence costs, partially offset by increased deferral of overhead costs added to the inventory.</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Our profitability in the near-term continues to depend significantly on our revenues from audio conferencing products. We hold long-term inventory and if we are unable to sell our long-term inventory, our profitability might be affected by inventory write-offs and price mark-downs. Our long-term inventory includes approximately $1.1</w:t>
      </w:r>
      <w:r>
        <w:rPr>
          <w:rFonts w:ascii="times new roman;times" w:hAnsi="times new roman;times"/>
          <w:sz w:val="20"/>
        </w:rPr>
        <w:t> </w:t>
      </w:r>
      <w:r>
        <w:rPr>
          <w:rFonts w:ascii="Times New Roman" w:hAnsi="Times New Roman"/>
          <w:sz w:val="20"/>
        </w:rPr>
        <w:t>million of wireless microphone-related finished goods and assemblies, $0.9</w:t>
      </w:r>
      <w:r>
        <w:rPr>
          <w:rFonts w:ascii="times new roman;times" w:hAnsi="times new roman;times"/>
          <w:sz w:val="20"/>
        </w:rPr>
        <w:t> </w:t>
      </w:r>
      <w:r>
        <w:rPr>
          <w:rFonts w:ascii="Times New Roman" w:hAnsi="Times New Roman"/>
          <w:sz w:val="20"/>
        </w:rPr>
        <w:t>million of Converge Pro and Beamforming microphone array products,</w:t>
      </w:r>
      <w:r>
        <w:rPr>
          <w:rFonts w:ascii="times new roman;times" w:hAnsi="times new roman;times"/>
          <w:sz w:val="20"/>
        </w:rPr>
        <w:t> </w:t>
      </w:r>
      <w:r>
        <w:rPr>
          <w:rFonts w:ascii="Times New Roman" w:hAnsi="Times New Roman"/>
          <w:sz w:val="20"/>
        </w:rPr>
        <w:t>$0.3 million of network media streaming products and about $1.9 million of raw materials that will be used primarily for manufacturing installed professional audio conferencing</w:t>
      </w:r>
      <w:r>
        <w:rPr>
          <w:rFonts w:ascii="times new roman;times" w:hAnsi="times new roman;times"/>
          <w:sz w:val="20"/>
        </w:rPr>
        <w:t xml:space="preserve"> </w:t>
      </w:r>
      <w:r>
        <w:rPr>
          <w:rFonts w:ascii="Times New Roman" w:hAnsi="Times New Roman"/>
          <w:sz w:val="20"/>
        </w:rPr>
        <w:t>products.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Operating Expenses and Profits (Losses)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Operating income (loss), or income (loss) from operations, is the surplus or deficit after operating expenses are deducted from gross profits. Operating expenses include sales and marketing (“S&amp;M”) expenses, research and product development (“R&amp;D”) expenses and general and administrative (“G&amp;A”) expenses. Total operating expenses were $18.1</w:t>
      </w:r>
      <w:r>
        <w:rPr>
          <w:rFonts w:ascii="times new roman;times" w:hAnsi="times new roman;times"/>
          <w:sz w:val="20"/>
        </w:rPr>
        <w:t xml:space="preserve"> </w:t>
      </w:r>
      <w:r>
        <w:rPr>
          <w:rFonts w:ascii="Times New Roman" w:hAnsi="Times New Roman"/>
          <w:sz w:val="20"/>
        </w:rPr>
        <w:t>million in 2020, compared to $19.8 million in 2019. The following contains a more detailed discussion of expenses related to sales and marketing, research and product development, general and administrative, and other items.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b/>
          <w:sz w:val="20"/>
          <w:u w:val="single"/>
        </w:rPr>
        <w:t>Sales and Marketing</w:t>
      </w:r>
      <w:r>
        <w:rPr>
          <w:rFonts w:ascii="times new roman;times" w:hAnsi="times new roman;times"/>
          <w:sz w:val="20"/>
        </w:rPr>
        <w:t xml:space="preserve"> </w:t>
      </w:r>
      <w:r>
        <w:rPr>
          <w:rFonts w:ascii="Times New Roman" w:hAnsi="Times New Roman"/>
          <w:sz w:val="20"/>
        </w:rPr>
        <w:t>S&amp;M expenses include sales, customer service, and marketing expenses such as employee-related costs, allocations of overhead expenses, trade shows, and other advertising and selling expenses.</w:t>
      </w:r>
    </w:p>
    <w:p>
      <w:pPr>
        <w:pStyle w:val="TextBody"/>
        <w:spacing w:lineRule="auto" w:line="288" w:before="0" w:after="0"/>
        <w:ind w:left="0" w:right="0" w:hanging="0"/>
        <w:jc w:val="both"/>
        <w:rPr/>
      </w:pPr>
      <w:r>
        <w:rPr/>
        <w:t> </w:t>
      </w:r>
    </w:p>
    <w:p>
      <w:pPr>
        <w:pStyle w:val="TextBody"/>
        <w:widowControl/>
        <w:spacing w:lineRule="auto" w:line="288" w:before="0" w:after="0"/>
        <w:ind w:left="0" w:right="0" w:hanging="0"/>
        <w:jc w:val="both"/>
        <w:rPr>
          <w:rFonts w:ascii="times new roman;times" w:hAnsi="times new roman;times"/>
          <w:sz w:val="20"/>
        </w:rPr>
      </w:pPr>
      <w:r>
        <w:rPr>
          <w:rFonts w:ascii="Times New Roman" w:hAnsi="Times New Roman"/>
          <w:sz w:val="20"/>
        </w:rPr>
        <w:t>S&amp;M expenses in 2020</w:t>
      </w:r>
      <w:r>
        <w:rPr>
          <w:rFonts w:ascii="times new roman;times" w:hAnsi="times new roman;times"/>
          <w:sz w:val="20"/>
        </w:rPr>
        <w:t xml:space="preserve"> </w:t>
      </w:r>
      <w:r>
        <w:rPr>
          <w:rFonts w:ascii="Times New Roman" w:hAnsi="Times New Roman"/>
          <w:sz w:val="20"/>
        </w:rPr>
        <w:t xml:space="preserve">decreased by </w:t>
      </w:r>
      <w:r>
        <w:rPr>
          <w:rFonts w:ascii="times new roman;times" w:hAnsi="times new roman;times"/>
          <w:sz w:val="20"/>
        </w:rPr>
        <w:t>15</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from $7.9 million in 2019 to  $6.7 million in</w:t>
      </w:r>
      <w:r>
        <w:rPr>
          <w:rFonts w:ascii="times new roman;times" w:hAnsi="times new roman;times"/>
          <w:sz w:val="20"/>
        </w:rPr>
        <w:t> </w:t>
      </w:r>
      <w:r>
        <w:rPr>
          <w:rFonts w:ascii="Times New Roman" w:hAnsi="Times New Roman"/>
          <w:sz w:val="20"/>
        </w:rPr>
        <w:t xml:space="preserve">2020. </w:t>
      </w:r>
      <w:r>
        <w:rPr>
          <w:rFonts w:ascii="Times New Roman" w:hAnsi="Times New Roman"/>
          <w:caps w:val="false"/>
          <w:smallCaps w:val="false"/>
          <w:color w:val="000000"/>
          <w:spacing w:val="0"/>
          <w:sz w:val="20"/>
        </w:rPr>
        <w:t> </w:t>
      </w:r>
      <w:r>
        <w:rPr>
          <w:rFonts w:ascii="Times New Roman;Times;serif" w:hAnsi="Times New Roman;Times;serif"/>
          <w:b w:val="false"/>
          <w:i w:val="false"/>
          <w:caps w:val="false"/>
          <w:smallCaps w:val="false"/>
          <w:color w:val="000000"/>
          <w:spacing w:val="0"/>
          <w:sz w:val="20"/>
        </w:rPr>
        <w:t>The decrease was mainly due to decreases in </w:t>
      </w:r>
      <w:r>
        <w:rPr>
          <w:rFonts w:ascii="times new roman;times" w:hAnsi="times new roman;times"/>
          <w:b w:val="false"/>
          <w:i w:val="false"/>
          <w:caps w:val="false"/>
          <w:smallCaps w:val="false"/>
          <w:color w:val="000000"/>
          <w:spacing w:val="0"/>
          <w:sz w:val="20"/>
        </w:rPr>
        <w:t>trade-show related expenses, demonstration inventory costs and </w:t>
      </w:r>
      <w:r>
        <w:rPr>
          <w:rFonts w:ascii="Times New Roman;Times;serif" w:hAnsi="Times New Roman;Times;serif"/>
          <w:b w:val="false"/>
          <w:i w:val="false"/>
          <w:caps w:val="false"/>
          <w:smallCaps w:val="false"/>
          <w:color w:val="000000"/>
          <w:spacing w:val="0"/>
          <w:sz w:val="20"/>
        </w:rPr>
        <w:t>employee travel related </w:t>
      </w:r>
      <w:r>
        <w:rPr>
          <w:rFonts w:ascii="times new roman;times" w:hAnsi="times new roman;times"/>
          <w:b w:val="false"/>
          <w:i w:val="false"/>
          <w:caps w:val="false"/>
          <w:smallCaps w:val="false"/>
          <w:color w:val="000000"/>
          <w:spacing w:val="0"/>
          <w:sz w:val="20"/>
        </w:rPr>
        <w:t>expenses partially offset by an increase in sales commissions.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b/>
          <w:sz w:val="20"/>
          <w:u w:val="single"/>
        </w:rPr>
        <w:t>Research and Product Development</w:t>
      </w:r>
      <w:r>
        <w:rPr>
          <w:rFonts w:ascii="times new roman;times" w:hAnsi="times new roman;times"/>
          <w:sz w:val="20"/>
        </w:rPr>
        <w:t> </w:t>
      </w:r>
      <w:r>
        <w:rPr>
          <w:rFonts w:ascii="Times New Roman" w:hAnsi="Times New Roman"/>
          <w:sz w:val="20"/>
        </w:rPr>
        <w:t>R&amp;D expenses include research and development, product line management, engineering services, and test and application expenses, including employee-related costs, outside services, expensed materials, depreciation, and an allocation of overhead expenses.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R&amp;D expenses decreased</w:t>
      </w:r>
      <w:r>
        <w:rPr>
          <w:rFonts w:ascii="times new roman;times" w:hAnsi="times new roman;times"/>
          <w:sz w:val="20"/>
        </w:rPr>
        <w:t xml:space="preserve"> </w:t>
      </w:r>
      <w:r>
        <w:rPr>
          <w:rFonts w:ascii="Times New Roman" w:hAnsi="Times New Roman"/>
          <w:sz w:val="20"/>
        </w:rPr>
        <w:t>from $5.8 million in 2019 to $5.5</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in 2020 . The decrease was primarily due to decreases in employee-related costs</w:t>
      </w:r>
      <w:r>
        <w:rPr>
          <w:rFonts w:ascii="times new roman;times" w:hAnsi="times new roman;times"/>
          <w:sz w:val="20"/>
        </w:rPr>
        <w:t> </w:t>
      </w:r>
      <w:r>
        <w:rPr>
          <w:rFonts w:ascii="Times New Roman" w:hAnsi="Times New Roman"/>
          <w:sz w:val="20"/>
        </w:rPr>
        <w:t>partially offset by increase in consulting expenses and project related expenses.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b/>
          <w:sz w:val="20"/>
          <w:u w:val="single"/>
        </w:rPr>
        <w:t>General and Administrative</w:t>
      </w:r>
      <w:r>
        <w:rPr>
          <w:rFonts w:ascii="times new roman;times" w:hAnsi="times new roman;times"/>
          <w:sz w:val="20"/>
        </w:rPr>
        <w:t> </w:t>
      </w:r>
      <w:r>
        <w:rPr>
          <w:rFonts w:ascii="Times New Roman" w:hAnsi="Times New Roman"/>
          <w:sz w:val="20"/>
        </w:rPr>
        <w:t>G&amp;A expenses include employee-related costs, professional service fees, allocations of overhead expenses, litigation costs, and corporate administrative costs, including costs related to finance and human resources.</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spacing w:lineRule="auto" w:line="288" w:before="0" w:after="0"/>
        <w:ind w:left="0" w:right="0" w:hanging="0"/>
        <w:jc w:val="both"/>
        <w:rPr>
          <w:rFonts w:ascii="Times New Roman" w:hAnsi="Times New Roman"/>
          <w:sz w:val="20"/>
        </w:rPr>
      </w:pPr>
      <w:r>
        <w:rPr>
          <w:rFonts w:ascii="Times New Roman" w:hAnsi="Times New Roman"/>
          <w:sz w:val="20"/>
        </w:rPr>
        <w:t xml:space="preserve">G&amp;A expenses were approximately $5.9 million in 2020 compared with approximately $6.0 million in 2019. The slight decrease was primarily due to decreases in audit and accounting fees, </w:t>
      </w:r>
      <w:r>
        <w:rPr>
          <w:rFonts w:ascii="Times New Roman" w:hAnsi="Times New Roman"/>
          <w:b w:val="false"/>
          <w:i w:val="false"/>
          <w:caps w:val="false"/>
          <w:smallCaps w:val="false"/>
          <w:color w:val="000000"/>
          <w:spacing w:val="0"/>
          <w:sz w:val="20"/>
        </w:rPr>
        <w:t>stock based compensation, miscellaneous taxes and </w:t>
      </w:r>
      <w:r>
        <w:rPr>
          <w:rFonts w:ascii="Times New Roman" w:hAnsi="Times New Roman"/>
          <w:sz w:val="20"/>
        </w:rPr>
        <w:t>overhead allocations, partially offset by increases in legal expenses and amortization of intangible assets.</w:t>
      </w:r>
    </w:p>
    <w:p>
      <w:pPr>
        <w:pStyle w:val="TextBody"/>
        <w:spacing w:lineRule="auto" w:line="288" w:before="0" w:after="0"/>
        <w:ind w:left="0" w:right="0" w:hanging="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31</w:t>
            </w:r>
          </w:p>
        </w:tc>
      </w:tr>
    </w:tbl>
    <w:p>
      <w:pPr>
        <w:pStyle w:val="HorizontalLine"/>
        <w:spacing w:lineRule="auto" w:line="288" w:before="0" w:after="0"/>
        <w:jc w:val="both"/>
        <w:rPr/>
      </w:pPr>
      <w:r>
        <w:rPr/>
      </w:r>
    </w:p>
    <w:p>
      <w:pPr>
        <w:pStyle w:val="TextBody"/>
        <w:spacing w:lineRule="auto" w:line="288"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88"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MANAGEMENT'S DISCUSSION AND ANALYSIS OF FINANCIAL CONDITION AND RESULTS OF OPERATIONS</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Provision for income taxes</w:t>
      </w:r>
    </w:p>
    <w:p>
      <w:pPr>
        <w:pStyle w:val="TextBody"/>
        <w:spacing w:lineRule="auto" w:line="288" w:before="0" w:after="0"/>
        <w:ind w:left="0" w:right="0" w:hanging="0"/>
        <w:jc w:val="both"/>
        <w:rPr/>
      </w:pPr>
      <w:r>
        <w:rPr/>
        <w:t> </w:t>
      </w:r>
    </w:p>
    <w:p>
      <w:pPr>
        <w:pStyle w:val="TextBody"/>
        <w:widowControl/>
        <w:spacing w:lineRule="auto" w:line="288" w:before="0" w:after="0"/>
        <w:ind w:left="0" w:right="0" w:hanging="0"/>
        <w:jc w:val="both"/>
        <w:rPr>
          <w:rFonts w:ascii="Times New Roman" w:hAnsi="Times New Roman"/>
          <w:sz w:val="20"/>
        </w:rPr>
      </w:pPr>
      <w:r>
        <w:rPr>
          <w:rFonts w:ascii="Times New Roman" w:hAnsi="Times New Roman"/>
          <w:sz w:val="20"/>
        </w:rPr>
        <w:t>The effective tax benefit rate was 110% (benefit) in 2020 as compared to the effective tax rate of 1% during 2019. Income tax benefit for 2020 was $6.4 million as compared to an income tax provision of $0.1 million in 2019. The significant change in income taxes was </w:t>
      </w:r>
      <w:r>
        <w:rPr>
          <w:rFonts w:ascii="times new roman;times" w:hAnsi="times new roman;times"/>
          <w:b w:val="false"/>
          <w:i w:val="false"/>
          <w:caps w:val="false"/>
          <w:smallCaps w:val="false"/>
          <w:color w:val="000000"/>
          <w:spacing w:val="0"/>
          <w:sz w:val="20"/>
        </w:rPr>
        <w:t>primarily due to recognition of income tax refunds receivable of approximately $7.1 million arising out of the </w:t>
      </w:r>
      <w:r>
        <w:rPr>
          <w:rFonts w:ascii="Times New Roman" w:hAnsi="Times New Roman"/>
          <w:sz w:val="20"/>
        </w:rPr>
        <w:t>carryback</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xml:space="preserve">of net operating losses that became possible due to the enactment of the CARES Act. Since the company had set up a full valuation allowance against net operating losses from earlier years, the carryback of these losses resulted in the recognition of a substantial tax benefits. </w:t>
      </w:r>
      <w:r>
        <w:rPr>
          <w:rFonts w:ascii="Times New Roman" w:hAnsi="Times New Roman"/>
          <w:sz w:val="20"/>
        </w:rPr>
        <w:t>We have been recording a valuation allowance against net deferred tax assets since 2018 and have not been claiming tax benefit for our losses as we have concluded that it is more likely than not that our deferred tax assets were not realizable, primarily due to our recent pre-tax losses. </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LIQUIDITY, CAPITAL RESOURCES AND FINANCIAL POSITION</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As of December 31, 2020, our cash and cash equivalents were approximately $3.8</w:t>
      </w:r>
      <w:r>
        <w:rPr>
          <w:rFonts w:ascii="times new roman;times" w:hAnsi="times new roman;times"/>
          <w:sz w:val="20"/>
        </w:rPr>
        <w:t>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compared to $4.1</w:t>
      </w:r>
      <w:r>
        <w:rPr>
          <w:rFonts w:ascii="times new roman;times" w:hAnsi="times new roman;times"/>
          <w:sz w:val="20"/>
        </w:rPr>
        <w:t> </w:t>
      </w:r>
      <w:r>
        <w:rPr>
          <w:rFonts w:ascii="Times New Roman" w:hAnsi="Times New Roman"/>
          <w:sz w:val="20"/>
        </w:rPr>
        <w:t>million as of December 31, 2019. Our working capital was $22.2</w:t>
      </w:r>
      <w:r>
        <w:rPr>
          <w:rFonts w:ascii="times new roman;times" w:hAnsi="times new roman;times"/>
          <w:sz w:val="20"/>
        </w:rPr>
        <w:t>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and $18.9 million as of December 31, 2020 and 2019, respectively.</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Net cash flows used</w:t>
      </w:r>
      <w:r>
        <w:rPr>
          <w:rFonts w:ascii="times new roman;times" w:hAnsi="times new roman;times"/>
          <w:sz w:val="20"/>
        </w:rPr>
        <w:t> </w:t>
      </w:r>
      <w:r>
        <w:rPr>
          <w:rFonts w:ascii="Times New Roman" w:hAnsi="Times New Roman"/>
          <w:sz w:val="20"/>
        </w:rPr>
        <w:t>in operating activities were approximately $1.0</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during 2020, a</w:t>
      </w:r>
      <w:r>
        <w:rPr>
          <w:rFonts w:ascii="times new roman;times" w:hAnsi="times new roman;times"/>
          <w:sz w:val="20"/>
        </w:rPr>
        <w:t> </w:t>
      </w:r>
      <w:r>
        <w:rPr>
          <w:rFonts w:ascii="Times New Roman" w:hAnsi="Times New Roman"/>
          <w:sz w:val="20"/>
        </w:rPr>
        <w:t>decrease of approximately $3.7</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from $4.7</w:t>
      </w:r>
      <w:r>
        <w:rPr>
          <w:rFonts w:ascii="times new roman;times" w:hAnsi="times new roman;times"/>
          <w:sz w:val="20"/>
        </w:rPr>
        <w:t xml:space="preserve"> </w:t>
      </w:r>
      <w:r>
        <w:rPr>
          <w:rFonts w:ascii="Times New Roman" w:hAnsi="Times New Roman"/>
          <w:sz w:val="20"/>
        </w:rPr>
        <w:t>million used</w:t>
      </w:r>
      <w:r>
        <w:rPr>
          <w:rFonts w:ascii="times new roman;times" w:hAnsi="times new roman;times"/>
          <w:sz w:val="20"/>
        </w:rPr>
        <w:t> </w:t>
      </w:r>
      <w:r>
        <w:rPr>
          <w:rFonts w:ascii="Times New Roman" w:hAnsi="Times New Roman"/>
          <w:sz w:val="20"/>
        </w:rPr>
        <w:t>in operating activities in 2019. The decrease in cash used was primarily due to a decrease in net loss by $8.9 million and an</w:t>
      </w:r>
      <w:r>
        <w:rPr>
          <w:rFonts w:ascii="times new roman;times" w:hAnsi="times new roman;times"/>
          <w:sz w:val="20"/>
        </w:rPr>
        <w:t> </w:t>
      </w:r>
      <w:r>
        <w:rPr>
          <w:rFonts w:ascii="Times New Roman" w:hAnsi="Times New Roman"/>
          <w:sz w:val="20"/>
        </w:rPr>
        <w:t>increase in non-cash charges of $1.1 million, partially offset by an increase in cash outflows due to change in operating assets and liabilities of $6.4</w:t>
      </w:r>
      <w:r>
        <w:rPr>
          <w:rFonts w:ascii="times new roman;times" w:hAnsi="times new roman;times"/>
          <w:sz w:val="20"/>
        </w:rPr>
        <w:t xml:space="preserve"> </w:t>
      </w:r>
      <w:r>
        <w:rPr>
          <w:rFonts w:ascii="Times New Roman" w:hAnsi="Times New Roman"/>
          <w:sz w:val="20"/>
        </w:rPr>
        <w:t>million which includes an increase of $7.5 million in income tax receivable, partially offset among other things by decrease in inventories by $2.4 million.</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 w:hAnsi="Times New Roman"/>
          <w:sz w:val="20"/>
        </w:rPr>
      </w:pPr>
      <w:r>
        <w:rPr>
          <w:rFonts w:ascii="Times New Roman" w:hAnsi="Times New Roman"/>
          <w:sz w:val="20"/>
        </w:rPr>
        <w:t>Net cash used in investing activities was $5.5 million in 2020 compared to $5.1 million in 2019, an increase in cash used of $0.4 million. The increase in cash used in investing activities was primarily due to increase of about $1.6 million in the capitalization of our patent defense costs partially offset by increase in net cash inflows from marketable securities of approximately $1.4 million.</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i/>
          <w:sz w:val="20"/>
        </w:rPr>
        <w:t>Capitalization of patent defense costs</w:t>
      </w:r>
      <w:r>
        <w:rPr>
          <w:rFonts w:ascii="Times New Roman" w:hAnsi="Times New Roman"/>
          <w:sz w:val="20"/>
        </w:rPr>
        <w:t>. We capitalize external legal costs incurred in the defense of our patents when we believe that a significant, discernible increase in value will result from the defense and a successful outcome of the legal action is probable. When we capitalize patent defense costs</w:t>
      </w:r>
      <w:r>
        <w:rPr>
          <w:rFonts w:ascii="times new roman;times" w:hAnsi="times new roman;times"/>
          <w:sz w:val="20"/>
        </w:rPr>
        <w:t xml:space="preserve"> </w:t>
      </w:r>
      <w:r>
        <w:rPr>
          <w:rFonts w:ascii="Times New Roman" w:hAnsi="Times New Roman"/>
          <w:sz w:val="20"/>
        </w:rPr>
        <w:t>we amortize the costs over the remaining estimated useful life of the patent, which is 15 to 17 years. During 2020</w:t>
      </w:r>
      <w:r>
        <w:rPr>
          <w:rFonts w:ascii="times new roman;times" w:hAnsi="times new roman;times"/>
          <w:sz w:val="20"/>
        </w:rPr>
        <w:t xml:space="preserve"> </w:t>
      </w:r>
      <w:r>
        <w:rPr>
          <w:rFonts w:ascii="Times New Roman" w:hAnsi="Times New Roman"/>
          <w:sz w:val="20"/>
        </w:rPr>
        <w:t>we spent $6.7</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of legal costs related to the defense of our patents and capitalized the entire amount.</w:t>
      </w:r>
    </w:p>
    <w:p>
      <w:pPr>
        <w:pStyle w:val="TextBody"/>
        <w:spacing w:lineRule="auto" w:line="288" w:before="0" w:after="0"/>
        <w:ind w:left="0" w:right="0" w:hanging="0"/>
        <w:jc w:val="both"/>
        <w:rPr/>
      </w:pPr>
      <w:r>
        <w:rPr/>
        <w:t> </w:t>
      </w:r>
    </w:p>
    <w:p>
      <w:pPr>
        <w:pStyle w:val="TextBody"/>
        <w:widowControl/>
        <w:spacing w:lineRule="auto" w:line="288"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rPr>
        <w:t>We are currently pursuing all available legal remedies to defend our strategic patents from infringement. We have already spent approximately $20.3 million from 2016</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through 2020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Patent as we believe that Shure is still infringing ClearOne’s patent. During September 2020, the U.S District Court of Northern Illinois held Shure in contempt for marketing and selling their new design in violation of the preliminary injunction.</w:t>
      </w:r>
    </w:p>
    <w:p>
      <w:pPr>
        <w:pStyle w:val="TextBody"/>
        <w:widowControl/>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Net cash provided by financing activities was $6.3 million during 2020 compared to net cash</w:t>
      </w:r>
      <w:r>
        <w:rPr>
          <w:rFonts w:ascii="times new roman;times" w:hAnsi="times new roman;times"/>
          <w:sz w:val="20"/>
        </w:rPr>
        <w:t> </w:t>
      </w:r>
      <w:r>
        <w:rPr>
          <w:rFonts w:ascii="Times New Roman" w:hAnsi="Times New Roman"/>
          <w:sz w:val="20"/>
        </w:rPr>
        <w:t>provided by financing activities of $2.7 million during 2019, an increase in cash provided of $3.6 million. The increase was primarily to cash inflows from issuance of common stock and borrowing through the Paycheck Protection Program. </w:t>
      </w:r>
    </w:p>
    <w:p>
      <w:pPr>
        <w:pStyle w:val="TextBody"/>
        <w:spacing w:lineRule="auto" w:line="288" w:before="0" w:after="0"/>
        <w:ind w:left="0" w:right="0" w:hanging="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32</w:t>
            </w:r>
          </w:p>
        </w:tc>
      </w:tr>
    </w:tbl>
    <w:p>
      <w:pPr>
        <w:pStyle w:val="HorizontalLine"/>
        <w:spacing w:lineRule="auto" w:line="288" w:before="0" w:after="0"/>
        <w:jc w:val="both"/>
        <w:rPr/>
      </w:pPr>
      <w:r>
        <w:rPr/>
      </w:r>
    </w:p>
    <w:p>
      <w:pPr>
        <w:pStyle w:val="TextBody"/>
        <w:spacing w:lineRule="auto" w:line="288" w:before="0" w:after="0"/>
        <w:jc w:val="left"/>
        <w:rPr/>
      </w:pPr>
      <w:hyperlink w:anchor="TOC">
        <w:r>
          <w:rPr>
            <w:rStyle w:val="InternetLink"/>
            <w:rFonts w:ascii="times new roman;times" w:hAnsi="times new roman;times"/>
            <w:sz w:val="20"/>
          </w:rPr>
          <w:t>Table of Contents</w:t>
        </w:r>
      </w:hyperlink>
    </w:p>
    <w:p>
      <w:pPr>
        <w:pStyle w:val="TextBody"/>
        <w:spacing w:lineRule="auto" w:line="288" w:before="0" w:after="0"/>
        <w:ind w:left="0" w:right="0" w:hanging="0"/>
        <w:jc w:val="center"/>
        <w:rPr/>
      </w:pPr>
      <w:r>
        <w:rPr/>
        <w:t> </w:t>
      </w:r>
      <w:r>
        <w:rPr>
          <w:rFonts w:ascii="Times New Roman" w:hAnsi="Times New Roman"/>
          <w:b/>
          <w:sz w:val="20"/>
        </w:rPr>
        <w:t>MANAGEMENT'S DISCUSSION AND ANALYSIS OF FINANCIAL CONDITION AND RESULTS OF OPERATIONS</w:t>
      </w:r>
    </w:p>
    <w:p>
      <w:pPr>
        <w:pStyle w:val="TextBody"/>
        <w:spacing w:lineRule="auto" w:line="288" w:before="0" w:after="0"/>
        <w:ind w:left="0" w:right="0" w:hanging="0"/>
        <w:jc w:val="both"/>
        <w:rPr/>
      </w:pPr>
      <w:r>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have been actively engaged in preserving cash by suspending our dividend program and allowing our</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share repurchase program to expire in 2018 and implementing</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company-wide cost reduction measures. We have also raised additional capital of - $9.9 million (net of issuance costs) in 2018 by issuing common stock, $2.7 million (net of issuances costs) in 2019 by issuing senior convertible notes, $1.5 million in April 2020 by borrowing through the Paycheck Protection Program and $4.8 million in September 2020 by issuing common stock and warrants. In addition, we expect to generate additional cash as our inventory levels are brought down to historical levels.</w:t>
      </w:r>
    </w:p>
    <w:p>
      <w:pPr>
        <w:pStyle w:val="TextBody"/>
        <w:widowControl/>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through March 31, 2022.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pStyle w:val="TextBody"/>
        <w:spacing w:lineRule="auto" w:line="288" w:before="0" w:after="0"/>
        <w:ind w:left="0" w:right="0" w:hanging="0"/>
        <w:jc w:val="both"/>
        <w:rPr/>
      </w:pPr>
      <w:r>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At December 31, 2020, we had open purchase orders of approximately $3.4</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mostly for purchase of inventory.</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At December 31, 2020, we had inventory totaling $15.1</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of which non-current inventory accounted for $4.6</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This compares to total inventories of $17.7</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and non-current inventory of $6.3</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as of December 31, 2019.</w:t>
      </w:r>
    </w:p>
    <w:p>
      <w:pPr>
        <w:pStyle w:val="TextBody"/>
        <w:shd w:fill="FFFFFF" w:val="clear"/>
        <w:spacing w:lineRule="auto" w:line="288" w:before="180" w:after="0"/>
        <w:ind w:left="0" w:right="0" w:hanging="0"/>
        <w:jc w:val="both"/>
        <w:rPr>
          <w:rFonts w:ascii="times new roman;times" w:hAnsi="times new roman;times"/>
          <w:b/>
          <w:sz w:val="20"/>
        </w:rPr>
      </w:pPr>
      <w:r>
        <w:rPr>
          <w:rFonts w:ascii="times new roman;times" w:hAnsi="times new roman;times"/>
          <w:b/>
          <w:sz w:val="20"/>
        </w:rPr>
        <w:t>Contractual Obligations and Commitments</w:t>
      </w:r>
    </w:p>
    <w:p>
      <w:pPr>
        <w:pStyle w:val="TextBody"/>
        <w:spacing w:before="0" w:after="0"/>
        <w:ind w:left="0" w:right="0" w:hanging="0"/>
        <w:jc w:val="both"/>
        <w:rPr/>
      </w:pPr>
      <w:r>
        <w:rPr/>
        <w:t> </w:t>
      </w:r>
    </w:p>
    <w:p>
      <w:pPr>
        <w:pStyle w:val="TextBody"/>
        <w:spacing w:before="0" w:after="140"/>
        <w:ind w:left="0" w:right="0" w:firstLine="816"/>
        <w:rPr>
          <w:rFonts w:ascii="times new roman;times" w:hAnsi="times new roman;times"/>
          <w:sz w:val="20"/>
        </w:rPr>
      </w:pPr>
      <w:r>
        <w:rPr>
          <w:rFonts w:ascii="Times New Roman;serif" w:hAnsi="Times New Roman;serif"/>
          <w:color w:val="212529"/>
          <w:sz w:val="20"/>
        </w:rPr>
        <w:t>The following table summarizes our contractual obligations as of December 31, 2020 (in millions):</w:t>
      </w:r>
      <w:r>
        <w:rPr>
          <w:rFonts w:ascii="times new roman;times" w:hAnsi="times new roman;times"/>
          <w:color w:val="212529"/>
          <w:sz w:val="20"/>
        </w:rPr>
        <w:t> </w:t>
      </w:r>
    </w:p>
    <w:tbl>
      <w:tblPr>
        <w:tblW w:w="4250" w:type="pct"/>
        <w:jc w:val="left"/>
        <w:tblInd w:w="0" w:type="dxa"/>
        <w:tblCellMar>
          <w:top w:w="0" w:type="dxa"/>
          <w:left w:w="0" w:type="dxa"/>
          <w:bottom w:w="0" w:type="dxa"/>
          <w:right w:w="0" w:type="dxa"/>
        </w:tblCellMar>
      </w:tblPr>
      <w:tblGrid>
        <w:gridCol w:w="3626"/>
        <w:gridCol w:w="119"/>
        <w:gridCol w:w="170"/>
        <w:gridCol w:w="380"/>
        <w:gridCol w:w="120"/>
        <w:gridCol w:w="119"/>
        <w:gridCol w:w="286"/>
        <w:gridCol w:w="541"/>
        <w:gridCol w:w="120"/>
        <w:gridCol w:w="119"/>
        <w:gridCol w:w="260"/>
        <w:gridCol w:w="492"/>
        <w:gridCol w:w="119"/>
        <w:gridCol w:w="119"/>
        <w:gridCol w:w="260"/>
        <w:gridCol w:w="492"/>
        <w:gridCol w:w="120"/>
        <w:gridCol w:w="119"/>
        <w:gridCol w:w="333"/>
        <w:gridCol w:w="629"/>
        <w:gridCol w:w="131"/>
      </w:tblGrid>
      <w:tr>
        <w:trPr/>
        <w:tc>
          <w:tcPr>
            <w:tcW w:w="3626" w:type="dxa"/>
            <w:tcBorders/>
            <w:shd w:fill="FFFFFF" w:val="clear"/>
            <w:vAlign w:val="bottom"/>
          </w:tcPr>
          <w:p>
            <w:pPr>
              <w:pStyle w:val="TableContents"/>
              <w:spacing w:before="0" w:after="0"/>
              <w:ind w:left="0" w:right="0" w:hanging="0"/>
              <w:jc w:val="center"/>
              <w:rPr/>
            </w:pPr>
            <w:r>
              <w:rPr/>
              <w:t xml:space="preserve">  </w:t>
            </w:r>
          </w:p>
        </w:tc>
        <w:tc>
          <w:tcPr>
            <w:tcW w:w="119" w:type="dxa"/>
            <w:tcBorders/>
            <w:shd w:fill="FFFFFF" w:val="clear"/>
            <w:vAlign w:val="bottom"/>
          </w:tcPr>
          <w:p>
            <w:pPr>
              <w:pStyle w:val="TableContents"/>
              <w:spacing w:before="0" w:after="0"/>
              <w:ind w:left="0" w:right="0" w:hanging="0"/>
              <w:rPr>
                <w:color w:val="000000"/>
              </w:rPr>
            </w:pPr>
            <w:r>
              <w:rPr>
                <w:color w:val="000000"/>
              </w:rPr>
              <w:t> </w:t>
            </w:r>
          </w:p>
        </w:tc>
        <w:tc>
          <w:tcPr>
            <w:tcW w:w="4798" w:type="dxa"/>
            <w:gridSpan w:val="1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Payment Due by Period</w:t>
            </w:r>
          </w:p>
        </w:tc>
        <w:tc>
          <w:tcPr>
            <w:tcW w:w="131" w:type="dxa"/>
            <w:tcBorders/>
            <w:shd w:fill="FFFFFF" w:val="clear"/>
            <w:vAlign w:val="bottom"/>
          </w:tcPr>
          <w:p>
            <w:pPr>
              <w:pStyle w:val="TableContents"/>
              <w:spacing w:before="0" w:after="0"/>
              <w:ind w:left="0" w:right="0" w:hanging="0"/>
              <w:rPr>
                <w:color w:val="000000"/>
              </w:rPr>
            </w:pPr>
            <w:r>
              <w:rPr>
                <w:color w:val="000000"/>
              </w:rPr>
              <w:t> </w:t>
            </w:r>
          </w:p>
        </w:tc>
      </w:tr>
      <w:tr>
        <w:trPr/>
        <w:tc>
          <w:tcPr>
            <w:tcW w:w="3626" w:type="dxa"/>
            <w:tcBorders/>
            <w:shd w:fill="FFFFFF" w:val="clear"/>
            <w:vAlign w:val="bottom"/>
          </w:tcPr>
          <w:p>
            <w:pPr>
              <w:pStyle w:val="TableContents"/>
              <w:spacing w:before="0" w:after="0"/>
              <w:ind w:left="0" w:right="0" w:hanging="0"/>
              <w:jc w:val="center"/>
              <w:rPr>
                <w:color w:val="000000"/>
              </w:rPr>
            </w:pPr>
            <w:r>
              <w:rPr>
                <w:color w:val="000000"/>
              </w:rPr>
              <w:t> </w:t>
            </w:r>
          </w:p>
        </w:tc>
        <w:tc>
          <w:tcPr>
            <w:tcW w:w="119" w:type="dxa"/>
            <w:tcBorders/>
            <w:shd w:fill="FFFFFF" w:val="clear"/>
            <w:vAlign w:val="bottom"/>
          </w:tcPr>
          <w:p>
            <w:pPr>
              <w:pStyle w:val="TableContents"/>
              <w:spacing w:before="0" w:after="0"/>
              <w:ind w:left="0" w:right="0" w:hanging="0"/>
              <w:rPr>
                <w:color w:val="000000"/>
              </w:rPr>
            </w:pPr>
            <w:r>
              <w:rPr>
                <w:color w:val="000000"/>
              </w:rPr>
              <w:t> </w:t>
            </w:r>
          </w:p>
        </w:tc>
        <w:tc>
          <w:tcPr>
            <w:tcW w:w="550"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Total</w:t>
            </w:r>
          </w:p>
        </w:tc>
        <w:tc>
          <w:tcPr>
            <w:tcW w:w="120" w:type="dxa"/>
            <w:tcBorders/>
            <w:shd w:fill="FFFFFF" w:val="clear"/>
            <w:vAlign w:val="bottom"/>
          </w:tcPr>
          <w:p>
            <w:pPr>
              <w:pStyle w:val="TableContents"/>
              <w:spacing w:before="0" w:after="0"/>
              <w:ind w:left="0" w:right="0" w:hanging="0"/>
              <w:rPr>
                <w:color w:val="000000"/>
              </w:rPr>
            </w:pPr>
            <w:r>
              <w:rPr>
                <w:color w:val="000000"/>
              </w:rPr>
              <w:t> </w:t>
            </w:r>
          </w:p>
        </w:tc>
        <w:tc>
          <w:tcPr>
            <w:tcW w:w="119" w:type="dxa"/>
            <w:tcBorders/>
            <w:shd w:fill="FFFFFF" w:val="clear"/>
            <w:vAlign w:val="bottom"/>
          </w:tcPr>
          <w:p>
            <w:pPr>
              <w:pStyle w:val="TableContents"/>
              <w:spacing w:before="0" w:after="0"/>
              <w:ind w:left="0" w:right="0" w:hanging="0"/>
              <w:rPr>
                <w:color w:val="000000"/>
              </w:rPr>
            </w:pPr>
            <w:r>
              <w:rPr>
                <w:color w:val="000000"/>
              </w:rPr>
              <w:t> </w:t>
            </w:r>
          </w:p>
        </w:tc>
        <w:tc>
          <w:tcPr>
            <w:tcW w:w="827"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lineRule="auto" w:line="264"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Less Than</w:t>
            </w:r>
          </w:p>
          <w:p>
            <w:pPr>
              <w:pStyle w:val="TableContents"/>
              <w:spacing w:lineRule="auto" w:line="264"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1 Year</w:t>
            </w:r>
          </w:p>
        </w:tc>
        <w:tc>
          <w:tcPr>
            <w:tcW w:w="120" w:type="dxa"/>
            <w:tcBorders/>
            <w:shd w:fill="FFFFFF" w:val="clear"/>
            <w:vAlign w:val="bottom"/>
          </w:tcPr>
          <w:p>
            <w:pPr>
              <w:pStyle w:val="TableContents"/>
              <w:spacing w:before="0" w:after="0"/>
              <w:ind w:left="0" w:right="0" w:hanging="0"/>
              <w:rPr>
                <w:color w:val="000000"/>
              </w:rPr>
            </w:pPr>
            <w:r>
              <w:rPr>
                <w:color w:val="000000"/>
              </w:rPr>
              <w:t> </w:t>
            </w:r>
          </w:p>
        </w:tc>
        <w:tc>
          <w:tcPr>
            <w:tcW w:w="119" w:type="dxa"/>
            <w:tcBorders/>
            <w:shd w:fill="FFFFFF" w:val="clear"/>
            <w:vAlign w:val="bottom"/>
          </w:tcPr>
          <w:p>
            <w:pPr>
              <w:pStyle w:val="TableContents"/>
              <w:spacing w:before="0" w:after="0"/>
              <w:ind w:left="0" w:right="0" w:hanging="0"/>
              <w:rPr>
                <w:color w:val="000000"/>
              </w:rPr>
            </w:pPr>
            <w:r>
              <w:rPr>
                <w:color w:val="000000"/>
              </w:rPr>
              <w:t> </w:t>
            </w:r>
          </w:p>
        </w:tc>
        <w:tc>
          <w:tcPr>
            <w:tcW w:w="752"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1-3 Years</w:t>
            </w:r>
          </w:p>
        </w:tc>
        <w:tc>
          <w:tcPr>
            <w:tcW w:w="119" w:type="dxa"/>
            <w:tcBorders/>
            <w:shd w:fill="FFFFFF" w:val="clear"/>
            <w:vAlign w:val="bottom"/>
          </w:tcPr>
          <w:p>
            <w:pPr>
              <w:pStyle w:val="TableContents"/>
              <w:spacing w:before="0" w:after="0"/>
              <w:ind w:left="0" w:right="0" w:hanging="0"/>
              <w:rPr>
                <w:color w:val="000000"/>
              </w:rPr>
            </w:pPr>
            <w:r>
              <w:rPr>
                <w:color w:val="000000"/>
              </w:rPr>
              <w:t> </w:t>
            </w:r>
          </w:p>
        </w:tc>
        <w:tc>
          <w:tcPr>
            <w:tcW w:w="119" w:type="dxa"/>
            <w:tcBorders/>
            <w:shd w:fill="FFFFFF" w:val="clear"/>
            <w:vAlign w:val="bottom"/>
          </w:tcPr>
          <w:p>
            <w:pPr>
              <w:pStyle w:val="TableContents"/>
              <w:spacing w:before="0" w:after="0"/>
              <w:ind w:left="0" w:right="0" w:hanging="0"/>
              <w:rPr>
                <w:color w:val="000000"/>
              </w:rPr>
            </w:pPr>
            <w:r>
              <w:rPr>
                <w:color w:val="000000"/>
              </w:rPr>
              <w:t> </w:t>
            </w:r>
          </w:p>
        </w:tc>
        <w:tc>
          <w:tcPr>
            <w:tcW w:w="752"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3-5 Years</w:t>
            </w:r>
          </w:p>
        </w:tc>
        <w:tc>
          <w:tcPr>
            <w:tcW w:w="120" w:type="dxa"/>
            <w:tcBorders/>
            <w:shd w:fill="FFFFFF" w:val="clear"/>
            <w:vAlign w:val="bottom"/>
          </w:tcPr>
          <w:p>
            <w:pPr>
              <w:pStyle w:val="TableContents"/>
              <w:spacing w:before="0" w:after="0"/>
              <w:ind w:left="0" w:right="0" w:hanging="0"/>
              <w:rPr>
                <w:color w:val="000000"/>
              </w:rPr>
            </w:pPr>
            <w:r>
              <w:rPr>
                <w:color w:val="000000"/>
              </w:rPr>
              <w:t> </w:t>
            </w:r>
          </w:p>
        </w:tc>
        <w:tc>
          <w:tcPr>
            <w:tcW w:w="119" w:type="dxa"/>
            <w:tcBorders/>
            <w:shd w:fill="FFFFFF" w:val="clear"/>
            <w:vAlign w:val="bottom"/>
          </w:tcPr>
          <w:p>
            <w:pPr>
              <w:pStyle w:val="TableContents"/>
              <w:spacing w:before="0" w:after="0"/>
              <w:ind w:left="0" w:right="0" w:hanging="0"/>
              <w:rPr>
                <w:color w:val="000000"/>
              </w:rPr>
            </w:pPr>
            <w:r>
              <w:rPr>
                <w:color w:val="000000"/>
              </w:rPr>
              <w:t> </w:t>
            </w:r>
          </w:p>
        </w:tc>
        <w:tc>
          <w:tcPr>
            <w:tcW w:w="962" w:type="dxa"/>
            <w:gridSpan w:val="2"/>
            <w:tcBorders>
              <w:bottom w:val="single" w:sz="8" w:space="0" w:color="000000"/>
            </w:tcBorders>
            <w:shd w:fill="FFFFFF" w:val="clear"/>
            <w:tcMar>
              <w:bottom w:w="28" w:type="dxa"/>
            </w:tcMar>
            <w:vAlign w:val="bottom"/>
          </w:tcPr>
          <w:p>
            <w:pPr>
              <w:pStyle w:val="TableContents"/>
              <w:spacing w:lineRule="auto" w:line="264"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More than 5</w:t>
            </w:r>
          </w:p>
          <w:p>
            <w:pPr>
              <w:pStyle w:val="TableContents"/>
              <w:spacing w:lineRule="auto" w:line="264"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years</w:t>
            </w:r>
          </w:p>
        </w:tc>
        <w:tc>
          <w:tcPr>
            <w:tcW w:w="131" w:type="dxa"/>
            <w:tcBorders/>
            <w:shd w:fill="FFFFFF" w:val="clear"/>
            <w:vAlign w:val="bottom"/>
          </w:tcPr>
          <w:p>
            <w:pPr>
              <w:pStyle w:val="TableContents"/>
              <w:spacing w:before="0" w:after="0"/>
              <w:ind w:left="0" w:right="0" w:hanging="0"/>
              <w:rPr>
                <w:color w:val="000000"/>
              </w:rPr>
            </w:pPr>
            <w:r>
              <w:rPr>
                <w:color w:val="000000"/>
              </w:rPr>
              <w:t> </w:t>
            </w:r>
          </w:p>
        </w:tc>
      </w:tr>
      <w:tr>
        <w:trPr/>
        <w:tc>
          <w:tcPr>
            <w:tcW w:w="3626" w:type="dxa"/>
            <w:tcBorders/>
            <w:shd w:fill="CFF0FC" w:val="clear"/>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Senior Convertible Notes </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170" w:type="dxa"/>
            <w:tcBorders/>
            <w:shd w:fill="CFF0FC" w:val="cle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380" w:type="dxa"/>
            <w:tcBorders/>
            <w:shd w:fill="CFF0FC" w:val="cle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3.0 </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286" w:type="dxa"/>
            <w:tcBorders/>
            <w:shd w:fill="CFF0FC" w:val="cle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541" w:type="dxa"/>
            <w:tcBorders/>
            <w:shd w:fill="CFF0FC" w:val="cle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0.4</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260" w:type="dxa"/>
            <w:tcBorders/>
            <w:shd w:fill="CFF0FC" w:val="cle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492" w:type="dxa"/>
            <w:tcBorders/>
            <w:shd w:fill="CFF0FC" w:val="cle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2.6</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260" w:type="dxa"/>
            <w:tcBorders/>
            <w:shd w:fill="CFF0FC" w:val="cle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492" w:type="dxa"/>
            <w:tcBorders/>
            <w:shd w:fill="CFF0FC" w:val="clear"/>
            <w:vAlign w:val="bottom"/>
          </w:tcPr>
          <w:p>
            <w:pPr>
              <w:pStyle w:val="TableContents"/>
              <w:widowControl/>
              <w:spacing w:before="0" w:after="0"/>
              <w:ind w:left="0" w:right="0" w:hanging="0"/>
              <w:jc w:val="right"/>
              <w:rPr>
                <w:caps w:val="false"/>
                <w:smallCaps w:val="false"/>
                <w:color w:val="000000"/>
                <w:spacing w:val="0"/>
              </w:rPr>
            </w:pPr>
            <w:r>
              <w:rPr>
                <w:caps w:val="false"/>
                <w:smallCaps w:val="false"/>
                <w:color w:val="000000"/>
                <w:spacing w:val="0"/>
              </w:rPr>
              <w:t>—</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333" w:type="dxa"/>
            <w:tcBorders/>
            <w:shd w:fill="CFF0FC" w:val="cle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629"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131"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3626" w:type="dxa"/>
            <w:tcBorders/>
            <w:shd w:fill="auto" w:val="clear"/>
            <w:vAlign w:val="center"/>
          </w:tcPr>
          <w:p>
            <w:pPr>
              <w:pStyle w:val="TableContents"/>
              <w:spacing w:before="0" w:after="283"/>
              <w:rPr/>
            </w:pPr>
            <w:r>
              <w:rPr/>
              <w:t>Payroll Protection Program borrowing</w:t>
            </w:r>
          </w:p>
        </w:tc>
        <w:tc>
          <w:tcPr>
            <w:tcW w:w="119"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r>
          </w:p>
        </w:tc>
        <w:tc>
          <w:tcPr>
            <w:tcW w:w="380" w:type="dxa"/>
            <w:tcBorders/>
            <w:shd w:fill="auto" w:val="clear"/>
            <w:vAlign w:val="bottom"/>
          </w:tcPr>
          <w:p>
            <w:pPr>
              <w:pStyle w:val="TableContents"/>
              <w:spacing w:before="0" w:after="283"/>
              <w:jc w:val="right"/>
              <w:rPr/>
            </w:pPr>
            <w:r>
              <w:rPr/>
              <w:t>1.5</w:t>
            </w:r>
          </w:p>
        </w:tc>
        <w:tc>
          <w:tcPr>
            <w:tcW w:w="120" w:type="dxa"/>
            <w:tcBorders/>
            <w:shd w:fill="auto" w:val="clear"/>
            <w:vAlign w:val="bottom"/>
          </w:tcPr>
          <w:p>
            <w:pPr>
              <w:pStyle w:val="TableContents"/>
              <w:spacing w:before="0" w:after="283"/>
              <w:rPr/>
            </w:pPr>
            <w:r>
              <w:rPr/>
            </w:r>
          </w:p>
        </w:tc>
        <w:tc>
          <w:tcPr>
            <w:tcW w:w="119" w:type="dxa"/>
            <w:tcBorders/>
            <w:shd w:fill="auto" w:val="clear"/>
            <w:vAlign w:val="bottom"/>
          </w:tcPr>
          <w:p>
            <w:pPr>
              <w:pStyle w:val="TableContents"/>
              <w:spacing w:before="0" w:after="283"/>
              <w:rPr/>
            </w:pPr>
            <w:r>
              <w:rPr/>
            </w:r>
          </w:p>
        </w:tc>
        <w:tc>
          <w:tcPr>
            <w:tcW w:w="286" w:type="dxa"/>
            <w:tcBorders/>
            <w:shd w:fill="auto" w:val="clear"/>
            <w:vAlign w:val="bottom"/>
          </w:tcPr>
          <w:p>
            <w:pPr>
              <w:pStyle w:val="TableContents"/>
              <w:spacing w:before="0" w:after="283"/>
              <w:rPr/>
            </w:pPr>
            <w:r>
              <w:rPr/>
            </w:r>
          </w:p>
        </w:tc>
        <w:tc>
          <w:tcPr>
            <w:tcW w:w="541" w:type="dxa"/>
            <w:tcBorders/>
            <w:shd w:fill="auto" w:val="clear"/>
            <w:vAlign w:val="bottom"/>
          </w:tcPr>
          <w:p>
            <w:pPr>
              <w:pStyle w:val="TableContents"/>
              <w:spacing w:before="0" w:after="283"/>
              <w:jc w:val="right"/>
              <w:rPr/>
            </w:pPr>
            <w:r>
              <w:rPr/>
              <w:t>0.3</w:t>
            </w:r>
          </w:p>
        </w:tc>
        <w:tc>
          <w:tcPr>
            <w:tcW w:w="120" w:type="dxa"/>
            <w:tcBorders/>
            <w:shd w:fill="auto" w:val="clear"/>
            <w:vAlign w:val="bottom"/>
          </w:tcPr>
          <w:p>
            <w:pPr>
              <w:pStyle w:val="TableContents"/>
              <w:spacing w:before="0" w:after="283"/>
              <w:rPr/>
            </w:pPr>
            <w:r>
              <w:rPr/>
            </w:r>
          </w:p>
        </w:tc>
        <w:tc>
          <w:tcPr>
            <w:tcW w:w="119" w:type="dxa"/>
            <w:tcBorders/>
            <w:shd w:fill="auto" w:val="clear"/>
            <w:vAlign w:val="bottom"/>
          </w:tcPr>
          <w:p>
            <w:pPr>
              <w:pStyle w:val="TableContents"/>
              <w:spacing w:before="0" w:after="283"/>
              <w:rPr/>
            </w:pPr>
            <w:r>
              <w:rPr/>
            </w:r>
          </w:p>
        </w:tc>
        <w:tc>
          <w:tcPr>
            <w:tcW w:w="260" w:type="dxa"/>
            <w:tcBorders/>
            <w:shd w:fill="auto" w:val="clear"/>
            <w:vAlign w:val="bottom"/>
          </w:tcPr>
          <w:p>
            <w:pPr>
              <w:pStyle w:val="TableContents"/>
              <w:spacing w:before="0" w:after="283"/>
              <w:rPr/>
            </w:pPr>
            <w:r>
              <w:rPr/>
            </w:r>
          </w:p>
        </w:tc>
        <w:tc>
          <w:tcPr>
            <w:tcW w:w="492" w:type="dxa"/>
            <w:tcBorders/>
            <w:shd w:fill="auto" w:val="clear"/>
            <w:vAlign w:val="bottom"/>
          </w:tcPr>
          <w:p>
            <w:pPr>
              <w:pStyle w:val="TableContents"/>
              <w:spacing w:before="0" w:after="283"/>
              <w:jc w:val="right"/>
              <w:rPr/>
            </w:pPr>
            <w:r>
              <w:rPr/>
              <w:t>1.2</w:t>
            </w:r>
          </w:p>
        </w:tc>
        <w:tc>
          <w:tcPr>
            <w:tcW w:w="119" w:type="dxa"/>
            <w:tcBorders/>
            <w:shd w:fill="auto" w:val="clear"/>
            <w:vAlign w:val="bottom"/>
          </w:tcPr>
          <w:p>
            <w:pPr>
              <w:pStyle w:val="TableContents"/>
              <w:spacing w:before="0" w:after="283"/>
              <w:rPr/>
            </w:pPr>
            <w:r>
              <w:rPr/>
            </w:r>
          </w:p>
        </w:tc>
        <w:tc>
          <w:tcPr>
            <w:tcW w:w="119" w:type="dxa"/>
            <w:tcBorders/>
            <w:shd w:fill="auto" w:val="clear"/>
            <w:vAlign w:val="bottom"/>
          </w:tcPr>
          <w:p>
            <w:pPr>
              <w:pStyle w:val="TableContents"/>
              <w:spacing w:before="0" w:after="283"/>
              <w:rPr/>
            </w:pPr>
            <w:r>
              <w:rPr/>
            </w:r>
          </w:p>
        </w:tc>
        <w:tc>
          <w:tcPr>
            <w:tcW w:w="260" w:type="dxa"/>
            <w:tcBorders/>
            <w:shd w:fill="auto" w:val="clear"/>
            <w:vAlign w:val="bottom"/>
          </w:tcPr>
          <w:p>
            <w:pPr>
              <w:pStyle w:val="TableContents"/>
              <w:spacing w:before="0" w:after="283"/>
              <w:rPr/>
            </w:pPr>
            <w:r>
              <w:rPr/>
            </w:r>
          </w:p>
        </w:tc>
        <w:tc>
          <w:tcPr>
            <w:tcW w:w="492" w:type="dxa"/>
            <w:tcBorders/>
            <w:shd w:fill="auto" w:val="clear"/>
            <w:vAlign w:val="bottom"/>
          </w:tcPr>
          <w:p>
            <w:pPr>
              <w:pStyle w:val="TableContents"/>
              <w:widowControl/>
              <w:spacing w:before="0" w:after="283"/>
              <w:ind w:left="0" w:right="0" w:hanging="0"/>
              <w:jc w:val="right"/>
              <w:rPr>
                <w:caps w:val="false"/>
                <w:smallCaps w:val="false"/>
                <w:color w:val="000000"/>
                <w:spacing w:val="0"/>
              </w:rPr>
            </w:pPr>
            <w:r>
              <w:rPr>
                <w:caps w:val="false"/>
                <w:smallCaps w:val="false"/>
                <w:color w:val="000000"/>
                <w:spacing w:val="0"/>
              </w:rPr>
              <w:t>—</w:t>
            </w:r>
          </w:p>
        </w:tc>
        <w:tc>
          <w:tcPr>
            <w:tcW w:w="120" w:type="dxa"/>
            <w:tcBorders/>
            <w:shd w:fill="auto" w:val="clear"/>
            <w:vAlign w:val="bottom"/>
          </w:tcPr>
          <w:p>
            <w:pPr>
              <w:pStyle w:val="TableContents"/>
              <w:spacing w:before="0" w:after="283"/>
              <w:rPr/>
            </w:pPr>
            <w:r>
              <w:rPr/>
            </w:r>
          </w:p>
        </w:tc>
        <w:tc>
          <w:tcPr>
            <w:tcW w:w="119" w:type="dxa"/>
            <w:tcBorders/>
            <w:shd w:fill="auto" w:val="clear"/>
            <w:vAlign w:val="bottom"/>
          </w:tcPr>
          <w:p>
            <w:pPr>
              <w:pStyle w:val="TableContents"/>
              <w:spacing w:before="0" w:after="283"/>
              <w:rPr/>
            </w:pPr>
            <w:r>
              <w:rPr/>
            </w:r>
          </w:p>
        </w:tc>
        <w:tc>
          <w:tcPr>
            <w:tcW w:w="333" w:type="dxa"/>
            <w:tcBorders/>
            <w:shd w:fill="auto" w:val="clear"/>
            <w:vAlign w:val="bottom"/>
          </w:tcPr>
          <w:p>
            <w:pPr>
              <w:pStyle w:val="TableContents"/>
              <w:spacing w:before="0" w:after="283"/>
              <w:rPr/>
            </w:pPr>
            <w:r>
              <w:rPr/>
            </w:r>
          </w:p>
        </w:tc>
        <w:tc>
          <w:tcPr>
            <w:tcW w:w="629" w:type="dxa"/>
            <w:tcBorders/>
            <w:shd w:fill="auto" w:val="clear"/>
            <w:vAlign w:val="bottom"/>
          </w:tcPr>
          <w:p>
            <w:pPr>
              <w:pStyle w:val="TableContents"/>
              <w:widowControl/>
              <w:spacing w:before="0" w:after="283"/>
              <w:ind w:left="0" w:right="0" w:hanging="0"/>
              <w:jc w:val="right"/>
              <w:rPr>
                <w:caps w:val="false"/>
                <w:smallCaps w:val="false"/>
                <w:color w:val="000000"/>
                <w:spacing w:val="0"/>
              </w:rPr>
            </w:pPr>
            <w:r>
              <w:rPr>
                <w:caps w:val="false"/>
                <w:smallCaps w:val="false"/>
                <w:color w:val="000000"/>
                <w:spacing w:val="0"/>
              </w:rPr>
              <w:t>—</w:t>
            </w:r>
          </w:p>
        </w:tc>
        <w:tc>
          <w:tcPr>
            <w:tcW w:w="131" w:type="dxa"/>
            <w:tcBorders/>
            <w:shd w:fill="auto" w:val="clear"/>
            <w:vAlign w:val="center"/>
          </w:tcPr>
          <w:p>
            <w:pPr>
              <w:pStyle w:val="TableContents"/>
              <w:spacing w:before="0" w:after="283"/>
              <w:rPr/>
            </w:pPr>
            <w:r>
              <w:rPr/>
            </w:r>
          </w:p>
        </w:tc>
      </w:tr>
      <w:tr>
        <w:trPr/>
        <w:tc>
          <w:tcPr>
            <w:tcW w:w="3626" w:type="dxa"/>
            <w:tcBorders/>
            <w:shd w:fill="CFF0FC" w:val="clear"/>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Operating lease obligations </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170" w:type="dxa"/>
            <w:tcBorders/>
            <w:shd w:fill="CFF0FC" w:val="clear"/>
            <w:vAlign w:val="bottom"/>
          </w:tcPr>
          <w:p>
            <w:pPr>
              <w:pStyle w:val="TableContents"/>
              <w:spacing w:before="0" w:after="0"/>
              <w:ind w:left="0" w:right="0" w:hanging="0"/>
              <w:rPr>
                <w:color w:val="000000"/>
              </w:rPr>
            </w:pPr>
            <w:r>
              <w:rPr>
                <w:color w:val="000000"/>
              </w:rPr>
              <w:t xml:space="preserve">  </w:t>
            </w:r>
          </w:p>
        </w:tc>
        <w:tc>
          <w:tcPr>
            <w:tcW w:w="380" w:type="dxa"/>
            <w:tcBorders/>
            <w:shd w:fill="CFF0FC" w:val="cle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2.3</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286" w:type="dxa"/>
            <w:tcBorders/>
            <w:shd w:fill="CFF0FC" w:val="clear"/>
            <w:vAlign w:val="bottom"/>
          </w:tcPr>
          <w:p>
            <w:pPr>
              <w:pStyle w:val="TableContents"/>
              <w:spacing w:before="0" w:after="0"/>
              <w:ind w:left="0" w:right="0" w:hanging="0"/>
              <w:rPr>
                <w:color w:val="000000"/>
              </w:rPr>
            </w:pPr>
            <w:r>
              <w:rPr>
                <w:color w:val="000000"/>
              </w:rPr>
              <w:t xml:space="preserve">  </w:t>
            </w:r>
          </w:p>
        </w:tc>
        <w:tc>
          <w:tcPr>
            <w:tcW w:w="541" w:type="dxa"/>
            <w:tcBorders/>
            <w:shd w:fill="CFF0FC" w:val="cle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 xml:space="preserve">0.7 </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260" w:type="dxa"/>
            <w:tcBorders/>
            <w:shd w:fill="CFF0FC" w:val="clear"/>
            <w:vAlign w:val="bottom"/>
          </w:tcPr>
          <w:p>
            <w:pPr>
              <w:pStyle w:val="TableContents"/>
              <w:spacing w:before="0" w:after="0"/>
              <w:ind w:left="0" w:right="0" w:hanging="0"/>
              <w:rPr>
                <w:color w:val="000000"/>
              </w:rPr>
            </w:pPr>
            <w:r>
              <w:rPr>
                <w:color w:val="000000"/>
              </w:rPr>
              <w:t xml:space="preserve">  </w:t>
            </w:r>
          </w:p>
        </w:tc>
        <w:tc>
          <w:tcPr>
            <w:tcW w:w="492" w:type="dxa"/>
            <w:tcBorders/>
            <w:shd w:fill="CFF0FC" w:val="cle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1.2</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260" w:type="dxa"/>
            <w:tcBorders/>
            <w:shd w:fill="CFF0FC" w:val="clear"/>
            <w:vAlign w:val="bottom"/>
          </w:tcPr>
          <w:p>
            <w:pPr>
              <w:pStyle w:val="TableContents"/>
              <w:spacing w:before="0" w:after="0"/>
              <w:ind w:left="0" w:right="0" w:hanging="0"/>
              <w:rPr>
                <w:color w:val="000000"/>
              </w:rPr>
            </w:pPr>
            <w:r>
              <w:rPr>
                <w:color w:val="000000"/>
              </w:rPr>
              <w:t xml:space="preserve">  </w:t>
            </w:r>
          </w:p>
        </w:tc>
        <w:tc>
          <w:tcPr>
            <w:tcW w:w="492" w:type="dxa"/>
            <w:tcBorders/>
            <w:shd w:fill="CFF0FC" w:val="cle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0.4</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333" w:type="dxa"/>
            <w:tcBorders/>
            <w:shd w:fill="CFF0FC" w:val="clear"/>
            <w:vAlign w:val="bottom"/>
          </w:tcPr>
          <w:p>
            <w:pPr>
              <w:pStyle w:val="TableContents"/>
              <w:spacing w:before="0" w:after="0"/>
              <w:ind w:left="0" w:right="0" w:hanging="0"/>
              <w:rPr>
                <w:color w:val="000000"/>
              </w:rPr>
            </w:pPr>
            <w:r>
              <w:rPr>
                <w:color w:val="000000"/>
              </w:rPr>
              <w:t xml:space="preserve">  </w:t>
            </w:r>
          </w:p>
        </w:tc>
        <w:tc>
          <w:tcPr>
            <w:tcW w:w="629"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131"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3626" w:type="dxa"/>
            <w:tcBorders/>
            <w:shd w:fill="auto" w:val="clear"/>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Purchase obligations </w:t>
            </w:r>
          </w:p>
        </w:tc>
        <w:tc>
          <w:tcPr>
            <w:tcW w:w="119" w:type="dxa"/>
            <w:tcBorders/>
            <w:shd w:fill="auto" w:val="clear"/>
            <w:vAlign w:val="bottom"/>
          </w:tcPr>
          <w:p>
            <w:pPr>
              <w:pStyle w:val="TableContents"/>
              <w:spacing w:before="0" w:after="0"/>
              <w:ind w:left="0" w:right="0" w:hanging="0"/>
              <w:rPr>
                <w:color w:val="000000"/>
              </w:rPr>
            </w:pPr>
            <w:r>
              <w:rPr>
                <w:color w:val="000000"/>
              </w:rPr>
              <w:t xml:space="preserve">  </w:t>
            </w:r>
          </w:p>
        </w:tc>
        <w:tc>
          <w:tcPr>
            <w:tcW w:w="170" w:type="dxa"/>
            <w:tcBorders/>
            <w:shd w:fill="auto" w:val="clear"/>
            <w:vAlign w:val="bottom"/>
          </w:tcPr>
          <w:p>
            <w:pPr>
              <w:pStyle w:val="TableContents"/>
              <w:spacing w:before="0" w:after="0"/>
              <w:ind w:left="0" w:right="0" w:hanging="0"/>
              <w:rPr>
                <w:color w:val="000000"/>
              </w:rPr>
            </w:pPr>
            <w:r>
              <w:rPr>
                <w:color w:val="000000"/>
              </w:rPr>
              <w:t xml:space="preserve">  </w:t>
            </w:r>
          </w:p>
        </w:tc>
        <w:tc>
          <w:tcPr>
            <w:tcW w:w="380" w:type="dxa"/>
            <w:tcBorders/>
            <w:shd w:fill="auto" w:val="cle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3.4</w:t>
            </w:r>
          </w:p>
        </w:tc>
        <w:tc>
          <w:tcPr>
            <w:tcW w:w="120" w:type="dxa"/>
            <w:tcBorders/>
            <w:shd w:fill="auto" w:val="clear"/>
            <w:vAlign w:val="bottom"/>
          </w:tcPr>
          <w:p>
            <w:pPr>
              <w:pStyle w:val="TableContents"/>
              <w:spacing w:before="0" w:after="0"/>
              <w:ind w:left="0" w:right="0" w:hanging="0"/>
              <w:rPr>
                <w:color w:val="000000"/>
              </w:rPr>
            </w:pPr>
            <w:r>
              <w:rPr>
                <w:color w:val="000000"/>
              </w:rPr>
              <w:t xml:space="preserve">  </w:t>
            </w:r>
          </w:p>
        </w:tc>
        <w:tc>
          <w:tcPr>
            <w:tcW w:w="119" w:type="dxa"/>
            <w:tcBorders/>
            <w:shd w:fill="auto" w:val="clear"/>
            <w:vAlign w:val="bottom"/>
          </w:tcPr>
          <w:p>
            <w:pPr>
              <w:pStyle w:val="TableContents"/>
              <w:spacing w:before="0" w:after="0"/>
              <w:ind w:left="0" w:right="0" w:hanging="0"/>
              <w:rPr>
                <w:color w:val="000000"/>
              </w:rPr>
            </w:pPr>
            <w:r>
              <w:rPr>
                <w:color w:val="000000"/>
              </w:rPr>
              <w:t xml:space="preserve">  </w:t>
            </w:r>
          </w:p>
        </w:tc>
        <w:tc>
          <w:tcPr>
            <w:tcW w:w="286" w:type="dxa"/>
            <w:tcBorders/>
            <w:shd w:fill="auto" w:val="clear"/>
            <w:vAlign w:val="bottom"/>
          </w:tcPr>
          <w:p>
            <w:pPr>
              <w:pStyle w:val="TableContents"/>
              <w:spacing w:before="0" w:after="0"/>
              <w:ind w:left="0" w:right="0" w:hanging="0"/>
              <w:rPr>
                <w:color w:val="000000"/>
              </w:rPr>
            </w:pPr>
            <w:r>
              <w:rPr>
                <w:color w:val="000000"/>
              </w:rPr>
              <w:t xml:space="preserve">  </w:t>
            </w:r>
          </w:p>
        </w:tc>
        <w:tc>
          <w:tcPr>
            <w:tcW w:w="541" w:type="dxa"/>
            <w:tcBorders/>
            <w:shd w:fill="auto" w:val="cle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3.4</w:t>
            </w:r>
          </w:p>
        </w:tc>
        <w:tc>
          <w:tcPr>
            <w:tcW w:w="120" w:type="dxa"/>
            <w:tcBorders/>
            <w:shd w:fill="auto" w:val="clear"/>
            <w:vAlign w:val="bottom"/>
          </w:tcPr>
          <w:p>
            <w:pPr>
              <w:pStyle w:val="TableContents"/>
              <w:spacing w:before="0" w:after="0"/>
              <w:ind w:left="0" w:right="0" w:hanging="0"/>
              <w:rPr>
                <w:color w:val="000000"/>
              </w:rPr>
            </w:pPr>
            <w:r>
              <w:rPr>
                <w:color w:val="000000"/>
              </w:rPr>
              <w:t xml:space="preserve">  </w:t>
            </w:r>
          </w:p>
        </w:tc>
        <w:tc>
          <w:tcPr>
            <w:tcW w:w="119" w:type="dxa"/>
            <w:tcBorders/>
            <w:shd w:fill="auto" w:val="clear"/>
            <w:vAlign w:val="bottom"/>
          </w:tcPr>
          <w:p>
            <w:pPr>
              <w:pStyle w:val="TableContents"/>
              <w:spacing w:before="0" w:after="0"/>
              <w:ind w:left="0" w:right="0" w:hanging="0"/>
              <w:rPr>
                <w:color w:val="000000"/>
              </w:rPr>
            </w:pPr>
            <w:r>
              <w:rPr>
                <w:color w:val="000000"/>
              </w:rPr>
              <w:t xml:space="preserve">  </w:t>
            </w:r>
          </w:p>
        </w:tc>
        <w:tc>
          <w:tcPr>
            <w:tcW w:w="260" w:type="dxa"/>
            <w:tcBorders/>
            <w:shd w:fill="auto" w:val="clear"/>
            <w:vAlign w:val="bottom"/>
          </w:tcPr>
          <w:p>
            <w:pPr>
              <w:pStyle w:val="TableContents"/>
              <w:spacing w:before="0" w:after="0"/>
              <w:ind w:left="0" w:right="0" w:hanging="0"/>
              <w:rPr>
                <w:color w:val="000000"/>
              </w:rPr>
            </w:pPr>
            <w:r>
              <w:rPr>
                <w:color w:val="000000"/>
              </w:rPr>
              <w:t xml:space="preserve">  </w:t>
            </w:r>
          </w:p>
        </w:tc>
        <w:tc>
          <w:tcPr>
            <w:tcW w:w="492" w:type="dxa"/>
            <w:tcBorders/>
            <w:shd w:fill="auto" w:val="clear"/>
            <w:vAlign w:val="bottom"/>
          </w:tcPr>
          <w:p>
            <w:pPr>
              <w:pStyle w:val="TableContents"/>
              <w:spacing w:before="0" w:after="0"/>
              <w:ind w:left="0" w:right="0" w:hanging="0"/>
              <w:jc w:val="right"/>
              <w:rPr>
                <w:color w:val="000000"/>
              </w:rPr>
            </w:pPr>
            <w:r>
              <w:rPr>
                <w:color w:val="000000"/>
              </w:rPr>
              <w:t xml:space="preserve">— </w:t>
            </w:r>
          </w:p>
        </w:tc>
        <w:tc>
          <w:tcPr>
            <w:tcW w:w="119" w:type="dxa"/>
            <w:tcBorders/>
            <w:shd w:fill="auto" w:val="clear"/>
            <w:vAlign w:val="bottom"/>
          </w:tcPr>
          <w:p>
            <w:pPr>
              <w:pStyle w:val="TableContents"/>
              <w:spacing w:before="0" w:after="0"/>
              <w:ind w:left="0" w:right="0" w:hanging="0"/>
              <w:rPr>
                <w:color w:val="000000"/>
              </w:rPr>
            </w:pPr>
            <w:r>
              <w:rPr>
                <w:color w:val="000000"/>
              </w:rPr>
              <w:t xml:space="preserve">  </w:t>
            </w:r>
          </w:p>
        </w:tc>
        <w:tc>
          <w:tcPr>
            <w:tcW w:w="119" w:type="dxa"/>
            <w:tcBorders/>
            <w:shd w:fill="auto" w:val="clear"/>
            <w:vAlign w:val="bottom"/>
          </w:tcPr>
          <w:p>
            <w:pPr>
              <w:pStyle w:val="TableContents"/>
              <w:spacing w:before="0" w:after="0"/>
              <w:ind w:left="0" w:right="0" w:hanging="0"/>
              <w:jc w:val="right"/>
              <w:rPr>
                <w:color w:val="000000"/>
              </w:rPr>
            </w:pPr>
            <w:r>
              <w:rPr>
                <w:color w:val="000000"/>
              </w:rPr>
              <w:t xml:space="preserve">  </w:t>
            </w:r>
          </w:p>
        </w:tc>
        <w:tc>
          <w:tcPr>
            <w:tcW w:w="260" w:type="dxa"/>
            <w:tcBorders/>
            <w:shd w:fill="auto" w:val="clear"/>
            <w:vAlign w:val="bottom"/>
          </w:tcPr>
          <w:p>
            <w:pPr>
              <w:pStyle w:val="TableContents"/>
              <w:spacing w:before="0" w:after="0"/>
              <w:ind w:left="0" w:right="0" w:hanging="0"/>
              <w:rPr>
                <w:color w:val="000000"/>
              </w:rPr>
            </w:pPr>
            <w:r>
              <w:rPr>
                <w:color w:val="000000"/>
              </w:rPr>
              <w:t xml:space="preserve">  </w:t>
            </w:r>
          </w:p>
        </w:tc>
        <w:tc>
          <w:tcPr>
            <w:tcW w:w="492" w:type="dxa"/>
            <w:tcBorders/>
            <w:shd w:fill="auto" w:val="clear"/>
            <w:vAlign w:val="bottom"/>
          </w:tcPr>
          <w:p>
            <w:pPr>
              <w:pStyle w:val="TableContents"/>
              <w:spacing w:before="0" w:after="0"/>
              <w:ind w:left="0" w:right="0" w:hanging="0"/>
              <w:jc w:val="right"/>
              <w:rPr>
                <w:color w:val="000000"/>
              </w:rPr>
            </w:pPr>
            <w:r>
              <w:rPr>
                <w:color w:val="000000"/>
              </w:rPr>
              <w:t xml:space="preserve">— </w:t>
            </w:r>
          </w:p>
        </w:tc>
        <w:tc>
          <w:tcPr>
            <w:tcW w:w="120" w:type="dxa"/>
            <w:tcBorders/>
            <w:shd w:fill="auto" w:val="clear"/>
            <w:vAlign w:val="bottom"/>
          </w:tcPr>
          <w:p>
            <w:pPr>
              <w:pStyle w:val="TableContents"/>
              <w:spacing w:before="0" w:after="0"/>
              <w:ind w:left="0" w:right="0" w:hanging="0"/>
              <w:rPr>
                <w:color w:val="000000"/>
              </w:rPr>
            </w:pPr>
            <w:r>
              <w:rPr>
                <w:color w:val="000000"/>
              </w:rPr>
              <w:t xml:space="preserve">  </w:t>
            </w:r>
          </w:p>
        </w:tc>
        <w:tc>
          <w:tcPr>
            <w:tcW w:w="119" w:type="dxa"/>
            <w:tcBorders/>
            <w:shd w:fill="auto" w:val="clear"/>
            <w:vAlign w:val="bottom"/>
          </w:tcPr>
          <w:p>
            <w:pPr>
              <w:pStyle w:val="TableContents"/>
              <w:spacing w:before="0" w:after="0"/>
              <w:ind w:left="0" w:right="0" w:hanging="0"/>
              <w:jc w:val="right"/>
              <w:rPr>
                <w:color w:val="000000"/>
              </w:rPr>
            </w:pPr>
            <w:r>
              <w:rPr>
                <w:color w:val="000000"/>
              </w:rPr>
              <w:t xml:space="preserve">  </w:t>
            </w:r>
          </w:p>
        </w:tc>
        <w:tc>
          <w:tcPr>
            <w:tcW w:w="333" w:type="dxa"/>
            <w:tcBorders/>
            <w:shd w:fill="auto" w:val="clear"/>
            <w:vAlign w:val="bottom"/>
          </w:tcPr>
          <w:p>
            <w:pPr>
              <w:pStyle w:val="TableContents"/>
              <w:spacing w:before="0" w:after="0"/>
              <w:ind w:left="0" w:right="0" w:hanging="0"/>
              <w:rPr>
                <w:color w:val="000000"/>
              </w:rPr>
            </w:pPr>
            <w:r>
              <w:rPr>
                <w:color w:val="000000"/>
              </w:rPr>
              <w:t xml:space="preserve">  </w:t>
            </w:r>
          </w:p>
        </w:tc>
        <w:tc>
          <w:tcPr>
            <w:tcW w:w="629" w:type="dxa"/>
            <w:tcBorders/>
            <w:shd w:fill="auto" w:val="clear"/>
            <w:vAlign w:val="bottom"/>
          </w:tcPr>
          <w:p>
            <w:pPr>
              <w:pStyle w:val="TableContents"/>
              <w:spacing w:before="0" w:after="0"/>
              <w:ind w:left="0" w:right="0" w:hanging="0"/>
              <w:jc w:val="right"/>
              <w:rPr>
                <w:color w:val="000000"/>
              </w:rPr>
            </w:pPr>
            <w:r>
              <w:rPr>
                <w:color w:val="000000"/>
              </w:rPr>
              <w:t xml:space="preserve">— </w:t>
            </w:r>
          </w:p>
        </w:tc>
        <w:tc>
          <w:tcPr>
            <w:tcW w:w="131"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3626" w:type="dxa"/>
            <w:tcBorders/>
            <w:shd w:fill="CFF0FC" w:val="clear"/>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Total </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17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380" w:type="dxa"/>
            <w:tcBorders>
              <w:top w:val="single" w:sz="8" w:space="0" w:color="000000"/>
              <w:bottom w:val="double" w:sz="7" w:space="0" w:color="000000"/>
            </w:tcBorders>
            <w:shd w:fill="CFF0FC" w:val="clear"/>
            <w:tcMar>
              <w:top w:w="28" w:type="dxa"/>
              <w:bottom w:w="28" w:type="dxa"/>
            </w:tcM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10.2</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286" w:type="dxa"/>
            <w:tcBorders>
              <w:top w:val="single" w:sz="8" w:space="0" w:color="000000"/>
              <w:bottom w:val="double" w:sz="7" w:space="0" w:color="000000"/>
            </w:tcBorders>
            <w:shd w:fill="CFF0FC" w:val="clear"/>
            <w:tcMar>
              <w:top w:w="28" w:type="dxa"/>
              <w:bottom w:w="28" w:type="dxa"/>
            </w:tcM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541" w:type="dxa"/>
            <w:tcBorders>
              <w:top w:val="single" w:sz="8" w:space="0" w:color="000000"/>
              <w:bottom w:val="double" w:sz="7" w:space="0" w:color="000000"/>
            </w:tcBorders>
            <w:shd w:fill="CFF0FC" w:val="clear"/>
            <w:tcMar>
              <w:top w:w="28" w:type="dxa"/>
              <w:bottom w:w="28" w:type="dxa"/>
            </w:tcM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4.8</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260" w:type="dxa"/>
            <w:tcBorders>
              <w:top w:val="single" w:sz="8" w:space="0" w:color="000000"/>
              <w:bottom w:val="double" w:sz="7" w:space="0" w:color="000000"/>
            </w:tcBorders>
            <w:shd w:fill="CFF0FC" w:val="clear"/>
            <w:tcMar>
              <w:top w:w="28" w:type="dxa"/>
              <w:bottom w:w="28" w:type="dxa"/>
            </w:tcM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492" w:type="dxa"/>
            <w:tcBorders>
              <w:top w:val="single" w:sz="8" w:space="0" w:color="000000"/>
              <w:bottom w:val="double" w:sz="7" w:space="0" w:color="000000"/>
            </w:tcBorders>
            <w:shd w:fill="CFF0FC" w:val="clear"/>
            <w:tcMar>
              <w:top w:w="28" w:type="dxa"/>
              <w:bottom w:w="28" w:type="dxa"/>
            </w:tcM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5.0</w:t>
            </w:r>
          </w:p>
        </w:tc>
        <w:tc>
          <w:tcPr>
            <w:tcW w:w="119"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260" w:type="dxa"/>
            <w:tcBorders>
              <w:top w:val="single" w:sz="8" w:space="0" w:color="000000"/>
              <w:bottom w:val="double" w:sz="7" w:space="0" w:color="000000"/>
            </w:tcBorders>
            <w:shd w:fill="CFF0FC" w:val="clear"/>
            <w:tcMar>
              <w:top w:w="28" w:type="dxa"/>
              <w:bottom w:w="28" w:type="dxa"/>
            </w:tcM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492" w:type="dxa"/>
            <w:tcBorders>
              <w:top w:val="single" w:sz="8" w:space="0" w:color="000000"/>
              <w:bottom w:val="double" w:sz="7" w:space="0" w:color="000000"/>
            </w:tcBorders>
            <w:shd w:fill="CFF0FC" w:val="clear"/>
            <w:tcMar>
              <w:top w:w="28" w:type="dxa"/>
              <w:bottom w:w="28" w:type="dxa"/>
            </w:tcMar>
            <w:vAlign w:val="bottom"/>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0.4</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119"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333" w:type="dxa"/>
            <w:tcBorders>
              <w:top w:val="single" w:sz="8" w:space="0" w:color="000000"/>
              <w:bottom w:val="double" w:sz="7" w:space="0" w:color="000000"/>
            </w:tcBorders>
            <w:shd w:fill="CFF0FC" w:val="clear"/>
            <w:tcMar>
              <w:top w:w="28" w:type="dxa"/>
              <w:bottom w:w="28" w:type="dxa"/>
            </w:tcMar>
            <w:vAlign w:val="bottom"/>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 </w:t>
            </w:r>
          </w:p>
        </w:tc>
        <w:tc>
          <w:tcPr>
            <w:tcW w:w="629" w:type="dxa"/>
            <w:tcBorders>
              <w:top w:val="single" w:sz="8" w:space="0" w:color="000000"/>
              <w:bottom w:val="double" w:sz="7" w:space="0" w:color="000000"/>
            </w:tcBorders>
            <w:shd w:fill="CFF0FC" w:val="clear"/>
            <w:tcMar>
              <w:top w:w="28" w:type="dxa"/>
              <w:bottom w:w="28" w:type="dxa"/>
            </w:tcMar>
            <w:vAlign w:val="bottom"/>
          </w:tcPr>
          <w:p>
            <w:pPr>
              <w:pStyle w:val="TableContents"/>
              <w:spacing w:before="0" w:after="0"/>
              <w:ind w:left="0" w:right="0" w:hanging="0"/>
              <w:jc w:val="right"/>
              <w:rPr>
                <w:color w:val="000000"/>
              </w:rPr>
            </w:pPr>
            <w:r>
              <w:rPr>
                <w:color w:val="000000"/>
              </w:rPr>
              <w:t xml:space="preserve">— </w:t>
            </w:r>
          </w:p>
        </w:tc>
        <w:tc>
          <w:tcPr>
            <w:tcW w:w="131" w:type="dxa"/>
            <w:tcBorders/>
            <w:shd w:fill="CFF0FC" w:val="clear"/>
            <w:vAlign w:val="bottom"/>
          </w:tcPr>
          <w:p>
            <w:pPr>
              <w:pStyle w:val="TableContents"/>
              <w:spacing w:before="0" w:after="0"/>
              <w:ind w:left="0" w:right="0" w:hanging="0"/>
              <w:rPr>
                <w:color w:val="000000"/>
              </w:rPr>
            </w:pPr>
            <w:r>
              <w:rPr>
                <w:color w:val="000000"/>
              </w:rPr>
              <w:t xml:space="preserve">  </w:t>
            </w:r>
          </w:p>
        </w:tc>
      </w:tr>
    </w:tbl>
    <w:p>
      <w:pPr>
        <w:pStyle w:val="TextBody"/>
        <w:spacing w:before="14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140" w:after="140"/>
        <w:ind w:left="0" w:right="0" w:hanging="0"/>
        <w:jc w:val="both"/>
        <w:rPr>
          <w:rFonts w:ascii="Times New Roman" w:hAnsi="Times New Roman"/>
          <w:sz w:val="20"/>
        </w:rPr>
      </w:pPr>
      <w:r>
        <w:rPr>
          <w:rFonts w:ascii="Times New Roman" w:hAnsi="Times New Roman"/>
          <w:sz w:val="20"/>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pStyle w:val="TextBody"/>
        <w:spacing w:before="0" w:after="0"/>
        <w:ind w:left="0" w:right="0" w:hanging="0"/>
        <w:jc w:val="both"/>
        <w:rPr>
          <w:rFonts w:ascii="times new roman;times" w:hAnsi="times new roman;times"/>
          <w:sz w:val="20"/>
        </w:rPr>
      </w:pPr>
      <w:r>
        <w:rPr>
          <w:rFonts w:ascii="Times New Roman" w:hAnsi="Times New Roman"/>
          <w:b/>
          <w:sz w:val="20"/>
        </w:rPr>
        <w:t>CRITICAL ACCOUNTING POLICIES AND ESTIMATES</w:t>
      </w:r>
      <w:r>
        <w:rPr>
          <w:rFonts w:ascii="times new roman;times" w:hAnsi="times new roman;times"/>
          <w:sz w:val="20"/>
        </w:rPr>
        <w:t> </w:t>
      </w:r>
    </w:p>
    <w:p>
      <w:pPr>
        <w:pStyle w:val="TextBody"/>
        <w:spacing w:before="140" w:after="140"/>
        <w:ind w:left="0" w:right="0" w:hanging="0"/>
        <w:jc w:val="both"/>
        <w:rPr>
          <w:rFonts w:ascii="times new roman;times" w:hAnsi="times new roman;times"/>
          <w:sz w:val="20"/>
        </w:rPr>
      </w:pPr>
      <w:r>
        <w:rPr>
          <w:rFonts w:ascii="Times New Roman" w:hAnsi="Times New Roman"/>
          <w:sz w:val="20"/>
        </w:rPr>
        <w:t xml:space="preserve">Our discussion and analysis of our results of operations and financial position are based upon our consolidated financial statements, which have been prepared in conformity with U.S. generally accepted accounting principles ("GAAP").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r>
        <w:rPr>
          <w:rFonts w:ascii="Times New Roman" w:hAnsi="Times New Roman"/>
          <w:sz w:val="20"/>
          <w:u w:val="single"/>
        </w:rPr>
        <w:t>Note 1 - Business Description, Basis of Presentation and Significant Accounting Policies</w:t>
      </w:r>
      <w:r>
        <w:rPr>
          <w:rFonts w:ascii="times new roman;times" w:hAnsi="times new roman;times"/>
          <w:sz w:val="20"/>
        </w:rPr>
        <w:t xml:space="preserve"> </w:t>
      </w:r>
      <w:r>
        <w:rPr>
          <w:rFonts w:ascii="Times New Roman" w:hAnsi="Times New Roman"/>
          <w:sz w:val="20"/>
        </w:rPr>
        <w:t>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33</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widowControl/>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140"/>
        <w:ind w:left="0" w:right="0" w:hanging="0"/>
        <w:jc w:val="both"/>
        <w:rPr>
          <w:rFonts w:ascii="Times New Roman" w:hAnsi="Times New Roman"/>
          <w:b/>
          <w:sz w:val="20"/>
        </w:rPr>
      </w:pPr>
      <w:r>
        <w:rPr>
          <w:rFonts w:ascii="Times New Roman" w:hAnsi="Times New Roman"/>
          <w:b/>
          <w:sz w:val="20"/>
        </w:rPr>
        <w:t>Revenue and Associated Allowances for Revenue Adjustments and Doubtful Accounts</w:t>
      </w:r>
    </w:p>
    <w:p>
      <w:pPr>
        <w:pStyle w:val="TextBody"/>
        <w:spacing w:before="0" w:after="0"/>
        <w:ind w:left="0" w:right="0" w:hanging="0"/>
        <w:jc w:val="both"/>
        <w:rPr>
          <w:rFonts w:ascii="times new roman;times" w:hAnsi="times new roman;times"/>
          <w:sz w:val="20"/>
        </w:rPr>
      </w:pPr>
      <w:r>
        <w:rPr>
          <w:rFonts w:ascii="Times New Roman" w:hAnsi="Times New Roman"/>
          <w:sz w:val="20"/>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2020</w:t>
      </w:r>
      <w:r>
        <w:rPr>
          <w:rFonts w:ascii="times new roman;times" w:hAnsi="times new roman;times"/>
          <w:sz w:val="20"/>
        </w:rPr>
        <w:t xml:space="preserve"> </w:t>
      </w:r>
      <w:r>
        <w:rPr>
          <w:rFonts w:ascii="Times New Roman" w:hAnsi="Times New Roman"/>
          <w:sz w:val="20"/>
        </w:rPr>
        <w:t>for equipment sales was $28.7</w:t>
      </w:r>
      <w:r>
        <w:rPr>
          <w:rFonts w:ascii="times new roman;times" w:hAnsi="times new roman;times"/>
          <w:sz w:val="20"/>
        </w:rPr>
        <w:t> </w:t>
      </w:r>
      <w:r>
        <w:rPr>
          <w:rFonts w:ascii="Times New Roman" w:hAnsi="Times New Roman"/>
          <w:sz w:val="20"/>
        </w:rPr>
        <w:t>million, and for software, licenses, etc. was $0.4 million.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w:t>
      </w:r>
      <w:r>
        <w:rPr>
          <w:rFonts w:ascii="times new roman;times" w:hAnsi="times new roman;times"/>
          <w:sz w:val="20"/>
        </w:rPr>
        <w:t xml:space="preserve"> </w:t>
      </w:r>
      <w:r>
        <w:rPr>
          <w:rFonts w:ascii="Times New Roman" w:hAnsi="Times New Roman"/>
          <w:sz w:val="20"/>
        </w:rPr>
        <w:t>a related asset for the right to recover returned products with a corresponding reduction to cost of goods sold. The Company reviews warranty and related claims activity and records provisions, as necessary.</w:t>
      </w:r>
      <w:r>
        <w:rPr>
          <w:rFonts w:ascii="times new roman;times" w:hAnsi="times new roman;times"/>
          <w:sz w:val="20"/>
        </w:rPr>
        <w:t> </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w:t>
      </w:r>
      <w:r>
        <w:rPr>
          <w:rFonts w:ascii="times new roman;times" w:hAnsi="times new roman;times"/>
          <w:sz w:val="20"/>
        </w:rPr>
        <w:t> </w:t>
      </w:r>
      <w:r>
        <w:rPr>
          <w:rFonts w:ascii="Times New Roman" w:hAnsi="Times New Roman"/>
          <w:sz w:val="20"/>
        </w:rPr>
        <w:t>As scheduled delivery dates are within one year, revenue allocated to future shipments of partially completed contracts are not disclosed.</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w:t>
      </w:r>
      <w:r>
        <w:rPr>
          <w:rFonts w:ascii="times new roman;times" w:hAnsi="times new roman;times"/>
          <w:sz w:val="20"/>
        </w:rPr>
        <w:t> </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details of deferred revenue and associated cost of goods sold</w:t>
      </w:r>
      <w:r>
        <w:rPr>
          <w:rFonts w:ascii="times new roman;times" w:hAnsi="times new roman;times"/>
          <w:sz w:val="20"/>
        </w:rPr>
        <w:t xml:space="preserve"> </w:t>
      </w:r>
      <w:r>
        <w:rPr>
          <w:rFonts w:ascii="Times New Roman" w:hAnsi="Times New Roman"/>
          <w:sz w:val="20"/>
        </w:rPr>
        <w:t>and gross profit are as follows (in thousands):</w:t>
      </w:r>
    </w:p>
    <w:p>
      <w:pPr>
        <w:pStyle w:val="TextBody"/>
        <w:spacing w:before="0" w:after="0"/>
        <w:ind w:left="0" w:right="0" w:hanging="0"/>
        <w:jc w:val="both"/>
        <w:rPr/>
      </w:pPr>
      <w:r>
        <w:rPr/>
        <w:t> </w:t>
      </w:r>
    </w:p>
    <w:tbl>
      <w:tblPr>
        <w:tblW w:w="4250" w:type="pct"/>
        <w:jc w:val="left"/>
        <w:tblInd w:w="0" w:type="dxa"/>
        <w:tblCellMar>
          <w:top w:w="0" w:type="dxa"/>
          <w:left w:w="0" w:type="dxa"/>
          <w:bottom w:w="0" w:type="dxa"/>
          <w:right w:w="0" w:type="dxa"/>
        </w:tblCellMar>
      </w:tblPr>
      <w:tblGrid>
        <w:gridCol w:w="4850"/>
        <w:gridCol w:w="255"/>
        <w:gridCol w:w="431"/>
        <w:gridCol w:w="849"/>
        <w:gridCol w:w="304"/>
        <w:gridCol w:w="303"/>
        <w:gridCol w:w="431"/>
        <w:gridCol w:w="964"/>
        <w:gridCol w:w="287"/>
      </w:tblGrid>
      <w:tr>
        <w:trPr/>
        <w:tc>
          <w:tcPr>
            <w:tcW w:w="4850" w:type="dxa"/>
            <w:tcBorders/>
            <w:shd w:fill="auto" w:val="clear"/>
            <w:vAlign w:val="center"/>
          </w:tcPr>
          <w:p>
            <w:pPr>
              <w:pStyle w:val="TableContents"/>
              <w:spacing w:before="0" w:after="0"/>
              <w:ind w:left="0" w:right="0" w:hanging="0"/>
              <w:rPr/>
            </w:pPr>
            <w:r>
              <w:rPr/>
              <w:t xml:space="preserve">  </w:t>
            </w:r>
          </w:p>
        </w:tc>
        <w:tc>
          <w:tcPr>
            <w:tcW w:w="255" w:type="dxa"/>
            <w:tcBorders/>
            <w:shd w:fill="auto" w:val="clear"/>
            <w:vAlign w:val="center"/>
          </w:tcPr>
          <w:p>
            <w:pPr>
              <w:pStyle w:val="TableContents"/>
              <w:spacing w:before="0" w:after="0"/>
              <w:ind w:left="0" w:right="0" w:hanging="0"/>
              <w:rPr/>
            </w:pPr>
            <w:r>
              <w:rPr/>
              <w:t xml:space="preserve">  </w:t>
            </w:r>
          </w:p>
        </w:tc>
        <w:tc>
          <w:tcPr>
            <w:tcW w:w="3282"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287" w:type="dxa"/>
            <w:tcBorders/>
            <w:shd w:fill="auto" w:val="clear"/>
            <w:vAlign w:val="center"/>
          </w:tcPr>
          <w:p>
            <w:pPr>
              <w:pStyle w:val="TableContents"/>
              <w:spacing w:before="0" w:after="0"/>
              <w:ind w:left="0" w:right="0" w:hanging="0"/>
              <w:rPr/>
            </w:pPr>
            <w:r>
              <w:rPr/>
              <w:t xml:space="preserve">  </w:t>
            </w:r>
          </w:p>
        </w:tc>
      </w:tr>
      <w:tr>
        <w:trPr/>
        <w:tc>
          <w:tcPr>
            <w:tcW w:w="4850" w:type="dxa"/>
            <w:tcBorders/>
            <w:shd w:fill="auto" w:val="clear"/>
            <w:vAlign w:val="center"/>
          </w:tcPr>
          <w:p>
            <w:pPr>
              <w:pStyle w:val="TableContents"/>
              <w:spacing w:before="0" w:after="0"/>
              <w:ind w:left="0" w:right="0" w:hanging="0"/>
              <w:rPr/>
            </w:pPr>
            <w:r>
              <w:rPr/>
              <w:t xml:space="preserve">  </w:t>
            </w:r>
          </w:p>
        </w:tc>
        <w:tc>
          <w:tcPr>
            <w:tcW w:w="255" w:type="dxa"/>
            <w:tcBorders/>
            <w:shd w:fill="auto" w:val="clear"/>
            <w:vAlign w:val="center"/>
          </w:tcPr>
          <w:p>
            <w:pPr>
              <w:pStyle w:val="TableContents"/>
              <w:spacing w:before="0" w:after="0"/>
              <w:ind w:left="0" w:right="0" w:hanging="0"/>
              <w:rPr/>
            </w:pPr>
            <w:r>
              <w:rPr/>
              <w:t xml:space="preserve">  </w:t>
            </w:r>
          </w:p>
        </w:tc>
        <w:tc>
          <w:tcPr>
            <w:tcW w:w="1280"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304" w:type="dxa"/>
            <w:tcBorders/>
            <w:shd w:fill="auto" w:val="clear"/>
            <w:vAlign w:val="center"/>
          </w:tcPr>
          <w:p>
            <w:pPr>
              <w:pStyle w:val="TableContents"/>
              <w:spacing w:before="0" w:after="0"/>
              <w:ind w:left="0" w:right="0" w:hanging="0"/>
              <w:rPr/>
            </w:pPr>
            <w:r>
              <w:rPr/>
              <w:t xml:space="preserve">  </w:t>
            </w:r>
          </w:p>
        </w:tc>
        <w:tc>
          <w:tcPr>
            <w:tcW w:w="303" w:type="dxa"/>
            <w:tcBorders/>
            <w:shd w:fill="auto" w:val="clear"/>
            <w:vAlign w:val="center"/>
          </w:tcPr>
          <w:p>
            <w:pPr>
              <w:pStyle w:val="TableContents"/>
              <w:spacing w:before="0" w:after="0"/>
              <w:ind w:left="0" w:right="0" w:hanging="0"/>
              <w:rPr/>
            </w:pPr>
            <w:r>
              <w:rPr/>
              <w:t xml:space="preserve">  </w:t>
            </w:r>
          </w:p>
        </w:tc>
        <w:tc>
          <w:tcPr>
            <w:tcW w:w="139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287" w:type="dxa"/>
            <w:tcBorders/>
            <w:shd w:fill="auto" w:val="clear"/>
            <w:vAlign w:val="center"/>
          </w:tcPr>
          <w:p>
            <w:pPr>
              <w:pStyle w:val="TableContents"/>
              <w:spacing w:before="0" w:after="0"/>
              <w:ind w:left="0" w:right="0" w:hanging="0"/>
              <w:rPr/>
            </w:pPr>
            <w:r>
              <w:rPr/>
              <w:t xml:space="preserve">  </w:t>
            </w:r>
          </w:p>
        </w:tc>
      </w:tr>
      <w:tr>
        <w:trPr/>
        <w:tc>
          <w:tcPr>
            <w:tcW w:w="48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revenue </w:t>
            </w:r>
          </w:p>
        </w:tc>
        <w:tc>
          <w:tcPr>
            <w:tcW w:w="255" w:type="dxa"/>
            <w:tcBorders/>
            <w:shd w:fill="CCEEFF" w:val="clear"/>
            <w:vAlign w:val="center"/>
          </w:tcPr>
          <w:p>
            <w:pPr>
              <w:pStyle w:val="TableContents"/>
              <w:spacing w:before="0" w:after="0"/>
              <w:ind w:left="0" w:right="0" w:hanging="0"/>
              <w:rPr/>
            </w:pPr>
            <w:r>
              <w:rPr/>
              <w:t xml:space="preserve">  </w:t>
            </w:r>
          </w:p>
        </w:tc>
        <w:tc>
          <w:tcPr>
            <w:tcW w:w="43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123</w:t>
            </w:r>
          </w:p>
        </w:tc>
        <w:tc>
          <w:tcPr>
            <w:tcW w:w="304" w:type="dxa"/>
            <w:tcBorders/>
            <w:shd w:fill="CCEEFF" w:val="clear"/>
            <w:vAlign w:val="center"/>
          </w:tcPr>
          <w:p>
            <w:pPr>
              <w:pStyle w:val="TableContents"/>
              <w:spacing w:before="0" w:after="0"/>
              <w:ind w:left="0" w:right="0" w:hanging="0"/>
              <w:rPr/>
            </w:pPr>
            <w:r>
              <w:rPr/>
              <w:t xml:space="preserve">  </w:t>
            </w:r>
          </w:p>
        </w:tc>
        <w:tc>
          <w:tcPr>
            <w:tcW w:w="303" w:type="dxa"/>
            <w:tcBorders/>
            <w:shd w:fill="CCEEFF" w:val="clear"/>
            <w:vAlign w:val="center"/>
          </w:tcPr>
          <w:p>
            <w:pPr>
              <w:pStyle w:val="TableContents"/>
              <w:spacing w:before="0" w:after="0"/>
              <w:ind w:left="0" w:right="0" w:hanging="0"/>
              <w:rPr/>
            </w:pPr>
            <w:r>
              <w:rPr/>
              <w:t xml:space="preserve">  </w:t>
            </w:r>
          </w:p>
        </w:tc>
        <w:tc>
          <w:tcPr>
            <w:tcW w:w="43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6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173</w:t>
            </w:r>
          </w:p>
        </w:tc>
        <w:tc>
          <w:tcPr>
            <w:tcW w:w="287" w:type="dxa"/>
            <w:tcBorders/>
            <w:shd w:fill="CCEEFF" w:val="clear"/>
            <w:vAlign w:val="center"/>
          </w:tcPr>
          <w:p>
            <w:pPr>
              <w:pStyle w:val="TableContents"/>
              <w:spacing w:before="0" w:after="0"/>
              <w:ind w:left="0" w:right="0" w:hanging="0"/>
              <w:rPr/>
            </w:pPr>
            <w:r>
              <w:rPr/>
              <w:t xml:space="preserve">  </w:t>
            </w:r>
          </w:p>
        </w:tc>
      </w:tr>
      <w:tr>
        <w:trPr/>
        <w:tc>
          <w:tcPr>
            <w:tcW w:w="485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cost of goods sold </w:t>
            </w:r>
          </w:p>
        </w:tc>
        <w:tc>
          <w:tcPr>
            <w:tcW w:w="255" w:type="dxa"/>
            <w:tcBorders/>
            <w:shd w:fill="auto" w:val="clear"/>
            <w:vAlign w:val="center"/>
          </w:tcPr>
          <w:p>
            <w:pPr>
              <w:pStyle w:val="TableContents"/>
              <w:spacing w:before="0" w:after="0"/>
              <w:ind w:left="0" w:right="0" w:hanging="0"/>
              <w:rPr/>
            </w:pPr>
            <w:r>
              <w:rPr/>
              <w:t xml:space="preserve">  </w:t>
            </w:r>
          </w:p>
        </w:tc>
        <w:tc>
          <w:tcPr>
            <w:tcW w:w="431"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49"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04" w:type="dxa"/>
            <w:tcBorders/>
            <w:shd w:fill="auto" w:val="clear"/>
            <w:vAlign w:val="center"/>
          </w:tcPr>
          <w:p>
            <w:pPr>
              <w:pStyle w:val="TableContents"/>
              <w:spacing w:before="0" w:after="0"/>
              <w:ind w:left="0" w:right="0" w:hanging="0"/>
              <w:rPr/>
            </w:pPr>
            <w:r>
              <w:rPr/>
              <w:t xml:space="preserve">  </w:t>
            </w:r>
          </w:p>
        </w:tc>
        <w:tc>
          <w:tcPr>
            <w:tcW w:w="303" w:type="dxa"/>
            <w:tcBorders/>
            <w:shd w:fill="auto" w:val="clear"/>
            <w:vAlign w:val="center"/>
          </w:tcPr>
          <w:p>
            <w:pPr>
              <w:pStyle w:val="TableContents"/>
              <w:spacing w:before="0" w:after="0"/>
              <w:ind w:left="0" w:right="0" w:hanging="0"/>
              <w:rPr/>
            </w:pPr>
            <w:r>
              <w:rPr/>
              <w:t xml:space="preserve">  </w:t>
            </w:r>
          </w:p>
        </w:tc>
        <w:tc>
          <w:tcPr>
            <w:tcW w:w="431"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64"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87" w:type="dxa"/>
            <w:tcBorders/>
            <w:shd w:fill="auto" w:val="clear"/>
            <w:vAlign w:val="center"/>
          </w:tcPr>
          <w:p>
            <w:pPr>
              <w:pStyle w:val="TableContents"/>
              <w:spacing w:before="0" w:after="0"/>
              <w:ind w:left="0" w:right="0" w:hanging="0"/>
              <w:rPr/>
            </w:pPr>
            <w:r>
              <w:rPr/>
              <w:t xml:space="preserve">  </w:t>
            </w:r>
          </w:p>
        </w:tc>
      </w:tr>
      <w:tr>
        <w:trPr/>
        <w:tc>
          <w:tcPr>
            <w:tcW w:w="48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gross profit </w:t>
            </w:r>
          </w:p>
        </w:tc>
        <w:tc>
          <w:tcPr>
            <w:tcW w:w="255" w:type="dxa"/>
            <w:tcBorders/>
            <w:shd w:fill="CCEEFF" w:val="clear"/>
            <w:vAlign w:val="center"/>
          </w:tcPr>
          <w:p>
            <w:pPr>
              <w:pStyle w:val="TableContents"/>
              <w:spacing w:before="0" w:after="0"/>
              <w:ind w:left="0" w:right="0" w:hanging="0"/>
              <w:rPr/>
            </w:pPr>
            <w:r>
              <w:rPr/>
              <w:t xml:space="preserve">  </w:t>
            </w:r>
          </w:p>
        </w:tc>
        <w:tc>
          <w:tcPr>
            <w:tcW w:w="43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123</w:t>
            </w:r>
          </w:p>
        </w:tc>
        <w:tc>
          <w:tcPr>
            <w:tcW w:w="304" w:type="dxa"/>
            <w:tcBorders/>
            <w:shd w:fill="CCEEFF" w:val="clear"/>
            <w:vAlign w:val="center"/>
          </w:tcPr>
          <w:p>
            <w:pPr>
              <w:pStyle w:val="TableContents"/>
              <w:spacing w:before="0" w:after="0"/>
              <w:ind w:left="0" w:right="0" w:hanging="0"/>
              <w:rPr/>
            </w:pPr>
            <w:r>
              <w:rPr/>
              <w:t xml:space="preserve">  </w:t>
            </w:r>
          </w:p>
        </w:tc>
        <w:tc>
          <w:tcPr>
            <w:tcW w:w="303" w:type="dxa"/>
            <w:tcBorders/>
            <w:shd w:fill="CCEEFF" w:val="clear"/>
            <w:vAlign w:val="center"/>
          </w:tcPr>
          <w:p>
            <w:pPr>
              <w:pStyle w:val="TableContents"/>
              <w:spacing w:before="0" w:after="0"/>
              <w:ind w:left="0" w:right="0" w:hanging="0"/>
              <w:rPr/>
            </w:pPr>
            <w:r>
              <w:rPr/>
              <w:t xml:space="preserve">  </w:t>
            </w:r>
          </w:p>
        </w:tc>
        <w:tc>
          <w:tcPr>
            <w:tcW w:w="43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64"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173</w:t>
            </w:r>
          </w:p>
        </w:tc>
        <w:tc>
          <w:tcPr>
            <w:tcW w:w="287"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offers rebates and market development funds to certain of its distributors, dealers/resellers, and end-users based upon the volume of product purchased by them. The Company records rebates as a reduction of revenue in accordance with GAAP.</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r>
        <w:rPr>
          <w:rFonts w:ascii="times new roman;times" w:hAnsi="times new roman;times"/>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Impairment of Long-Lived Assets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assess the impairment of long-lived assets, such as property and equipment and definite-lived intangible assets subject to amortization,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pStyle w:val="TextBody"/>
        <w:spacing w:before="0" w:after="0"/>
        <w:ind w:left="0" w:right="0" w:hanging="0"/>
        <w:jc w:val="both"/>
        <w:rPr/>
      </w:pPr>
      <w:r>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34</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Accounting for Income Taxes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We are subject to income taxes in both the United States and in certain non-U.S. jurisdictions.</w:t>
      </w:r>
      <w:r>
        <w:rPr>
          <w:rFonts w:ascii="times new roman;times" w:hAnsi="times new roman;times"/>
          <w:sz w:val="20"/>
        </w:rPr>
        <w:t> </w:t>
      </w:r>
      <w:r>
        <w:rPr>
          <w:rFonts w:ascii="Times New Roman" w:hAnsi="Times New Roman"/>
          <w:sz w:val="20"/>
        </w:rPr>
        <w:t>We account for income taxes following ASC 740,</w:t>
      </w:r>
      <w:r>
        <w:rPr>
          <w:rFonts w:ascii="times new roman;times" w:hAnsi="times new roman;times"/>
          <w:sz w:val="20"/>
        </w:rPr>
        <w:t> </w:t>
      </w:r>
      <w:r>
        <w:rPr>
          <w:rFonts w:ascii="Times New Roman" w:hAnsi="Times New Roman"/>
          <w:i/>
          <w:sz w:val="20"/>
        </w:rPr>
        <w:t>Accounting for Income Taxes,</w:t>
      </w:r>
      <w:r>
        <w:rPr>
          <w:rFonts w:ascii="times new roman;times" w:hAnsi="times new roman;times"/>
          <w:sz w:val="20"/>
        </w:rPr>
        <w:t> </w:t>
      </w:r>
      <w:r>
        <w:rPr>
          <w:rFonts w:ascii="Times New Roman" w:hAnsi="Times New Roman"/>
          <w:sz w:val="20"/>
        </w:rPr>
        <w:t>recognizing deferred tax assets and liabilities using enacted tax rates for the effect of temporary differences between book and tax basis of recorded assets and liabilities.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pStyle w:val="TextBody"/>
        <w:spacing w:before="0" w:after="0"/>
        <w:ind w:left="0" w:right="0" w:hanging="0"/>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2020 and determined that based upon available evidence it is more likely than not that certain of our net deferred tax assets</w:t>
      </w:r>
      <w:r>
        <w:rPr>
          <w:rFonts w:ascii="times new roman;times" w:hAnsi="times new roman;times"/>
          <w:sz w:val="20"/>
        </w:rPr>
        <w:t> </w:t>
      </w:r>
      <w:r>
        <w:rPr>
          <w:rFonts w:ascii="Times New Roman" w:hAnsi="Times New Roman"/>
          <w:sz w:val="20"/>
        </w:rPr>
        <w:t xml:space="preserve">will not be realized and, accordingly, we have recorded a full valuation allowance against these deferred tax assets in the amount of $11.2 million. Please refer to </w:t>
      </w:r>
      <w:r>
        <w:rPr>
          <w:rFonts w:ascii="Times New Roman" w:hAnsi="Times New Roman"/>
          <w:sz w:val="20"/>
          <w:u w:val="single"/>
        </w:rPr>
        <w:t>Note 13 - Income Taxes</w:t>
      </w:r>
      <w:r>
        <w:rPr>
          <w:rFonts w:ascii="times new roman;times" w:hAnsi="times new roman;times"/>
          <w:sz w:val="20"/>
        </w:rPr>
        <w:t xml:space="preserve"> </w:t>
      </w:r>
      <w:r>
        <w:rPr>
          <w:rFonts w:ascii="Times New Roman" w:hAnsi="Times New Roman"/>
          <w:sz w:val="20"/>
        </w:rPr>
        <w:t>in the Notes to Consolidated Financial Statements for additional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Share-Based Payments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IMPACT OF RECENTLY ISSUED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For descriptions of recently issued accounting standards, see</w:t>
      </w:r>
      <w:r>
        <w:rPr>
          <w:rFonts w:ascii="times new roman;times" w:hAnsi="times new roman;times"/>
          <w:sz w:val="20"/>
        </w:rPr>
        <w:t> </w:t>
      </w:r>
      <w:r>
        <w:rPr>
          <w:rFonts w:ascii="Times New Roman" w:hAnsi="Times New Roman"/>
          <w:sz w:val="20"/>
          <w:u w:val="single"/>
        </w:rPr>
        <w:t>Note 1. Business Description, Basis of Presentation and Significant Accounting Policies</w:t>
      </w:r>
      <w:r>
        <w:rPr>
          <w:rFonts w:ascii="times new roman;times" w:hAnsi="times new roman;times"/>
          <w:sz w:val="20"/>
        </w:rPr>
        <w:t xml:space="preserve"> </w:t>
      </w:r>
      <w:r>
        <w:rPr>
          <w:rFonts w:ascii="Times New Roman" w:hAnsi="Times New Roman"/>
          <w:sz w:val="20"/>
        </w:rPr>
        <w:t>of our Notes</w:t>
      </w:r>
      <w:r>
        <w:rPr>
          <w:rFonts w:ascii="times new roman;times" w:hAnsi="times new roman;times"/>
          <w:sz w:val="20"/>
        </w:rPr>
        <w:t> </w:t>
      </w:r>
      <w:r>
        <w:rPr>
          <w:rFonts w:ascii="Times New Roman" w:hAnsi="Times New Roman"/>
          <w:sz w:val="20"/>
        </w:rPr>
        <w:t>to Consolidated Financial Statements.</w:t>
      </w:r>
    </w:p>
    <w:p>
      <w:pPr>
        <w:pStyle w:val="TextBody"/>
        <w:spacing w:before="0" w:after="0"/>
        <w:ind w:left="0" w:right="0" w:hanging="0"/>
        <w:jc w:val="both"/>
        <w:rPr/>
      </w:pPr>
      <w:r>
        <w:rPr/>
        <w:t> </w:t>
      </w:r>
    </w:p>
    <w:p>
      <w:pPr>
        <w:pStyle w:val="TextBody"/>
        <w:ind w:left="0" w:right="0" w:hanging="0"/>
        <w:jc w:val="both"/>
        <w:rPr/>
      </w:pPr>
      <w:hyperlink r:id="rId15">
        <w:r>
          <w:rPr>
            <w:rStyle w:val="VisitedInternetLink"/>
            <w:rFonts w:ascii="Times New Roman" w:hAnsi="Times New Roman"/>
            <w:b/>
            <w:strike w:val="false"/>
            <w:dstrike w:val="false"/>
            <w:color w:val="000000"/>
            <w:sz w:val="20"/>
            <w:u w:val="none"/>
            <w:effect w:val="none"/>
          </w:rPr>
          <w:t>ITEM 7A. QUANTITATIVE AND QUALITATIVE DISCLOSURES ABOUT MARKET RISK</w:t>
        </w:r>
      </w:hyperlink>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ind w:left="0" w:right="0" w:hanging="0"/>
        <w:jc w:val="both"/>
        <w:rPr/>
      </w:pPr>
      <w:hyperlink r:id="rId16">
        <w:r>
          <w:rPr>
            <w:rStyle w:val="VisitedInternetLink"/>
            <w:rFonts w:ascii="Times New Roman" w:hAnsi="Times New Roman"/>
            <w:b/>
            <w:strike w:val="false"/>
            <w:dstrike w:val="false"/>
            <w:color w:val="000000"/>
            <w:sz w:val="20"/>
            <w:u w:val="none"/>
            <w:effect w:val="none"/>
          </w:rPr>
          <w:t>ITEM </w:t>
        </w:r>
      </w:hyperlink>
      <w:hyperlink r:id="rId17">
        <w:r>
          <w:rPr>
            <w:rStyle w:val="VisitedInternetLink"/>
            <w:rFonts w:ascii="Times New Roman" w:hAnsi="Times New Roman"/>
            <w:b/>
            <w:strike w:val="false"/>
            <w:dstrike w:val="false"/>
            <w:color w:val="000000"/>
            <w:sz w:val="20"/>
            <w:u w:val="none"/>
            <w:effect w:val="none"/>
          </w:rPr>
          <w:t>8</w:t>
        </w:r>
      </w:hyperlink>
      <w:hyperlink r:id="rId18">
        <w:r>
          <w:rPr>
            <w:rStyle w:val="VisitedInternetLink"/>
            <w:rFonts w:ascii="Times New Roman" w:hAnsi="Times New Roman"/>
            <w:b/>
            <w:strike w:val="false"/>
            <w:dstrike w:val="false"/>
            <w:color w:val="000000"/>
            <w:sz w:val="20"/>
            <w:u w:val="none"/>
            <w:effect w:val="none"/>
          </w:rPr>
          <w:t>. FINANCIAL STATEMENTS AND SUPPLEMENTARY DATA</w:t>
        </w:r>
      </w:hyperlink>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Financial statements and supplementary data required by this are included herein as a </w:t>
      </w:r>
      <w:r>
        <w:rPr>
          <w:rFonts w:ascii="Times New Roman" w:hAnsi="Times New Roman"/>
          <w:sz w:val="20"/>
          <w:u w:val="single"/>
        </w:rPr>
        <w:t>separate section</w:t>
      </w:r>
      <w:r>
        <w:rPr>
          <w:rFonts w:ascii="times new roman;times" w:hAnsi="times new roman;times"/>
          <w:sz w:val="20"/>
        </w:rPr>
        <w:t> </w:t>
      </w:r>
      <w:r>
        <w:rPr>
          <w:rFonts w:ascii="Times New Roman" w:hAnsi="Times New Roman"/>
          <w:sz w:val="20"/>
        </w:rPr>
        <w:t>of this Form 10-K, beginning on page F-1, and are incorporated in this Item 8 by reference.</w:t>
      </w:r>
      <w:r>
        <w:rPr>
          <w:rFonts w:ascii="times new roman;times" w:hAnsi="times new roman;times"/>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35</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ind w:left="0" w:right="0" w:hanging="0"/>
        <w:jc w:val="both"/>
        <w:rPr/>
      </w:pPr>
      <w:hyperlink r:id="rId19">
        <w:r>
          <w:rPr>
            <w:rStyle w:val="VisitedInternetLink"/>
            <w:rFonts w:ascii="Times New Roman" w:hAnsi="Times New Roman"/>
            <w:b/>
            <w:strike w:val="false"/>
            <w:dstrike w:val="false"/>
            <w:color w:val="000000"/>
            <w:sz w:val="20"/>
            <w:u w:val="none"/>
            <w:effect w:val="none"/>
          </w:rPr>
          <w:t>ITEM 9. CHANGES IN AND DISAGREEMENTS WITH ACCOUNTANTS ON ACCOUNTING AND FINANCIAL DISCLOSURE</w:t>
        </w:r>
      </w:hyperlink>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ind w:left="0" w:right="0" w:hanging="0"/>
        <w:jc w:val="both"/>
        <w:rPr/>
      </w:pPr>
      <w:hyperlink r:id="rId20">
        <w:r>
          <w:rPr>
            <w:rStyle w:val="VisitedInternetLink"/>
            <w:rFonts w:ascii="Times New Roman" w:hAnsi="Times New Roman"/>
            <w:b/>
            <w:strike w:val="false"/>
            <w:dstrike w:val="false"/>
            <w:color w:val="000000"/>
            <w:sz w:val="20"/>
            <w:u w:val="none"/>
            <w:effect w:val="none"/>
          </w:rPr>
          <w:t>ITEM 9A. CONTROLS AND PROCEDURES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20"/>
        </w:rPr>
      </w:pPr>
      <w:r>
        <w:rPr>
          <w:rFonts w:ascii="Times New Roman" w:hAnsi="Times New Roman"/>
          <w:b/>
          <w:i/>
          <w:sz w:val="20"/>
        </w:rPr>
        <w:t>Evaluation of Disclosure Controls and Procedures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Senior Vice President of Finance, as appropriate, to allow for timely decisions regarding required disclosure. As required by Rule 13a-15 under the Exchange Act, we have completed an evaluation, under the supervision and with the participation of our management, including the Chief Executive Officer and the Senior Vice President of Finance, of the effectiveness and the design and operation of our disclosure controls and procedures as of December 31, 2020. Our disclosure controls and procedures are designed to provide reasonable assurance of achieving their objectives. Based upon this evaluation, our Chief Executive Officer and Senior Vice President of Finance concluded that, as of the end of the period covered by this Annual Report, our disclosure controls and procedures were effective at a reasonable assurance level as of December 31, 2020.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20"/>
        </w:rPr>
      </w:pPr>
      <w:r>
        <w:rPr>
          <w:rFonts w:ascii="Times New Roman" w:hAnsi="Times New Roman"/>
          <w:b/>
          <w:i/>
          <w:sz w:val="20"/>
        </w:rPr>
        <w:t>Management’s Annual Report on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 xml:space="preserve">Our management conducted an evaluation of the effectiveness of our internal control over financial reporting as of December 31, 2020 based on the framework set forth in </w:t>
      </w:r>
      <w:r>
        <w:rPr>
          <w:rFonts w:ascii="Times New Roman" w:hAnsi="Times New Roman"/>
          <w:i/>
          <w:sz w:val="20"/>
        </w:rPr>
        <w:t>Internal Control - Integrated Framework</w:t>
      </w:r>
      <w:r>
        <w:rPr>
          <w:rFonts w:ascii="times new roman;times" w:hAnsi="times new roman;times"/>
          <w:sz w:val="20"/>
        </w:rPr>
        <w:t xml:space="preserve"> </w:t>
      </w:r>
      <w:r>
        <w:rPr>
          <w:rFonts w:ascii="Times New Roman" w:hAnsi="Times New Roman"/>
          <w:sz w:val="20"/>
        </w:rPr>
        <w:t xml:space="preserve">(2013 framework) issued by the Committee of Sponsoring Organizations of the Treadway Commission. Based on our assessment using that criteria, management concluded that the design and operation of our internal control over financial reporting were effective as of December 31, 2020. </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20"/>
        </w:rPr>
      </w:pPr>
      <w:r>
        <w:rPr>
          <w:rFonts w:ascii="Times New Roman" w:hAnsi="Times New Roman"/>
          <w:b/>
          <w:i/>
          <w:sz w:val="20"/>
        </w:rPr>
        <w:t>Changes in Internal Control Over Financial Reporting</w:t>
      </w:r>
    </w:p>
    <w:p>
      <w:pPr>
        <w:pStyle w:val="TextBody"/>
        <w:spacing w:before="0" w:after="0"/>
        <w:ind w:left="0" w:right="0" w:hanging="0"/>
        <w:rPr/>
      </w:pPr>
      <w:r>
        <w:rPr/>
        <w:t> </w:t>
      </w:r>
    </w:p>
    <w:p>
      <w:pPr>
        <w:pStyle w:val="TextBody"/>
        <w:widowControl/>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There were no changes in our internal control over financial reporting that occurred during the fourth fiscal quarter that have materially affected, or are reasonably likely to materially affect, our internal control over financial reporting.</w:t>
      </w:r>
    </w:p>
    <w:p>
      <w:pPr>
        <w:pStyle w:val="TextBody"/>
        <w:spacing w:before="0" w:after="0"/>
        <w:ind w:left="0" w:right="0" w:hanging="0"/>
        <w:rPr/>
      </w:pPr>
      <w:r>
        <w:rPr/>
        <w:t> </w:t>
      </w:r>
    </w:p>
    <w:p>
      <w:pPr>
        <w:pStyle w:val="TextBody"/>
        <w:ind w:left="0" w:right="0" w:hanging="0"/>
        <w:jc w:val="both"/>
        <w:rPr/>
      </w:pPr>
      <w:hyperlink r:id="rId21">
        <w:r>
          <w:rPr>
            <w:rStyle w:val="VisitedInternetLink"/>
            <w:rFonts w:ascii="Times New Roman" w:hAnsi="Times New Roman"/>
            <w:b/>
            <w:strike w:val="false"/>
            <w:dstrike w:val="false"/>
            <w:color w:val="000000"/>
            <w:sz w:val="20"/>
            <w:u w:val="none"/>
            <w:effect w:val="none"/>
          </w:rPr>
          <w:t>ITEM 9B. OTHER INFORMATION</w:t>
        </w:r>
      </w:hyperlink>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36</w:t>
            </w:r>
          </w:p>
        </w:tc>
      </w:tr>
    </w:tbl>
    <w:p>
      <w:pPr>
        <w:pStyle w:val="HorizontalLine"/>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pPr>
      <w:hyperlink r:id="rId22">
        <w:r>
          <w:rPr>
            <w:rStyle w:val="VisitedInternetLink"/>
            <w:rFonts w:ascii="Times New Roman" w:hAnsi="Times New Roman"/>
            <w:b/>
            <w:strike w:val="false"/>
            <w:dstrike w:val="false"/>
            <w:color w:val="000000"/>
            <w:sz w:val="20"/>
            <w:u w:val="none"/>
            <w:effect w:val="none"/>
          </w:rPr>
          <w:t>PART III</w:t>
        </w:r>
      </w:hyperlink>
    </w:p>
    <w:p>
      <w:pPr>
        <w:pStyle w:val="TextBody"/>
        <w:spacing w:before="80" w:after="0"/>
        <w:ind w:left="0" w:right="0" w:hanging="0"/>
        <w:jc w:val="both"/>
        <w:rPr/>
      </w:pPr>
      <w:hyperlink r:id="rId23">
        <w:r>
          <w:rPr>
            <w:rStyle w:val="VisitedInternetLink"/>
            <w:rFonts w:ascii="Times New Roman" w:hAnsi="Times New Roman"/>
            <w:b/>
            <w:strike w:val="false"/>
            <w:dstrike w:val="false"/>
            <w:color w:val="000000"/>
            <w:sz w:val="20"/>
            <w:u w:val="none"/>
            <w:effect w:val="none"/>
          </w:rPr>
          <w:t>ITEM 10. DIRECTORS, EXECUTIVE OFFICERS AND CORPORATE GOVERNANCE</w:t>
        </w:r>
      </w:hyperlink>
      <w:r>
        <w:rPr/>
        <w:t xml:space="preserve"> </w:t>
      </w:r>
    </w:p>
    <w:p>
      <w:pPr>
        <w:pStyle w:val="TextBody"/>
        <w:spacing w:before="160" w:after="0"/>
        <w:ind w:left="0" w:right="0" w:hanging="0"/>
        <w:jc w:val="both"/>
        <w:rPr>
          <w:sz w:val="20"/>
        </w:rPr>
      </w:pPr>
      <w:r>
        <w:rPr>
          <w:sz w:val="20"/>
        </w:rPr>
        <w:t>The following table sets forth certain information regarding our directors and executive officers as of April 29, 2019.</w:t>
      </w:r>
    </w:p>
    <w:tbl>
      <w:tblPr>
        <w:tblW w:w="5000" w:type="pct"/>
        <w:jc w:val="left"/>
        <w:tblInd w:w="0" w:type="dxa"/>
        <w:tblCellMar>
          <w:top w:w="0" w:type="dxa"/>
          <w:left w:w="0" w:type="dxa"/>
          <w:bottom w:w="28" w:type="dxa"/>
          <w:right w:w="0" w:type="dxa"/>
        </w:tblCellMar>
      </w:tblPr>
      <w:tblGrid>
        <w:gridCol w:w="2327"/>
        <w:gridCol w:w="128"/>
        <w:gridCol w:w="405"/>
        <w:gridCol w:w="128"/>
        <w:gridCol w:w="5018"/>
        <w:gridCol w:w="128"/>
        <w:gridCol w:w="2071"/>
      </w:tblGrid>
      <w:tr>
        <w:trPr/>
        <w:tc>
          <w:tcPr>
            <w:tcW w:w="2327" w:type="dxa"/>
            <w:tcBorders>
              <w:bottom w:val="single" w:sz="6" w:space="0" w:color="000000"/>
            </w:tcBorders>
            <w:shd w:fill="auto" w:val="clea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Name </w:t>
            </w:r>
          </w:p>
        </w:tc>
        <w:tc>
          <w:tcPr>
            <w:tcW w:w="128" w:type="dxa"/>
            <w:tcBorders>
              <w:bottom w:val="single" w:sz="6" w:space="0" w:color="000000"/>
            </w:tcBorders>
            <w:shd w:fill="auto" w:val="clear"/>
          </w:tcPr>
          <w:p>
            <w:pPr>
              <w:pStyle w:val="TableContents"/>
              <w:spacing w:before="0" w:after="0"/>
              <w:ind w:left="0" w:right="0" w:hanging="0"/>
              <w:rPr/>
            </w:pPr>
            <w:r>
              <w:rPr/>
              <w:t xml:space="preserve">  </w:t>
            </w:r>
          </w:p>
        </w:tc>
        <w:tc>
          <w:tcPr>
            <w:tcW w:w="405" w:type="dxa"/>
            <w:tcBorders>
              <w:bottom w:val="single" w:sz="6" w:space="0" w:color="000000"/>
            </w:tcBorders>
            <w:shd w:fill="auto" w:val="clea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Age </w:t>
            </w:r>
          </w:p>
        </w:tc>
        <w:tc>
          <w:tcPr>
            <w:tcW w:w="128" w:type="dxa"/>
            <w:tcBorders/>
            <w:shd w:fill="auto" w:val="clear"/>
            <w:tcMar>
              <w:bottom w:w="0" w:type="dxa"/>
            </w:tcMar>
          </w:tcPr>
          <w:p>
            <w:pPr>
              <w:pStyle w:val="TableContents"/>
              <w:spacing w:before="0" w:after="0"/>
              <w:ind w:left="0" w:right="0" w:hanging="0"/>
              <w:rPr/>
            </w:pPr>
            <w:r>
              <w:rPr/>
              <w:t xml:space="preserve">  </w:t>
            </w:r>
          </w:p>
        </w:tc>
        <w:tc>
          <w:tcPr>
            <w:tcW w:w="5018" w:type="dxa"/>
            <w:tcBorders>
              <w:bottom w:val="single" w:sz="6" w:space="0" w:color="000000"/>
            </w:tcBorders>
            <w:shd w:fill="auto" w:val="clea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Position </w:t>
            </w:r>
          </w:p>
        </w:tc>
        <w:tc>
          <w:tcPr>
            <w:tcW w:w="128" w:type="dxa"/>
            <w:tcBorders/>
            <w:shd w:fill="auto" w:val="clear"/>
            <w:tcMar>
              <w:bottom w:w="0" w:type="dxa"/>
            </w:tcMar>
          </w:tcPr>
          <w:p>
            <w:pPr>
              <w:pStyle w:val="TableContents"/>
              <w:spacing w:before="0" w:after="0"/>
              <w:ind w:left="0" w:right="0" w:hanging="0"/>
              <w:rPr/>
            </w:pPr>
            <w:r>
              <w:rPr/>
              <w:t xml:space="preserve">  </w:t>
            </w:r>
          </w:p>
        </w:tc>
        <w:tc>
          <w:tcPr>
            <w:tcW w:w="2071" w:type="dxa"/>
            <w:tcBorders>
              <w:bottom w:val="single" w:sz="6" w:space="0" w:color="000000"/>
            </w:tcBorders>
            <w:shd w:fill="auto" w:val="clea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Director or Officer Since </w:t>
            </w:r>
          </w:p>
        </w:tc>
      </w:tr>
      <w:tr>
        <w:trPr/>
        <w:tc>
          <w:tcPr>
            <w:tcW w:w="2327"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Zeynep “Zee” Hakimoglu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4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66 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5018"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Chairman, Chief Executive Officer, and President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207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2006 </w:t>
            </w:r>
          </w:p>
        </w:tc>
      </w:tr>
      <w:tr>
        <w:trPr/>
        <w:tc>
          <w:tcPr>
            <w:tcW w:w="2327"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Larry R. Hendricks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4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77 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5018" w:type="dxa"/>
            <w:tcBorders/>
            <w:shd w:fill="auto" w:val="clear"/>
            <w:tcMar>
              <w:bottom w:w="0" w:type="dxa"/>
            </w:tcMar>
            <w:vAlign w:val="bottom"/>
          </w:tcPr>
          <w:p>
            <w:pPr>
              <w:pStyle w:val="TableContents"/>
              <w:pBdr/>
              <w:spacing w:before="0" w:after="0"/>
              <w:ind w:left="0" w:right="0" w:hanging="0"/>
              <w:rPr>
                <w:rFonts w:ascii="Times New Roman" w:hAnsi="Times New Roman"/>
              </w:rPr>
            </w:pPr>
            <w:r>
              <w:rPr>
                <w:rFonts w:ascii="Times New Roman" w:hAnsi="Times New Roman"/>
              </w:rPr>
              <w:t>Director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207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2003 </w:t>
            </w:r>
          </w:p>
        </w:tc>
      </w:tr>
      <w:tr>
        <w:trPr/>
        <w:tc>
          <w:tcPr>
            <w:tcW w:w="2327" w:type="dxa"/>
            <w:tcBorders/>
            <w:shd w:fill="auto" w:val="clear"/>
            <w:tcMar>
              <w:bottom w:w="0" w:type="dxa"/>
            </w:tcMar>
            <w:vAlign w:val="center"/>
          </w:tcPr>
          <w:p>
            <w:pPr>
              <w:pStyle w:val="TableContents"/>
              <w:widowControl/>
              <w:spacing w:before="0" w:after="0"/>
              <w:ind w:left="0" w:right="0" w:hanging="0"/>
              <w:rPr/>
            </w:pPr>
            <w:r>
              <w:rPr>
                <w:rFonts w:ascii="times new roman" w:hAnsi="times new roman"/>
                <w:b w:val="false"/>
                <w:i w:val="false"/>
                <w:caps w:val="false"/>
                <w:smallCaps w:val="false"/>
                <w:color w:val="000000"/>
                <w:spacing w:val="0"/>
                <w:sz w:val="20"/>
              </w:rPr>
              <w:t>Lisa B. </w:t>
            </w:r>
            <w:r>
              <w:rPr/>
              <w:t>Higley</w:t>
            </w:r>
          </w:p>
        </w:tc>
        <w:tc>
          <w:tcPr>
            <w:tcW w:w="128" w:type="dxa"/>
            <w:tcBorders/>
            <w:shd w:fill="auto" w:val="clear"/>
            <w:tcMar>
              <w:bottom w:w="0" w:type="dxa"/>
            </w:tcMar>
            <w:vAlign w:val="center"/>
          </w:tcPr>
          <w:p>
            <w:pPr>
              <w:pStyle w:val="TableContents"/>
              <w:spacing w:before="0" w:after="283"/>
              <w:ind w:left="0" w:right="0" w:hanging="0"/>
              <w:rPr/>
            </w:pPr>
            <w:r>
              <w:rPr/>
            </w:r>
          </w:p>
        </w:tc>
        <w:tc>
          <w:tcPr>
            <w:tcW w:w="405" w:type="dxa"/>
            <w:tcBorders/>
            <w:shd w:fill="auto" w:val="clear"/>
            <w:tcMar>
              <w:bottom w:w="0" w:type="dxa"/>
            </w:tcMar>
            <w:vAlign w:val="center"/>
          </w:tcPr>
          <w:p>
            <w:pPr>
              <w:pStyle w:val="TableContents"/>
              <w:widowControl/>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53</w:t>
            </w:r>
          </w:p>
        </w:tc>
        <w:tc>
          <w:tcPr>
            <w:tcW w:w="128" w:type="dxa"/>
            <w:tcBorders/>
            <w:shd w:fill="auto" w:val="clear"/>
            <w:tcMar>
              <w:bottom w:w="0" w:type="dxa"/>
            </w:tcMar>
            <w:vAlign w:val="center"/>
          </w:tcPr>
          <w:p>
            <w:pPr>
              <w:pStyle w:val="TableContents"/>
              <w:spacing w:before="0" w:after="283"/>
              <w:ind w:left="0" w:right="0" w:hanging="0"/>
              <w:rPr/>
            </w:pPr>
            <w:r>
              <w:rPr/>
            </w:r>
          </w:p>
        </w:tc>
        <w:tc>
          <w:tcPr>
            <w:tcW w:w="5018" w:type="dxa"/>
            <w:tcBorders/>
            <w:shd w:fill="auto" w:val="clear"/>
            <w:tcMar>
              <w:bottom w:w="0" w:type="dxa"/>
            </w:tcMar>
            <w:vAlign w:val="bottom"/>
          </w:tcPr>
          <w:p>
            <w:pPr>
              <w:pStyle w:val="TableContents"/>
              <w:spacing w:before="0" w:after="0"/>
              <w:ind w:left="0" w:right="0" w:hanging="0"/>
              <w:rPr/>
            </w:pPr>
            <w:r>
              <w:rPr/>
              <w:t>Director *</w:t>
            </w:r>
          </w:p>
        </w:tc>
        <w:tc>
          <w:tcPr>
            <w:tcW w:w="128" w:type="dxa"/>
            <w:tcBorders/>
            <w:shd w:fill="auto" w:val="clear"/>
            <w:tcMar>
              <w:bottom w:w="0" w:type="dxa"/>
            </w:tcMar>
            <w:vAlign w:val="center"/>
          </w:tcPr>
          <w:p>
            <w:pPr>
              <w:pStyle w:val="TableContents"/>
              <w:spacing w:before="0" w:after="283"/>
              <w:ind w:left="0" w:right="0" w:hanging="0"/>
              <w:rPr/>
            </w:pPr>
            <w:r>
              <w:rPr/>
            </w:r>
          </w:p>
        </w:tc>
        <w:tc>
          <w:tcPr>
            <w:tcW w:w="2071" w:type="dxa"/>
            <w:tcBorders/>
            <w:shd w:fill="auto" w:val="clear"/>
            <w:tcMar>
              <w:bottom w:w="0" w:type="dxa"/>
            </w:tcMar>
            <w:vAlign w:val="center"/>
          </w:tcPr>
          <w:p>
            <w:pPr>
              <w:pStyle w:val="TableContents"/>
              <w:spacing w:before="0" w:after="0"/>
              <w:ind w:left="0" w:right="0" w:hanging="0"/>
              <w:jc w:val="center"/>
              <w:rPr/>
            </w:pPr>
            <w:r>
              <w:rPr/>
              <w:t>2020</w:t>
            </w:r>
          </w:p>
        </w:tc>
      </w:tr>
      <w:tr>
        <w:trPr/>
        <w:tc>
          <w:tcPr>
            <w:tcW w:w="2327"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Eric L. Robinson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4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54 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5018" w:type="dxa"/>
            <w:tcBorders/>
            <w:shd w:fill="auto" w:val="clear"/>
            <w:tcMar>
              <w:bottom w:w="0" w:type="dxa"/>
            </w:tcMar>
            <w:vAlign w:val="bottom"/>
          </w:tcPr>
          <w:p>
            <w:pPr>
              <w:pStyle w:val="TableContents"/>
              <w:pBdr/>
              <w:spacing w:before="0" w:after="0"/>
              <w:ind w:left="0" w:right="0" w:hanging="0"/>
              <w:rPr>
                <w:rFonts w:ascii="Times New Roman" w:hAnsi="Times New Roman"/>
              </w:rPr>
            </w:pPr>
            <w:r>
              <w:rPr>
                <w:rFonts w:ascii="Times New Roman" w:hAnsi="Times New Roman"/>
              </w:rPr>
              <w:t>Director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2071" w:type="dxa"/>
            <w:tcBorders/>
            <w:shd w:fill="auto" w:val="clear"/>
            <w:tcMar>
              <w:bottom w:w="0" w:type="dxa"/>
            </w:tcMar>
            <w:vAlign w:val="center"/>
          </w:tcPr>
          <w:p>
            <w:pPr>
              <w:pStyle w:val="TableContents"/>
              <w:spacing w:before="0" w:after="0"/>
              <w:ind w:left="0" w:right="0" w:hanging="0"/>
              <w:jc w:val="center"/>
              <w:rPr/>
            </w:pPr>
            <w:r>
              <w:rPr/>
              <w:t>2015</w:t>
            </w:r>
          </w:p>
        </w:tc>
      </w:tr>
      <w:tr>
        <w:trPr/>
        <w:tc>
          <w:tcPr>
            <w:tcW w:w="2327"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Bruce Whaley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405" w:type="dxa"/>
            <w:tcBorders/>
            <w:shd w:fill="auto" w:val="clear"/>
            <w:tcMar>
              <w:bottom w:w="0" w:type="dxa"/>
            </w:tcMar>
            <w:vAlign w:val="center"/>
          </w:tcPr>
          <w:p>
            <w:pPr>
              <w:pStyle w:val="TableContents"/>
              <w:spacing w:before="0" w:after="0"/>
              <w:ind w:left="0" w:right="0" w:hanging="0"/>
              <w:jc w:val="center"/>
              <w:rPr/>
            </w:pPr>
            <w:r>
              <w:rPr/>
              <w:t> </w:t>
            </w:r>
            <w:r>
              <w:rPr>
                <w:rFonts w:ascii="Times New Roman" w:hAnsi="Times New Roman"/>
                <w:sz w:val="20"/>
              </w:rPr>
              <w:t>70  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5018" w:type="dxa"/>
            <w:tcBorders/>
            <w:shd w:fill="auto" w:val="clear"/>
            <w:tcMar>
              <w:bottom w:w="0" w:type="dxa"/>
            </w:tcMar>
            <w:vAlign w:val="bottom"/>
          </w:tcPr>
          <w:p>
            <w:pPr>
              <w:pStyle w:val="TableContents"/>
              <w:widowControl/>
              <w:pBdr/>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Director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207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2019 </w:t>
            </w:r>
          </w:p>
        </w:tc>
      </w:tr>
      <w:tr>
        <w:trPr/>
        <w:tc>
          <w:tcPr>
            <w:tcW w:w="2327"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Narsi Narayanan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4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50 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5018"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Senior Vice President of Finance and Corporate Secretary </w:t>
            </w:r>
          </w:p>
        </w:tc>
        <w:tc>
          <w:tcPr>
            <w:tcW w:w="128" w:type="dxa"/>
            <w:tcBorders/>
            <w:shd w:fill="auto" w:val="clear"/>
            <w:tcMar>
              <w:bottom w:w="0" w:type="dxa"/>
            </w:tcMar>
            <w:vAlign w:val="center"/>
          </w:tcPr>
          <w:p>
            <w:pPr>
              <w:pStyle w:val="TableContents"/>
              <w:spacing w:before="0" w:after="0"/>
              <w:ind w:left="0" w:right="0" w:hanging="0"/>
              <w:rPr/>
            </w:pPr>
            <w:r>
              <w:rPr/>
              <w:t xml:space="preserve">  </w:t>
            </w:r>
          </w:p>
        </w:tc>
        <w:tc>
          <w:tcPr>
            <w:tcW w:w="207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2009 </w:t>
            </w:r>
          </w:p>
        </w:tc>
      </w:tr>
    </w:tbl>
    <w:tbl>
      <w:tblPr>
        <w:tblW w:w="5000" w:type="pct"/>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0"/>
              <w:ind w:left="0" w:right="0" w:hanging="0"/>
              <w:rPr/>
            </w:pPr>
            <w:r>
              <w:rPr/>
              <w:t>*</w:t>
            </w:r>
          </w:p>
        </w:tc>
        <w:tc>
          <w:tcPr>
            <w:tcW w:w="1002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Member of the Audit and Compliance Committee, Compensation Committee and Nominating Committee </w:t>
            </w:r>
          </w:p>
        </w:tc>
      </w:tr>
    </w:tbl>
    <w:p>
      <w:pPr>
        <w:pStyle w:val="TextBody"/>
        <w:widowControl/>
        <w:spacing w:lineRule="auto" w:line="240"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lineRule="auto" w:line="240" w:before="0" w:after="0"/>
        <w:ind w:left="0" w:right="0" w:firstLine="720"/>
        <w:jc w:val="both"/>
        <w:rPr>
          <w:rFonts w:ascii="Times New Roman" w:hAnsi="Times New Roman"/>
          <w:sz w:val="16"/>
        </w:rPr>
      </w:pPr>
      <w:r>
        <w:rPr>
          <w:rFonts w:ascii="Times New Roman" w:hAnsi="Times New Roman"/>
          <w:b w:val="false"/>
          <w:i w:val="false"/>
          <w:caps w:val="false"/>
          <w:smallCaps w:val="false"/>
          <w:color w:val="000000"/>
          <w:spacing w:val="0"/>
          <w:sz w:val="20"/>
        </w:rPr>
        <w:t>Zee Hakimoglu</w:t>
      </w:r>
      <w:r>
        <w:rPr>
          <w:rFonts w:ascii="Times New Roman" w:hAnsi="Times New Roman"/>
          <w:caps w:val="false"/>
          <w:smallCaps w:val="false"/>
          <w:color w:val="000000"/>
          <w:spacing w:val="0"/>
          <w:sz w:val="16"/>
        </w:rPr>
        <w:t> </w:t>
      </w:r>
      <w:r>
        <w:rPr>
          <w:rFonts w:ascii="Times New Roman" w:hAnsi="Times New Roman"/>
          <w:b w:val="false"/>
          <w:i w:val="false"/>
          <w:caps w:val="false"/>
          <w:smallCaps w:val="false"/>
          <w:color w:val="000000"/>
          <w:spacing w:val="0"/>
          <w:sz w:val="20"/>
        </w:rPr>
        <w:t>is our President, Chief Executive Officer and Chairman. She joined our company in December 2003 as Vice President of Product Line Management with additional responsibility for Research &amp; Development and was 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a publicly traded developer of fiber optic subsystems and components, from December 2001 to December 2002; and, President of a manufacturer of fiber optic test equipment and components, from August 2000 to November 2001. From October 1998 to August 2000, she was Vice President of Business Development for Kaifa</w:t>
      </w:r>
      <w:r>
        <w:rPr>
          <w:rFonts w:ascii="Times New Roman" w:hAnsi="Times New Roman"/>
          <w:caps w:val="false"/>
          <w:smallCaps w:val="false"/>
          <w:color w:val="000000"/>
          <w:spacing w:val="0"/>
          <w:sz w:val="16"/>
        </w:rPr>
        <w:t> </w:t>
      </w:r>
      <w:r>
        <w:rPr>
          <w:rFonts w:ascii="Times New Roman" w:hAnsi="Times New Roman"/>
          <w:b w:val="false"/>
          <w:i w:val="false"/>
          <w:caps w:val="false"/>
          <w:smallCaps w:val="false"/>
          <w:color w:val="000000"/>
          <w:spacing w:val="0"/>
          <w:sz w:val="20"/>
        </w:rPr>
        <w:t>Technology and was instrumental in its acquisition by E-Tek Dynamics and later by JDS Uniphase. Through these acquisitions, she held the role of Deputy General Manager of the Kaifa</w:t>
      </w:r>
      <w:r>
        <w:rPr>
          <w:rFonts w:ascii="Times New Roman" w:hAnsi="Times New Roman"/>
          <w:caps w:val="false"/>
          <w:smallCaps w:val="false"/>
          <w:color w:val="000000"/>
          <w:spacing w:val="0"/>
          <w:sz w:val="16"/>
        </w:rPr>
        <w:t> </w:t>
      </w:r>
      <w:r>
        <w:rPr>
          <w:rFonts w:ascii="Times New Roman" w:hAnsi="Times New Roman"/>
          <w:b w:val="false"/>
          <w:i w:val="false"/>
          <w:caps w:val="false"/>
          <w:smallCaps w:val="false"/>
          <w:color w:val="000000"/>
          <w:spacing w:val="0"/>
          <w:sz w:val="20"/>
        </w:rPr>
        <w:t>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w:t>
      </w:r>
      <w:r>
        <w:rPr>
          <w:rFonts w:ascii="Times New Roman" w:hAnsi="Times New Roman"/>
          <w:caps w:val="false"/>
          <w:smallCaps w:val="false"/>
          <w:color w:val="000000"/>
          <w:spacing w:val="0"/>
          <w:sz w:val="16"/>
        </w:rPr>
        <w:t> </w:t>
      </w:r>
      <w:r>
        <w:rPr>
          <w:rFonts w:ascii="Times New Roman" w:hAnsi="Times New Roman"/>
          <w:b w:val="false"/>
          <w:i w:val="false"/>
          <w:caps w:val="false"/>
          <w:smallCaps w:val="false"/>
          <w:color w:val="000000"/>
          <w:spacing w:val="0"/>
          <w:sz w:val="20"/>
        </w:rPr>
        <w:t>Degree</w:t>
      </w:r>
      <w:r>
        <w:rPr>
          <w:rFonts w:ascii="Times New Roman" w:hAnsi="Times New Roman"/>
          <w:caps w:val="false"/>
          <w:smallCaps w:val="false"/>
          <w:color w:val="000000"/>
          <w:spacing w:val="0"/>
          <w:sz w:val="16"/>
        </w:rPr>
        <w:t> </w:t>
      </w:r>
      <w:r>
        <w:rPr>
          <w:rFonts w:ascii="Times New Roman" w:hAnsi="Times New Roman"/>
          <w:b w:val="false"/>
          <w:i w:val="false"/>
          <w:caps w:val="false"/>
          <w:smallCaps w:val="false"/>
          <w:color w:val="000000"/>
          <w:spacing w:val="0"/>
          <w:sz w:val="20"/>
        </w:rPr>
        <w:t>in Physics from Drexel University.</w:t>
      </w:r>
      <w:r>
        <w:rPr>
          <w:rFonts w:ascii="Times New Roman" w:hAnsi="Times New Roman"/>
          <w:sz w:val="16"/>
        </w:rPr>
        <w:t xml:space="preserve"> </w:t>
      </w:r>
    </w:p>
    <w:p>
      <w:pPr>
        <w:pStyle w:val="TextBody"/>
        <w:widowControl/>
        <w:spacing w:lineRule="auto" w:line="240" w:before="0" w:after="0"/>
        <w:ind w:left="0" w:right="0" w:firstLine="720"/>
        <w:jc w:val="both"/>
        <w:rPr>
          <w:b w:val="false"/>
          <w:i w:val="false"/>
          <w:caps w:val="false"/>
          <w:smallCaps w:val="false"/>
          <w:color w:val="000000"/>
          <w:spacing w:val="0"/>
          <w:sz w:val="20"/>
        </w:rPr>
      </w:pPr>
      <w:r>
        <w:rPr>
          <w:b w:val="false"/>
          <w:i w:val="false"/>
          <w:caps w:val="false"/>
          <w:smallCaps w:val="false"/>
          <w:color w:val="000000"/>
          <w:spacing w:val="0"/>
          <w:sz w:val="20"/>
        </w:rPr>
      </w:r>
    </w:p>
    <w:p>
      <w:pPr>
        <w:pStyle w:val="TextBody"/>
        <w:widowControl/>
        <w:spacing w:lineRule="auto" w:line="240" w:before="0" w:after="0"/>
        <w:ind w:left="0" w:right="0" w:firstLine="720"/>
        <w:jc w:val="both"/>
        <w:rPr/>
      </w:pPr>
      <w:r>
        <w:rPr>
          <w:b w:val="false"/>
          <w:i w:val="false"/>
          <w:caps w:val="false"/>
          <w:smallCaps w:val="false"/>
          <w:color w:val="000000"/>
          <w:spacing w:val="0"/>
          <w:sz w:val="20"/>
        </w:rPr>
        <w:t>Larry R. Hendricks</w:t>
      </w:r>
      <w:r>
        <w:rPr>
          <w:caps w:val="false"/>
          <w:smallCaps w:val="false"/>
          <w:color w:val="000000"/>
          <w:spacing w:val="0"/>
        </w:rPr>
        <w:t> </w:t>
      </w:r>
      <w:r>
        <w:rPr>
          <w:b w:val="false"/>
          <w:i w:val="false"/>
          <w:caps w:val="false"/>
          <w:smallCaps w:val="false"/>
          <w:color w:val="000000"/>
          <w:spacing w:val="0"/>
          <w:sz w:val="20"/>
        </w:rPr>
        <w:t>has served as a director of our company since June 2003. </w:t>
      </w:r>
      <w:r>
        <w:rPr>
          <w:caps w:val="false"/>
          <w:smallCaps w:val="false"/>
          <w:color w:val="000000"/>
          <w:spacing w:val="0"/>
        </w:rPr>
        <w:t> </w:t>
      </w:r>
      <w:r>
        <w:rPr>
          <w:b w:val="false"/>
          <w:i w:val="false"/>
          <w:caps w:val="false"/>
          <w:smallCaps w:val="false"/>
          <w:color w:val="000000"/>
          <w:spacing w:val="0"/>
          <w:sz w:val="20"/>
        </w:rPr>
        <w:t>Mr. Hendricks is a Certified Public Accountant who retired in December 2002 after serving as Vice President of Finance and General Manager of Daily Foods, Inc., a national meat processing company. </w:t>
      </w:r>
      <w:r>
        <w:rPr>
          <w:caps w:val="false"/>
          <w:smallCaps w:val="false"/>
          <w:color w:val="000000"/>
          <w:spacing w:val="0"/>
        </w:rPr>
        <w:t> </w:t>
      </w:r>
      <w:r>
        <w:rPr>
          <w:b w:val="false"/>
          <w:i w:val="false"/>
          <w:caps w:val="false"/>
          <w:smallCaps w:val="false"/>
          <w:color w:val="000000"/>
          <w:spacing w:val="0"/>
          <w:sz w:val="20"/>
        </w:rPr>
        <w:t>During his 30-year career in accounting, he served as a self-employed CPA and worked for the international accounting firm Peat Marwick &amp; Mitchell. </w:t>
      </w:r>
      <w:r>
        <w:rPr>
          <w:caps w:val="false"/>
          <w:smallCaps w:val="false"/>
          <w:color w:val="000000"/>
          <w:spacing w:val="0"/>
        </w:rPr>
        <w:t> </w:t>
      </w:r>
      <w:r>
        <w:rPr>
          <w:b w:val="false"/>
          <w:i w:val="false"/>
          <w:caps w:val="false"/>
          <w:smallCaps w:val="false"/>
          <w:color w:val="000000"/>
          <w:spacing w:val="0"/>
          <w:sz w:val="20"/>
        </w:rPr>
        <w:t>Mr. Hendricks has served on the boards of eight other organizations, including Tunex</w:t>
      </w:r>
      <w:r>
        <w:rPr>
          <w:caps w:val="false"/>
          <w:smallCaps w:val="false"/>
          <w:color w:val="000000"/>
          <w:spacing w:val="0"/>
        </w:rPr>
        <w:t> </w:t>
      </w:r>
      <w:r>
        <w:rPr>
          <w:b w:val="false"/>
          <w:i w:val="false"/>
          <w:caps w:val="false"/>
          <w:smallCaps w:val="false"/>
          <w:color w:val="000000"/>
          <w:spacing w:val="0"/>
          <w:sz w:val="20"/>
        </w:rPr>
        <w:t>International, Habitat for Humanity, Daily Foods, Skin Care International, and the National Advisory Board of the Huntsman College of Business at Utah State University. </w:t>
      </w:r>
      <w:r>
        <w:rPr>
          <w:caps w:val="false"/>
          <w:smallCaps w:val="false"/>
          <w:color w:val="000000"/>
          <w:spacing w:val="0"/>
        </w:rPr>
        <w:t> </w:t>
      </w:r>
      <w:r>
        <w:rPr>
          <w:b w:val="false"/>
          <w:i w:val="false"/>
          <w:caps w:val="false"/>
          <w:smallCaps w:val="false"/>
          <w:color w:val="000000"/>
          <w:spacing w:val="0"/>
          <w:sz w:val="20"/>
        </w:rPr>
        <w:t>He earned a Bachelor's Degree</w:t>
      </w:r>
      <w:r>
        <w:rPr>
          <w:caps w:val="false"/>
          <w:smallCaps w:val="false"/>
          <w:color w:val="000000"/>
          <w:spacing w:val="0"/>
        </w:rPr>
        <w:t> </w:t>
      </w:r>
      <w:r>
        <w:rPr>
          <w:b w:val="false"/>
          <w:i w:val="false"/>
          <w:caps w:val="false"/>
          <w:smallCaps w:val="false"/>
          <w:color w:val="000000"/>
          <w:spacing w:val="0"/>
          <w:sz w:val="20"/>
        </w:rPr>
        <w:t>in Accounting from Utah State University and a Master of Business Administration Degree from the University of Utah. </w:t>
      </w:r>
    </w:p>
    <w:p>
      <w:pPr>
        <w:pStyle w:val="TextBody"/>
        <w:widowControl/>
        <w:rPr>
          <w:rFonts w:ascii="Times New Roman" w:hAnsi="Times New Roman"/>
          <w:b/>
          <w:sz w:val="20"/>
        </w:rPr>
      </w:pPr>
      <w:r>
        <w:rPr>
          <w:rFonts w:ascii="Times New Roman" w:hAnsi="Times New Roman"/>
          <w:b/>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Lisa B. Higley </w:t>
      </w:r>
      <w:r>
        <w:rPr>
          <w:rFonts w:ascii="Times New Roman" w:hAnsi="Times New Roman"/>
          <w:b w:val="false"/>
          <w:i w:val="false"/>
          <w:caps w:val="false"/>
          <w:smallCaps w:val="false"/>
          <w:color w:val="000000"/>
          <w:spacing w:val="0"/>
          <w:sz w:val="20"/>
        </w:rPr>
        <w:t>was appointed a director of our company effective July 20, 2020. Ms. Higley has been self-employed as a CPA since June 2009. Previously, she was the CFO for Daisy D’s Paper 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44% of our issued and outstanding common stock.</w:t>
      </w:r>
    </w:p>
    <w:p>
      <w:pPr>
        <w:pStyle w:val="TextBody"/>
        <w:widowControl/>
        <w:spacing w:before="0" w:after="0"/>
        <w:ind w:left="0" w:right="0" w:hanging="0"/>
        <w:rPr>
          <w:rFonts w:ascii="Times New Roman" w:hAnsi="Times New Roman"/>
          <w:sz w:val="20"/>
        </w:rPr>
      </w:pPr>
      <w:r>
        <w:rPr>
          <w:rFonts w:ascii="Times New Roman" w:hAnsi="Times New Roman"/>
          <w:sz w:val="20"/>
        </w:rPr>
      </w:r>
    </w:p>
    <w:p>
      <w:pPr>
        <w:pStyle w:val="TextBody"/>
        <w:widowControl/>
        <w:spacing w:before="0" w:after="12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Eric. L Robinson has served as a director of our company since July 2015. Mr. Robinson spent fourteen years in private practice as a corporate attorney, including eleven years as a partner in the Salt Lake City, Utah law firm of Blackburn &amp; Stoll, LC. Mr. Robinson's law practice focused on securities, corporate and other business transactions. Since 2009, Mr. Robinson has been principally employed by MicroPower Global Limited, a company in the semiconductor business. At MicroPower, Mr. Robinson has acted as General Counsel, Chief Financial Officer and a director.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37</w:t>
            </w:r>
          </w:p>
        </w:tc>
      </w:tr>
    </w:tbl>
    <w:p>
      <w:pPr>
        <w:pStyle w:val="HorizontalLine"/>
        <w:spacing w:lineRule="auto" w:line="240"/>
        <w:rPr/>
      </w:pPr>
      <w:r>
        <w:rPr/>
      </w:r>
    </w:p>
    <w:p>
      <w:pPr>
        <w:pStyle w:val="TextBody"/>
        <w:spacing w:lineRule="auto" w:line="240"/>
        <w:jc w:val="left"/>
        <w:rPr/>
      </w:pPr>
      <w:hyperlink w:anchor="TOC">
        <w:r>
          <w:rPr>
            <w:rStyle w:val="InternetLink"/>
            <w:sz w:val="20"/>
          </w:rPr>
          <w:t>Table of Contents</w:t>
        </w:r>
      </w:hyperlink>
    </w:p>
    <w:p>
      <w:pPr>
        <w:pStyle w:val="TextBody"/>
        <w:spacing w:lineRule="auto" w:line="240" w:before="0" w:after="0"/>
        <w:ind w:left="0" w:right="0" w:firstLine="780"/>
        <w:jc w:val="both"/>
        <w:rPr>
          <w:rFonts w:ascii="Times New Roman" w:hAnsi="Times New Roman"/>
          <w:b/>
          <w:sz w:val="20"/>
        </w:rPr>
      </w:pPr>
      <w:r>
        <w:rPr>
          <w:rFonts w:ascii="Times New Roman" w:hAnsi="Times New Roman"/>
          <w:b/>
          <w:sz w:val="20"/>
        </w:rPr>
      </w:r>
    </w:p>
    <w:p>
      <w:pPr>
        <w:pStyle w:val="TextBody"/>
        <w:widowControl/>
        <w:spacing w:lineRule="auto" w:line="240"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pStyle w:val="TextBody"/>
        <w:widowControl/>
        <w:spacing w:lineRule="auto" w:line="240"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firstLine="720"/>
        <w:jc w:val="both"/>
        <w:rPr>
          <w:rFonts w:ascii="Times New Roman" w:hAnsi="Times New Roman"/>
          <w:b/>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Bruce Whaley was appointed a director of our company effective April 16, 2019. Mr. Whaley has extensive experience as a stock broker</w:t>
      </w:r>
      <w:r>
        <w:rPr>
          <w:rFonts w:ascii="Times New Roman" w:hAnsi="Times New Roman"/>
          <w:b/>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for nearly five decades. Mr. Whaley is currently a broker trading at Wilson &amp; Davis, a regional brokerage firm based in Salt Lake City, Utah. He has been with Wilson &amp; Davis since 1988. Mr.</w:t>
      </w:r>
      <w:r>
        <w:rPr>
          <w:rFonts w:ascii="Times New Roman" w:hAnsi="Times New Roman"/>
          <w:b/>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Whaley also holds a real estate license and works as a real estate agent for Coldwell Banker. Mr. Whaley attended</w:t>
      </w:r>
      <w:r>
        <w:rPr>
          <w:rFonts w:ascii="Times New Roman" w:hAnsi="Times New Roman"/>
          <w:b/>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University of Utah between 1968 and 1971 and studied many subjects including business administration, accounting and finance. He did not graduate with a degree. </w:t>
      </w:r>
    </w:p>
    <w:p>
      <w:pPr>
        <w:pStyle w:val="TextBody"/>
        <w:widowControl/>
        <w:spacing w:before="0" w:after="0"/>
        <w:ind w:left="0" w:right="0" w:hanging="0"/>
        <w:rPr>
          <w:rFonts w:ascii="Times New Roman" w:hAnsi="Times New Roman"/>
          <w:b/>
          <w:sz w:val="20"/>
        </w:rPr>
      </w:pPr>
      <w:r>
        <w:rPr>
          <w:rFonts w:ascii="Times New Roman" w:hAnsi="Times New Roman"/>
          <w:b/>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Narsi Narayanan</w:t>
      </w:r>
      <w:r>
        <w:rPr>
          <w:rFonts w:ascii="Times New Roman" w:hAnsi="Times New Roman"/>
          <w:b w:val="false"/>
          <w:i w:val="false"/>
          <w:caps w:val="false"/>
          <w:smallCaps w:val="false"/>
          <w:color w:val="000000"/>
          <w:spacing w:val="0"/>
          <w:sz w:val="20"/>
        </w:rPr>
        <w:t> (now serving as Senior Vice President of Finance) has served as our Vice President of Finance since July 2009 and has more than two 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pStyle w:val="TextBody"/>
        <w:widowControl/>
        <w:spacing w:lineRule="auto" w:line="240"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294"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16(a) Beneficial Ownership Reporting Compliance</w:t>
      </w:r>
    </w:p>
    <w:p>
      <w:pPr>
        <w:pStyle w:val="TextBody"/>
        <w:widowControl/>
        <w:spacing w:before="0" w:after="0"/>
        <w:ind w:left="104" w:right="294"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2019, we believe that each person who, at any time during such fiscal year was a director, officer, or beneficial owner of more than 10% of our common stock complied with all Section 16(a) filing requirements during such period, </w:t>
      </w:r>
      <w:r>
        <w:rPr>
          <w:rFonts w:ascii="Times New Roman" w:hAnsi="Times New Roman"/>
          <w:b w:val="false"/>
          <w:i w:val="false"/>
          <w:caps w:val="false"/>
          <w:smallCaps w:val="false"/>
          <w:color w:val="000000"/>
          <w:spacing w:val="0"/>
          <w:sz w:val="20"/>
        </w:rPr>
        <w:t>except for the following: Larry Hendricks, a director, filed one Form 4 late for one transaction; Bruce Whaley, a director, filed one Form 4 late for one transaction and Dallin E Bagley, a greater than 10% shareholder filed one Form 4 late for three transactions.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Code of Ethics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Board of Directors adopted a code of ethics that applies to our Board of Directors, executive officers, and employees.  The Company's Code of Ethics is posted on our website at www.clearone.com.</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Nomination Procedures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 changes have been made to the procedures by which our shareholders may recommend nominees to our Board of Directors.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Audit and Compliance Committee</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has a separate Audit and Compliance Committee and its members are Eric L. Robinson (Chairman), Larry R. Hendricks and Bruce Whaley. The Board of Directors has determined that Eric L. Robinson is an “audit committee financial expert” and each member is independent in accordance with applicable rules and regulations of NASDAQ and the SEC.</w:t>
      </w:r>
    </w:p>
    <w:p>
      <w:pPr>
        <w:pStyle w:val="TextBody"/>
        <w:widowControl/>
        <w:spacing w:lineRule="auto" w:line="240"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38</w:t>
            </w:r>
          </w:p>
        </w:tc>
      </w:tr>
    </w:tbl>
    <w:p>
      <w:pPr>
        <w:pStyle w:val="HorizontalLine"/>
        <w:spacing w:lineRule="auto" w:line="240"/>
        <w:rPr/>
      </w:pPr>
      <w:r>
        <w:rPr/>
      </w:r>
    </w:p>
    <w:p>
      <w:pPr>
        <w:pStyle w:val="TextBody"/>
        <w:spacing w:lineRule="auto" w:line="240"/>
        <w:jc w:val="left"/>
        <w:rPr/>
      </w:pPr>
      <w:hyperlink w:anchor="TOC">
        <w:r>
          <w:rPr>
            <w:rStyle w:val="InternetLink"/>
            <w:sz w:val="20"/>
          </w:rPr>
          <w:t>Table of Contents</w:t>
        </w:r>
      </w:hyperlink>
    </w:p>
    <w:p>
      <w:pPr>
        <w:pStyle w:val="TextBody"/>
        <w:spacing w:lineRule="auto" w:line="240" w:before="0" w:after="0"/>
        <w:ind w:left="0" w:right="0" w:hanging="0"/>
        <w:rPr/>
      </w:pPr>
      <w:r>
        <w:rPr/>
        <w:t> </w:t>
      </w:r>
    </w:p>
    <w:p>
      <w:pPr>
        <w:pStyle w:val="TextBody"/>
        <w:spacing w:lineRule="auto" w:line="240"/>
        <w:ind w:left="0" w:right="0" w:hanging="0"/>
        <w:jc w:val="both"/>
        <w:rPr/>
      </w:pPr>
      <w:hyperlink r:id="rId24">
        <w:r>
          <w:rPr>
            <w:rStyle w:val="VisitedInternetLink"/>
            <w:rFonts w:ascii="Times New Roman" w:hAnsi="Times New Roman"/>
            <w:b/>
            <w:strike w:val="false"/>
            <w:dstrike w:val="false"/>
            <w:color w:val="000000"/>
            <w:sz w:val="20"/>
            <w:u w:val="none"/>
            <w:effect w:val="none"/>
          </w:rPr>
          <w:t>ITEM 11. EXECUTIVE COMPENSATION</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EXECUTIVE COMPENSATION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following table sets forth the compensation paid or earned by each named executive officer for the years ended December 31, 2020 and 2019.</w:t>
      </w:r>
    </w:p>
    <w:p>
      <w:pPr>
        <w:pStyle w:val="TextBody"/>
        <w:spacing w:lineRule="auto" w:line="240" w:before="0" w:after="0"/>
        <w:ind w:left="0" w:right="0" w:hanging="0"/>
        <w:rPr>
          <w:rFonts w:ascii="Times New Roman" w:hAnsi="Times New Roman"/>
          <w:sz w:val="20"/>
        </w:rPr>
      </w:pPr>
      <w:r>
        <w:rPr>
          <w:rFonts w:ascii="Times New Roman" w:hAnsi="Times New Roman"/>
          <w:sz w:val="20"/>
        </w:rPr>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SUMMARY COMPENSATION TABLE</w:t>
      </w:r>
    </w:p>
    <w:p>
      <w:pPr>
        <w:pStyle w:val="TextBody"/>
        <w:spacing w:lineRule="auto" w:line="240" w:before="0" w:after="0"/>
        <w:ind w:left="294" w:right="294" w:hanging="0"/>
        <w:jc w:val="center"/>
        <w:rPr/>
      </w:pPr>
      <w:r>
        <w:rPr/>
        <w:t> </w:t>
      </w:r>
    </w:p>
    <w:tbl>
      <w:tblPr>
        <w:tblW w:w="5000" w:type="pct"/>
        <w:jc w:val="left"/>
        <w:tblInd w:w="0" w:type="dxa"/>
        <w:tblCellMar>
          <w:top w:w="0" w:type="dxa"/>
          <w:left w:w="0" w:type="dxa"/>
          <w:bottom w:w="28" w:type="dxa"/>
          <w:right w:w="0" w:type="dxa"/>
        </w:tblCellMar>
      </w:tblPr>
      <w:tblGrid>
        <w:gridCol w:w="2866"/>
        <w:gridCol w:w="87"/>
        <w:gridCol w:w="145"/>
        <w:gridCol w:w="715"/>
        <w:gridCol w:w="87"/>
        <w:gridCol w:w="87"/>
        <w:gridCol w:w="219"/>
        <w:gridCol w:w="846"/>
        <w:gridCol w:w="87"/>
        <w:gridCol w:w="87"/>
        <w:gridCol w:w="691"/>
        <w:gridCol w:w="1444"/>
        <w:gridCol w:w="87"/>
        <w:gridCol w:w="87"/>
        <w:gridCol w:w="492"/>
        <w:gridCol w:w="1026"/>
        <w:gridCol w:w="87"/>
        <w:gridCol w:w="87"/>
        <w:gridCol w:w="145"/>
        <w:gridCol w:w="715"/>
        <w:gridCol w:w="118"/>
      </w:tblGrid>
      <w:tr>
        <w:trPr/>
        <w:tc>
          <w:tcPr>
            <w:tcW w:w="2866"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Name and Principal Position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60"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Salary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065" w:type="dxa"/>
            <w:gridSpan w:val="2"/>
            <w:tcBorders>
              <w:bottom w:val="single" w:sz="6" w:space="0" w:color="000000"/>
            </w:tcBorders>
            <w:shd w:fill="auto" w:val="clear"/>
            <w:vAlign w:val="center"/>
          </w:tcPr>
          <w:p>
            <w:pPr>
              <w:pStyle w:val="TableContents"/>
              <w:widowControl/>
              <w:spacing w:before="0" w:after="0"/>
              <w:ind w:left="0" w:right="0" w:hanging="0"/>
              <w:jc w:val="center"/>
              <w:rPr>
                <w:rFonts w:ascii="Times New Roman" w:hAnsi="Times New Roman"/>
                <w:b/>
                <w:sz w:val="18"/>
              </w:rPr>
            </w:pPr>
            <w:r>
              <w:rPr>
                <w:rFonts w:ascii="Times New Roman" w:hAnsi="Times New Roman"/>
                <w:b/>
                <w:sz w:val="18"/>
              </w:rPr>
              <w:t>Option Awards</w:t>
            </w:r>
            <w:r>
              <w:rPr>
                <w:rFonts w:ascii="Times New Roman" w:hAnsi="Times New Roman"/>
                <w:b w:val="false"/>
                <w:i w:val="false"/>
                <w:caps w:val="false"/>
                <w:smallCaps w:val="false"/>
                <w:color w:val="000000"/>
                <w:spacing w:val="0"/>
                <w:sz w:val="17"/>
              </w:rPr>
              <w:t>(1)</w:t>
            </w:r>
            <w:r>
              <w:rPr>
                <w:rFonts w:ascii="Times New Roman" w:hAnsi="Times New Roman"/>
                <w:b/>
                <w:sz w:val="18"/>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2135"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Non-Equity Incentive Plan Compensation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518" w:type="dxa"/>
            <w:gridSpan w:val="2"/>
            <w:tcBorders>
              <w:bottom w:val="single" w:sz="6" w:space="0" w:color="000000"/>
            </w:tcBorders>
            <w:shd w:fill="auto" w:val="clear"/>
            <w:vAlign w:val="center"/>
          </w:tcPr>
          <w:p>
            <w:pPr>
              <w:pStyle w:val="TableContents"/>
              <w:spacing w:before="0" w:after="0"/>
              <w:ind w:left="0" w:right="0" w:hanging="0"/>
              <w:jc w:val="center"/>
              <w:rPr>
                <w:b/>
                <w:sz w:val="18"/>
              </w:rPr>
            </w:pPr>
            <w:r>
              <w:rPr>
                <w:b/>
                <w:sz w:val="18"/>
              </w:rPr>
              <w:t xml:space="preserve">All Other Compensation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60"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Total </w:t>
            </w:r>
          </w:p>
        </w:tc>
        <w:tc>
          <w:tcPr>
            <w:tcW w:w="118" w:type="dxa"/>
            <w:tcBorders/>
            <w:shd w:fill="auto" w:val="clear"/>
            <w:tcMar>
              <w:bottom w:w="0" w:type="dxa"/>
            </w:tcMar>
            <w:vAlign w:val="center"/>
          </w:tcPr>
          <w:p>
            <w:pPr>
              <w:pStyle w:val="TableContents"/>
              <w:spacing w:before="0" w:after="0"/>
              <w:ind w:left="0" w:right="0" w:hanging="0"/>
              <w:rPr/>
            </w:pPr>
            <w:r>
              <w:rPr/>
              <w:t xml:space="preserve">  </w:t>
            </w:r>
          </w:p>
        </w:tc>
      </w:tr>
      <w:tr>
        <w:trPr/>
        <w:tc>
          <w:tcPr>
            <w:tcW w:w="2866" w:type="dxa"/>
            <w:tcBorders/>
            <w:shd w:fill="auto" w:val="clear"/>
            <w:tcMar>
              <w:bottom w:w="0" w:type="dxa"/>
            </w:tcM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 xml:space="preserve">Zeynep Hakimoglu - Chief Executive Officer and President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715"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219" w:type="dxa"/>
            <w:tcBorders/>
            <w:shd w:fill="auto" w:val="clear"/>
            <w:tcMar>
              <w:bottom w:w="0" w:type="dxa"/>
            </w:tcMar>
            <w:vAlign w:val="center"/>
          </w:tcPr>
          <w:p>
            <w:pPr>
              <w:pStyle w:val="TableContents"/>
              <w:spacing w:before="0" w:after="0"/>
              <w:ind w:left="0" w:right="0" w:hanging="0"/>
              <w:rPr/>
            </w:pPr>
            <w:r>
              <w:rPr/>
              <w:t xml:space="preserve">  </w:t>
            </w:r>
          </w:p>
        </w:tc>
        <w:tc>
          <w:tcPr>
            <w:tcW w:w="846"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691" w:type="dxa"/>
            <w:tcBorders/>
            <w:shd w:fill="auto" w:val="clear"/>
            <w:tcMar>
              <w:bottom w:w="0" w:type="dxa"/>
            </w:tcMar>
            <w:vAlign w:val="center"/>
          </w:tcPr>
          <w:p>
            <w:pPr>
              <w:pStyle w:val="TableContents"/>
              <w:spacing w:before="0" w:after="0"/>
              <w:ind w:left="0" w:right="0" w:hanging="0"/>
              <w:rPr/>
            </w:pPr>
            <w:r>
              <w:rPr/>
              <w:t xml:space="preserve">  </w:t>
            </w:r>
          </w:p>
        </w:tc>
        <w:tc>
          <w:tcPr>
            <w:tcW w:w="1444"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492" w:type="dxa"/>
            <w:tcBorders/>
            <w:shd w:fill="auto" w:val="clear"/>
            <w:tcMar>
              <w:bottom w:w="0" w:type="dxa"/>
            </w:tcMar>
            <w:vAlign w:val="center"/>
          </w:tcPr>
          <w:p>
            <w:pPr>
              <w:pStyle w:val="TableContents"/>
              <w:spacing w:before="0" w:after="0"/>
              <w:ind w:left="0" w:right="0" w:hanging="0"/>
              <w:rPr/>
            </w:pPr>
            <w:r>
              <w:rPr/>
              <w:t xml:space="preserve">  </w:t>
            </w:r>
          </w:p>
        </w:tc>
        <w:tc>
          <w:tcPr>
            <w:tcW w:w="1026"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715" w:type="dxa"/>
            <w:tcBorders/>
            <w:shd w:fill="auto" w:val="clear"/>
            <w:tcMar>
              <w:bottom w:w="0" w:type="dxa"/>
            </w:tcMar>
            <w:vAlign w:val="center"/>
          </w:tcPr>
          <w:p>
            <w:pPr>
              <w:pStyle w:val="TableContents"/>
              <w:spacing w:before="0" w:after="0"/>
              <w:ind w:left="0" w:right="0" w:hanging="0"/>
              <w:rPr/>
            </w:pPr>
            <w:r>
              <w:rPr/>
              <w:t xml:space="preserve">  </w:t>
            </w:r>
          </w:p>
        </w:tc>
        <w:tc>
          <w:tcPr>
            <w:tcW w:w="118" w:type="dxa"/>
            <w:tcBorders/>
            <w:shd w:fill="auto" w:val="clear"/>
            <w:tcMar>
              <w:bottom w:w="0" w:type="dxa"/>
            </w:tcMar>
            <w:vAlign w:val="center"/>
          </w:tcPr>
          <w:p>
            <w:pPr>
              <w:pStyle w:val="TableContents"/>
              <w:spacing w:before="0" w:after="0"/>
              <w:ind w:left="0" w:right="0" w:hanging="0"/>
              <w:rPr/>
            </w:pPr>
            <w:r>
              <w:rPr/>
              <w:t xml:space="preserve">  </w:t>
            </w:r>
          </w:p>
        </w:tc>
      </w:tr>
      <w:tr>
        <w:trPr/>
        <w:tc>
          <w:tcPr>
            <w:tcW w:w="286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Year ended December 31, 2020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5"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355,000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219"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6"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68,500</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691"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44"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492"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26"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5"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423,500 </w:t>
            </w:r>
          </w:p>
        </w:tc>
        <w:tc>
          <w:tcPr>
            <w:tcW w:w="118" w:type="dxa"/>
            <w:tcBorders/>
            <w:shd w:fill="auto" w:val="clear"/>
            <w:tcMar>
              <w:bottom w:w="0" w:type="dxa"/>
            </w:tcMar>
            <w:vAlign w:val="center"/>
          </w:tcPr>
          <w:p>
            <w:pPr>
              <w:pStyle w:val="TableContents"/>
              <w:spacing w:before="0" w:after="0"/>
              <w:ind w:left="0" w:right="0" w:hanging="0"/>
              <w:rPr/>
            </w:pPr>
            <w:r>
              <w:rPr/>
              <w:t xml:space="preserve">  </w:t>
            </w:r>
          </w:p>
        </w:tc>
      </w:tr>
      <w:tr>
        <w:trPr/>
        <w:tc>
          <w:tcPr>
            <w:tcW w:w="286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Year ended December 31, 2019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5"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355,000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219"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6"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691"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44"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492"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26"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5"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355,000 </w:t>
            </w:r>
          </w:p>
        </w:tc>
        <w:tc>
          <w:tcPr>
            <w:tcW w:w="118" w:type="dxa"/>
            <w:tcBorders/>
            <w:shd w:fill="auto" w:val="clear"/>
            <w:tcMar>
              <w:bottom w:w="0" w:type="dxa"/>
            </w:tcMar>
            <w:vAlign w:val="center"/>
          </w:tcPr>
          <w:p>
            <w:pPr>
              <w:pStyle w:val="TableContents"/>
              <w:spacing w:before="0" w:after="0"/>
              <w:ind w:left="0" w:right="0" w:hanging="0"/>
              <w:rPr/>
            </w:pPr>
            <w:r>
              <w:rPr/>
              <w:t xml:space="preserve">  </w:t>
            </w:r>
          </w:p>
        </w:tc>
      </w:tr>
      <w:tr>
        <w:trPr/>
        <w:tc>
          <w:tcPr>
            <w:tcW w:w="2866" w:type="dxa"/>
            <w:tcBorders/>
            <w:shd w:fill="auto" w:val="clear"/>
            <w:tcMar>
              <w:bottom w:w="0" w:type="dxa"/>
            </w:tcM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 xml:space="preserve">Narsi Narayanan - Senior Vice President of Finance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715"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219" w:type="dxa"/>
            <w:tcBorders/>
            <w:shd w:fill="auto" w:val="clear"/>
            <w:tcMar>
              <w:bottom w:w="0" w:type="dxa"/>
            </w:tcMar>
            <w:vAlign w:val="center"/>
          </w:tcPr>
          <w:p>
            <w:pPr>
              <w:pStyle w:val="TableContents"/>
              <w:spacing w:before="0" w:after="0"/>
              <w:ind w:left="0" w:right="0" w:hanging="0"/>
              <w:rPr/>
            </w:pPr>
            <w:r>
              <w:rPr/>
              <w:t xml:space="preserve">  </w:t>
            </w:r>
          </w:p>
        </w:tc>
        <w:tc>
          <w:tcPr>
            <w:tcW w:w="846"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691" w:type="dxa"/>
            <w:tcBorders/>
            <w:shd w:fill="auto" w:val="clear"/>
            <w:tcMar>
              <w:bottom w:w="0" w:type="dxa"/>
            </w:tcMar>
            <w:vAlign w:val="center"/>
          </w:tcPr>
          <w:p>
            <w:pPr>
              <w:pStyle w:val="TableContents"/>
              <w:spacing w:before="0" w:after="0"/>
              <w:ind w:left="0" w:right="0" w:hanging="0"/>
              <w:rPr/>
            </w:pPr>
            <w:r>
              <w:rPr/>
              <w:t xml:space="preserve">  </w:t>
            </w:r>
          </w:p>
        </w:tc>
        <w:tc>
          <w:tcPr>
            <w:tcW w:w="1444"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492" w:type="dxa"/>
            <w:tcBorders/>
            <w:shd w:fill="auto" w:val="clear"/>
            <w:tcMar>
              <w:bottom w:w="0" w:type="dxa"/>
            </w:tcMar>
            <w:vAlign w:val="center"/>
          </w:tcPr>
          <w:p>
            <w:pPr>
              <w:pStyle w:val="TableContents"/>
              <w:spacing w:before="0" w:after="0"/>
              <w:ind w:left="0" w:right="0" w:hanging="0"/>
              <w:rPr/>
            </w:pPr>
            <w:r>
              <w:rPr/>
              <w:t xml:space="preserve">  </w:t>
            </w:r>
          </w:p>
        </w:tc>
        <w:tc>
          <w:tcPr>
            <w:tcW w:w="1026"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715" w:type="dxa"/>
            <w:tcBorders/>
            <w:shd w:fill="auto" w:val="clear"/>
            <w:tcMar>
              <w:bottom w:w="0" w:type="dxa"/>
            </w:tcMar>
            <w:vAlign w:val="center"/>
          </w:tcPr>
          <w:p>
            <w:pPr>
              <w:pStyle w:val="TableContents"/>
              <w:spacing w:before="0" w:after="0"/>
              <w:ind w:left="0" w:right="0" w:hanging="0"/>
              <w:rPr/>
            </w:pPr>
            <w:r>
              <w:rPr/>
              <w:t xml:space="preserve">  </w:t>
            </w:r>
          </w:p>
        </w:tc>
        <w:tc>
          <w:tcPr>
            <w:tcW w:w="118" w:type="dxa"/>
            <w:tcBorders/>
            <w:shd w:fill="auto" w:val="clear"/>
            <w:tcMar>
              <w:bottom w:w="0" w:type="dxa"/>
            </w:tcMar>
            <w:vAlign w:val="center"/>
          </w:tcPr>
          <w:p>
            <w:pPr>
              <w:pStyle w:val="TableContents"/>
              <w:spacing w:before="0" w:after="0"/>
              <w:ind w:left="0" w:right="0" w:hanging="0"/>
              <w:rPr/>
            </w:pPr>
            <w:r>
              <w:rPr/>
              <w:t xml:space="preserve">  </w:t>
            </w:r>
          </w:p>
        </w:tc>
      </w:tr>
      <w:tr>
        <w:trPr/>
        <w:tc>
          <w:tcPr>
            <w:tcW w:w="286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Year ended December 31, 2020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5"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196,500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219"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6"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41,100</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691"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44"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492"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26"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5"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237,600 </w:t>
            </w:r>
          </w:p>
        </w:tc>
        <w:tc>
          <w:tcPr>
            <w:tcW w:w="118" w:type="dxa"/>
            <w:tcBorders/>
            <w:shd w:fill="auto" w:val="clear"/>
            <w:tcMar>
              <w:bottom w:w="0" w:type="dxa"/>
            </w:tcMar>
            <w:vAlign w:val="center"/>
          </w:tcPr>
          <w:p>
            <w:pPr>
              <w:pStyle w:val="TableContents"/>
              <w:spacing w:before="0" w:after="0"/>
              <w:ind w:left="0" w:right="0" w:hanging="0"/>
              <w:rPr/>
            </w:pPr>
            <w:r>
              <w:rPr/>
              <w:t xml:space="preserve">  </w:t>
            </w:r>
          </w:p>
        </w:tc>
      </w:tr>
      <w:tr>
        <w:trPr/>
        <w:tc>
          <w:tcPr>
            <w:tcW w:w="286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Year ended December 31, 2019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5"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196,500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219"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6"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691"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44"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492"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26" w:type="dxa"/>
            <w:tcBorders/>
            <w:shd w:fill="auto" w:val="clear"/>
            <w:tcMar>
              <w:bottom w:w="0" w:type="dxa"/>
            </w:tcMar>
            <w:vAlign w:val="center"/>
          </w:tcPr>
          <w:p>
            <w:pPr>
              <w:pStyle w:val="TableContents"/>
              <w:spacing w:before="0" w:after="0"/>
              <w:ind w:left="0" w:right="0" w:hanging="0"/>
              <w:jc w:val="right"/>
              <w:rPr/>
            </w:pPr>
            <w:r>
              <w:rPr/>
              <w:t>—</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87" w:type="dxa"/>
            <w:tcBorders/>
            <w:shd w:fill="auto" w:val="clear"/>
            <w:tcMar>
              <w:bottom w:w="0" w:type="dxa"/>
            </w:tcMar>
            <w:vAlign w:val="center"/>
          </w:tcPr>
          <w:p>
            <w:pPr>
              <w:pStyle w:val="TableContents"/>
              <w:spacing w:before="0" w:after="0"/>
              <w:ind w:left="0" w:right="0" w:hanging="0"/>
              <w:rPr/>
            </w:pPr>
            <w:r>
              <w:rPr/>
              <w:t xml:space="preserve">  </w:t>
            </w:r>
          </w:p>
        </w:tc>
        <w:tc>
          <w:tcPr>
            <w:tcW w:w="14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5"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196,500 </w:t>
            </w:r>
          </w:p>
        </w:tc>
        <w:tc>
          <w:tcPr>
            <w:tcW w:w="118" w:type="dxa"/>
            <w:tcBorders/>
            <w:shd w:fill="auto" w:val="clear"/>
            <w:tcMar>
              <w:bottom w:w="0" w:type="dxa"/>
            </w:tcMar>
            <w:vAlign w:val="center"/>
          </w:tcPr>
          <w:p>
            <w:pPr>
              <w:pStyle w:val="TableContents"/>
              <w:spacing w:before="0" w:after="0"/>
              <w:ind w:left="0" w:right="0" w:hanging="0"/>
              <w:rPr/>
            </w:pPr>
            <w:r>
              <w:rPr/>
              <w:t xml:space="preserve">  </w:t>
            </w:r>
          </w:p>
        </w:tc>
      </w:tr>
    </w:tbl>
    <w:p>
      <w:pPr>
        <w:pStyle w:val="TextBody"/>
        <w:spacing w:lineRule="auto" w:line="240" w:before="0" w:after="0"/>
        <w:ind w:left="294" w:right="294" w:hanging="0"/>
        <w:jc w:val="both"/>
        <w:rPr/>
      </w:pPr>
      <w:r>
        <w:rPr/>
        <w:t> </w:t>
      </w:r>
    </w:p>
    <w:tbl>
      <w:tblPr>
        <w:tblW w:w="5000" w:type="pct"/>
        <w:jc w:val="left"/>
        <w:tblInd w:w="0" w:type="dxa"/>
        <w:tblCellMar>
          <w:top w:w="0" w:type="dxa"/>
          <w:left w:w="0" w:type="dxa"/>
          <w:bottom w:w="0" w:type="dxa"/>
          <w:right w:w="0" w:type="dxa"/>
        </w:tblCellMar>
      </w:tblPr>
      <w:tblGrid>
        <w:gridCol w:w="83"/>
        <w:gridCol w:w="202"/>
        <w:gridCol w:w="9920"/>
      </w:tblGrid>
      <w:tr>
        <w:trPr/>
        <w:tc>
          <w:tcPr>
            <w:tcW w:w="83" w:type="dxa"/>
            <w:tcBorders/>
            <w:shd w:fill="auto" w:val="clear"/>
            <w:vAlign w:val="center"/>
          </w:tcPr>
          <w:p>
            <w:pPr>
              <w:pStyle w:val="TableContents"/>
              <w:spacing w:before="0" w:after="0"/>
              <w:ind w:left="0" w:right="0" w:hanging="0"/>
              <w:rPr/>
            </w:pPr>
            <w:r>
              <w:rPr/>
              <w:t xml:space="preserve">  </w:t>
            </w:r>
          </w:p>
        </w:tc>
        <w:tc>
          <w:tcPr>
            <w:tcW w:w="20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 </w:t>
            </w:r>
          </w:p>
        </w:tc>
        <w:tc>
          <w:tcPr>
            <w:tcW w:w="9920" w:type="dxa"/>
            <w:tcBorders/>
            <w:shd w:fill="auto" w:val="clear"/>
            <w:vAlign w:val="center"/>
          </w:tcPr>
          <w:p>
            <w:pPr>
              <w:pStyle w:val="TableContents"/>
              <w:spacing w:before="0" w:after="0"/>
              <w:ind w:left="0" w:right="0" w:hanging="0"/>
              <w:jc w:val="both"/>
              <w:rPr/>
            </w:pPr>
            <w:r>
              <w:rPr/>
              <w:t xml:space="preserve">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and the material terms of option awards are disclosed in </w:t>
            </w:r>
            <w:hyperlink w:anchor="Note 10 - Stock Based Comp">
              <w:r>
                <w:rPr>
                  <w:rStyle w:val="InternetLink"/>
                </w:rPr>
                <w:t xml:space="preserve">Note </w:t>
              </w:r>
            </w:hyperlink>
            <w:r>
              <w:rPr/>
              <w:t>10</w:t>
            </w:r>
            <w:hyperlink w:anchor="Note 10 - Stock Based Comp">
              <w:r>
                <w:rPr>
                  <w:rStyle w:val="InternetLink"/>
                </w:rPr>
                <w:t xml:space="preserve"> - Share-Based Compensation</w:t>
              </w:r>
            </w:hyperlink>
            <w:r>
              <w:rPr/>
              <w:t xml:space="preserve"> in our Notes to Consolidated Financial Statements included in Part IV of this Form 10-K. </w:t>
            </w:r>
          </w:p>
        </w:tc>
      </w:tr>
    </w:tbl>
    <w:p>
      <w:pPr>
        <w:pStyle w:val="TextBody"/>
        <w:widowControl/>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OUTSTANDING EQUITY AWARDS AT FISCAL YEAR-END</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following table provides information on the holdings of stock options by the named executive officers as of December 31, 2020.</w:t>
      </w:r>
    </w:p>
    <w:p>
      <w:pPr>
        <w:pStyle w:val="TextBody"/>
        <w:widowControl/>
        <w:spacing w:before="0" w:after="0"/>
        <w:ind w:left="294" w:right="294" w:hanging="0"/>
        <w:rPr>
          <w:caps w:val="false"/>
          <w:smallCaps w:val="false"/>
          <w:color w:val="000000"/>
          <w:spacing w:val="0"/>
        </w:rPr>
      </w:pPr>
      <w:r>
        <w:rPr>
          <w:caps w:val="false"/>
          <w:smallCaps w:val="false"/>
          <w:color w:val="000000"/>
          <w:spacing w:val="0"/>
        </w:rPr>
        <w:t> </w:t>
      </w:r>
    </w:p>
    <w:tbl>
      <w:tblPr>
        <w:tblW w:w="5000" w:type="pct"/>
        <w:jc w:val="left"/>
        <w:tblInd w:w="0" w:type="dxa"/>
        <w:tblCellMar>
          <w:top w:w="0" w:type="dxa"/>
          <w:left w:w="0" w:type="dxa"/>
          <w:bottom w:w="0" w:type="dxa"/>
          <w:right w:w="0" w:type="dxa"/>
        </w:tblCellMar>
      </w:tblPr>
      <w:tblGrid>
        <w:gridCol w:w="1654"/>
        <w:gridCol w:w="60"/>
        <w:gridCol w:w="163"/>
        <w:gridCol w:w="1402"/>
        <w:gridCol w:w="137"/>
        <w:gridCol w:w="137"/>
        <w:gridCol w:w="163"/>
        <w:gridCol w:w="1646"/>
        <w:gridCol w:w="60"/>
        <w:gridCol w:w="60"/>
        <w:gridCol w:w="146"/>
        <w:gridCol w:w="1439"/>
        <w:gridCol w:w="60"/>
        <w:gridCol w:w="60"/>
        <w:gridCol w:w="69"/>
        <w:gridCol w:w="1168"/>
        <w:gridCol w:w="60"/>
        <w:gridCol w:w="60"/>
        <w:gridCol w:w="83"/>
        <w:gridCol w:w="1496"/>
        <w:gridCol w:w="82"/>
      </w:tblGrid>
      <w:tr>
        <w:trPr/>
        <w:tc>
          <w:tcPr>
            <w:tcW w:w="1654" w:type="dxa"/>
            <w:vMerge w:val="restart"/>
            <w:tcBorders/>
            <w:shd w:fill="auto" w:val="clear"/>
          </w:tcPr>
          <w:p>
            <w:pPr>
              <w:pStyle w:val="TableContents"/>
              <w:widowControl/>
              <w:spacing w:before="0" w:after="283"/>
              <w:ind w:left="0" w:right="0" w:hanging="0"/>
              <w:jc w:val="center"/>
              <w:rPr>
                <w:rFonts w:ascii="Times New Roman" w:hAnsi="Times New Roman"/>
                <w:b/>
                <w:i w:val="false"/>
                <w:caps w:val="false"/>
                <w:smallCaps w:val="false"/>
                <w:color w:val="000000"/>
                <w:spacing w:val="0"/>
                <w:sz w:val="18"/>
              </w:rPr>
            </w:pPr>
            <w:r>
              <w:rPr>
                <w:rFonts w:ascii="Times New Roman" w:hAnsi="Times New Roman"/>
                <w:b/>
                <w:i w:val="false"/>
                <w:caps w:val="false"/>
                <w:smallCaps w:val="false"/>
                <w:color w:val="000000"/>
                <w:spacing w:val="0"/>
                <w:sz w:val="18"/>
              </w:rPr>
              <w:t>Name</w:t>
            </w:r>
          </w:p>
        </w:tc>
        <w:tc>
          <w:tcPr>
            <w:tcW w:w="60" w:type="dxa"/>
            <w:vMerge w:val="restart"/>
            <w:tcBorders/>
            <w:shd w:fill="auto" w:val="clear"/>
          </w:tcPr>
          <w:p>
            <w:pPr>
              <w:pStyle w:val="TableContents"/>
              <w:spacing w:before="0" w:after="0"/>
              <w:ind w:left="0" w:right="0" w:hanging="0"/>
              <w:rPr/>
            </w:pPr>
            <w:r>
              <w:rPr/>
              <w:t> </w:t>
            </w:r>
          </w:p>
          <w:p>
            <w:pPr>
              <w:pStyle w:val="TableContents"/>
              <w:spacing w:before="0" w:after="283"/>
              <w:rPr/>
            </w:pPr>
            <w:r>
              <w:rPr/>
            </w:r>
          </w:p>
        </w:tc>
        <w:tc>
          <w:tcPr>
            <w:tcW w:w="3648" w:type="dxa"/>
            <w:gridSpan w:val="6"/>
            <w:tcBorders/>
            <w:shd w:fill="auto" w:val="clear"/>
          </w:tcPr>
          <w:p>
            <w:pPr>
              <w:pStyle w:val="TableContents"/>
              <w:widowControl/>
              <w:spacing w:before="0" w:after="0"/>
              <w:ind w:left="0" w:right="0" w:hanging="0"/>
              <w:rPr>
                <w:rFonts w:ascii="Times New Roman" w:hAnsi="Times New Roman"/>
                <w:b/>
                <w:i w:val="false"/>
                <w:caps w:val="false"/>
                <w:smallCaps w:val="false"/>
                <w:color w:val="000000"/>
                <w:spacing w:val="0"/>
                <w:sz w:val="18"/>
              </w:rPr>
            </w:pPr>
            <w:r>
              <w:rPr>
                <w:rFonts w:ascii="Times New Roman" w:hAnsi="Times New Roman"/>
                <w:b/>
                <w:i w:val="false"/>
                <w:caps w:val="false"/>
                <w:smallCaps w:val="false"/>
                <w:color w:val="000000"/>
                <w:spacing w:val="0"/>
                <w:sz w:val="18"/>
              </w:rPr>
              <w:t>Number of Securities Underlying Unexercised Options</w:t>
            </w:r>
          </w:p>
        </w:tc>
        <w:tc>
          <w:tcPr>
            <w:tcW w:w="60" w:type="dxa"/>
            <w:vMerge w:val="restart"/>
            <w:tcBorders/>
            <w:shd w:fill="auto" w:val="clear"/>
          </w:tcPr>
          <w:p>
            <w:pPr>
              <w:pStyle w:val="TableContents"/>
              <w:spacing w:before="0" w:after="0"/>
              <w:ind w:left="0" w:right="0" w:hanging="0"/>
              <w:rPr/>
            </w:pPr>
            <w:r>
              <w:rPr/>
              <w:t> </w:t>
            </w:r>
          </w:p>
        </w:tc>
        <w:tc>
          <w:tcPr>
            <w:tcW w:w="60" w:type="dxa"/>
            <w:vMerge w:val="restart"/>
            <w:tcBorders/>
            <w:shd w:fill="auto" w:val="clear"/>
          </w:tcPr>
          <w:p>
            <w:pPr>
              <w:pStyle w:val="TableContents"/>
              <w:spacing w:before="0" w:after="0"/>
              <w:ind w:left="0" w:right="0" w:hanging="0"/>
              <w:rPr/>
            </w:pPr>
            <w:r>
              <w:rPr/>
              <w:t> </w:t>
            </w:r>
          </w:p>
          <w:p>
            <w:pPr>
              <w:pStyle w:val="TableContents"/>
              <w:spacing w:before="0" w:after="283"/>
              <w:rPr/>
            </w:pPr>
            <w:r>
              <w:rPr/>
            </w:r>
          </w:p>
        </w:tc>
        <w:tc>
          <w:tcPr>
            <w:tcW w:w="1585" w:type="dxa"/>
            <w:gridSpan w:val="2"/>
            <w:vMerge w:val="restart"/>
            <w:tcBorders/>
            <w:shd w:fill="auto" w:val="clear"/>
          </w:tcPr>
          <w:p>
            <w:pPr>
              <w:pStyle w:val="TableContents"/>
              <w:widowControl/>
              <w:spacing w:before="0" w:after="283"/>
              <w:ind w:left="0" w:right="0" w:hanging="0"/>
              <w:jc w:val="center"/>
              <w:rPr>
                <w:rFonts w:ascii="Times New Roman" w:hAnsi="Times New Roman"/>
                <w:b/>
                <w:i w:val="false"/>
                <w:caps w:val="false"/>
                <w:smallCaps w:val="false"/>
                <w:color w:val="000000"/>
                <w:spacing w:val="0"/>
                <w:sz w:val="18"/>
              </w:rPr>
            </w:pPr>
            <w:r>
              <w:rPr>
                <w:rFonts w:ascii="Times New Roman" w:hAnsi="Times New Roman"/>
                <w:b/>
                <w:i w:val="false"/>
                <w:caps w:val="false"/>
                <w:smallCaps w:val="false"/>
                <w:color w:val="000000"/>
                <w:spacing w:val="0"/>
                <w:sz w:val="18"/>
              </w:rPr>
              <w:t>Option Exercise Price ($)</w:t>
            </w:r>
          </w:p>
        </w:tc>
        <w:tc>
          <w:tcPr>
            <w:tcW w:w="60" w:type="dxa"/>
            <w:vMerge w:val="restart"/>
            <w:tcBorders/>
            <w:shd w:fill="auto" w:val="clear"/>
          </w:tcPr>
          <w:p>
            <w:pPr>
              <w:pStyle w:val="TableContents"/>
              <w:spacing w:before="0" w:after="0"/>
              <w:ind w:left="0" w:right="0" w:hanging="0"/>
              <w:rPr/>
            </w:pPr>
            <w:r>
              <w:rPr/>
              <w:t> </w:t>
            </w:r>
          </w:p>
        </w:tc>
        <w:tc>
          <w:tcPr>
            <w:tcW w:w="60" w:type="dxa"/>
            <w:vMerge w:val="restart"/>
            <w:tcBorders/>
            <w:shd w:fill="auto" w:val="clear"/>
          </w:tcPr>
          <w:p>
            <w:pPr>
              <w:pStyle w:val="TableContents"/>
              <w:spacing w:before="0" w:after="283"/>
              <w:rPr/>
            </w:pPr>
            <w:r>
              <w:rPr/>
            </w:r>
          </w:p>
        </w:tc>
        <w:tc>
          <w:tcPr>
            <w:tcW w:w="1237" w:type="dxa"/>
            <w:gridSpan w:val="2"/>
            <w:vMerge w:val="restart"/>
            <w:tcBorders/>
            <w:shd w:fill="auto" w:val="clear"/>
          </w:tcPr>
          <w:p>
            <w:pPr>
              <w:pStyle w:val="TableContents"/>
              <w:widowControl/>
              <w:spacing w:before="0" w:after="283"/>
              <w:ind w:left="0" w:right="0" w:hanging="0"/>
              <w:jc w:val="center"/>
              <w:rPr>
                <w:rFonts w:ascii="Times New Roman" w:hAnsi="Times New Roman"/>
                <w:b/>
                <w:i w:val="false"/>
                <w:caps w:val="false"/>
                <w:smallCaps w:val="false"/>
                <w:color w:val="000000"/>
                <w:spacing w:val="0"/>
                <w:sz w:val="18"/>
              </w:rPr>
            </w:pPr>
            <w:r>
              <w:rPr>
                <w:rFonts w:ascii="Times New Roman" w:hAnsi="Times New Roman"/>
                <w:b/>
                <w:i w:val="false"/>
                <w:caps w:val="false"/>
                <w:smallCaps w:val="false"/>
                <w:color w:val="000000"/>
                <w:spacing w:val="0"/>
                <w:sz w:val="18"/>
              </w:rPr>
              <w:t>Option Grant Date</w:t>
            </w:r>
          </w:p>
        </w:tc>
        <w:tc>
          <w:tcPr>
            <w:tcW w:w="60" w:type="dxa"/>
            <w:vMerge w:val="restart"/>
            <w:tcBorders/>
            <w:shd w:fill="auto" w:val="clear"/>
          </w:tcPr>
          <w:p>
            <w:pPr>
              <w:pStyle w:val="TableContents"/>
              <w:spacing w:before="0" w:after="283"/>
              <w:rPr/>
            </w:pPr>
            <w:r>
              <w:rPr/>
            </w:r>
          </w:p>
        </w:tc>
        <w:tc>
          <w:tcPr>
            <w:tcW w:w="60" w:type="dxa"/>
            <w:vMerge w:val="restart"/>
            <w:tcBorders/>
            <w:shd w:fill="auto" w:val="clear"/>
          </w:tcPr>
          <w:p>
            <w:pPr>
              <w:pStyle w:val="TableContents"/>
              <w:spacing w:before="0" w:after="0"/>
              <w:ind w:left="0" w:right="0" w:hanging="0"/>
              <w:rPr/>
            </w:pPr>
            <w:r>
              <w:rPr/>
            </w:r>
          </w:p>
          <w:p>
            <w:pPr>
              <w:pStyle w:val="TableContents"/>
              <w:spacing w:before="0" w:after="283"/>
              <w:rPr/>
            </w:pPr>
            <w:r>
              <w:rPr/>
            </w:r>
          </w:p>
        </w:tc>
        <w:tc>
          <w:tcPr>
            <w:tcW w:w="1579" w:type="dxa"/>
            <w:gridSpan w:val="2"/>
            <w:vMerge w:val="restart"/>
            <w:tcBorders/>
            <w:shd w:fill="auto" w:val="clear"/>
          </w:tcPr>
          <w:p>
            <w:pPr>
              <w:pStyle w:val="TableContents"/>
              <w:widowControl/>
              <w:spacing w:before="0" w:after="283"/>
              <w:ind w:left="0" w:right="0" w:hanging="0"/>
              <w:jc w:val="center"/>
              <w:rPr>
                <w:rFonts w:ascii="Times New Roman" w:hAnsi="Times New Roman"/>
                <w:b/>
                <w:i w:val="false"/>
                <w:caps w:val="false"/>
                <w:smallCaps w:val="false"/>
                <w:color w:val="000000"/>
                <w:spacing w:val="0"/>
                <w:sz w:val="18"/>
              </w:rPr>
            </w:pPr>
            <w:r>
              <w:rPr>
                <w:rFonts w:ascii="Times New Roman" w:hAnsi="Times New Roman"/>
                <w:b/>
                <w:i w:val="false"/>
                <w:caps w:val="false"/>
                <w:smallCaps w:val="false"/>
                <w:color w:val="000000"/>
                <w:spacing w:val="0"/>
                <w:sz w:val="18"/>
              </w:rPr>
              <w:t>Option Expiration Date</w:t>
            </w:r>
          </w:p>
        </w:tc>
        <w:tc>
          <w:tcPr>
            <w:tcW w:w="82" w:type="dxa"/>
            <w:vMerge w:val="restart"/>
            <w:tcBorders/>
            <w:shd w:fill="auto" w:val="clear"/>
          </w:tcPr>
          <w:p>
            <w:pPr>
              <w:pStyle w:val="TableContents"/>
              <w:spacing w:before="0" w:after="283"/>
              <w:rPr/>
            </w:pPr>
            <w:r>
              <w:rPr/>
            </w:r>
          </w:p>
        </w:tc>
      </w:tr>
      <w:tr>
        <w:trPr/>
        <w:tc>
          <w:tcPr>
            <w:tcW w:w="1654" w:type="dxa"/>
            <w:vMerge w:val="continue"/>
            <w:tcBorders/>
            <w:shd w:fill="auto" w:val="clear"/>
          </w:tcPr>
          <w:p>
            <w:pPr>
              <w:pStyle w:val="Normal"/>
              <w:rPr/>
            </w:pPr>
            <w:r>
              <w:rPr/>
            </w:r>
          </w:p>
        </w:tc>
        <w:tc>
          <w:tcPr>
            <w:tcW w:w="60" w:type="dxa"/>
            <w:vMerge w:val="continue"/>
            <w:tcBorders/>
            <w:shd w:fill="auto" w:val="clear"/>
          </w:tcPr>
          <w:p>
            <w:pPr>
              <w:pStyle w:val="Normal"/>
              <w:rPr/>
            </w:pPr>
            <w:r>
              <w:rPr/>
            </w:r>
          </w:p>
        </w:tc>
        <w:tc>
          <w:tcPr>
            <w:tcW w:w="1565" w:type="dxa"/>
            <w:gridSpan w:val="2"/>
            <w:tcBorders/>
            <w:shd w:fill="auto" w:val="clear"/>
          </w:tcPr>
          <w:p>
            <w:pPr>
              <w:pStyle w:val="TableContents"/>
              <w:spacing w:before="0" w:after="0"/>
              <w:ind w:left="0" w:right="0" w:hanging="0"/>
              <w:jc w:val="center"/>
              <w:rPr>
                <w:rFonts w:ascii="Times New Roman" w:hAnsi="Times New Roman"/>
                <w:b/>
                <w:sz w:val="18"/>
              </w:rPr>
            </w:pPr>
            <w:r>
              <w:rPr>
                <w:rFonts w:ascii="Times New Roman" w:hAnsi="Times New Roman"/>
                <w:b/>
                <w:sz w:val="18"/>
              </w:rPr>
              <w:t>Exercisable</w:t>
            </w:r>
          </w:p>
        </w:tc>
        <w:tc>
          <w:tcPr>
            <w:tcW w:w="137" w:type="dxa"/>
            <w:tcBorders/>
            <w:shd w:fill="auto" w:val="clear"/>
          </w:tcPr>
          <w:p>
            <w:pPr>
              <w:pStyle w:val="TableContents"/>
              <w:spacing w:before="0" w:after="0"/>
              <w:ind w:left="0" w:right="0" w:hanging="0"/>
              <w:rPr/>
            </w:pPr>
            <w:r>
              <w:rPr/>
              <w:t> </w:t>
            </w:r>
          </w:p>
        </w:tc>
        <w:tc>
          <w:tcPr>
            <w:tcW w:w="137" w:type="dxa"/>
            <w:tcBorders/>
            <w:shd w:fill="auto" w:val="clear"/>
          </w:tcPr>
          <w:p>
            <w:pPr>
              <w:pStyle w:val="TableContents"/>
              <w:spacing w:before="0" w:after="0"/>
              <w:ind w:left="0" w:right="0" w:hanging="0"/>
              <w:rPr/>
            </w:pPr>
            <w:r>
              <w:rPr/>
              <w:t> </w:t>
            </w:r>
          </w:p>
        </w:tc>
        <w:tc>
          <w:tcPr>
            <w:tcW w:w="1809" w:type="dxa"/>
            <w:gridSpan w:val="2"/>
            <w:tcBorders/>
            <w:shd w:fill="auto" w:val="clear"/>
          </w:tcPr>
          <w:p>
            <w:pPr>
              <w:pStyle w:val="TableContents"/>
              <w:spacing w:before="0" w:after="0"/>
              <w:ind w:left="0" w:right="0" w:hanging="0"/>
              <w:jc w:val="center"/>
              <w:rPr>
                <w:rFonts w:ascii="Times New Roman" w:hAnsi="Times New Roman"/>
                <w:b/>
                <w:sz w:val="18"/>
              </w:rPr>
            </w:pPr>
            <w:r>
              <w:rPr>
                <w:rFonts w:ascii="Times New Roman" w:hAnsi="Times New Roman"/>
                <w:b/>
                <w:sz w:val="18"/>
              </w:rPr>
              <w:t>Unexercisable</w:t>
            </w:r>
          </w:p>
        </w:tc>
        <w:tc>
          <w:tcPr>
            <w:tcW w:w="60" w:type="dxa"/>
            <w:vMerge w:val="continue"/>
            <w:tcBorders/>
            <w:shd w:fill="auto" w:val="clear"/>
          </w:tcPr>
          <w:p>
            <w:pPr>
              <w:pStyle w:val="Normal"/>
              <w:rPr/>
            </w:pPr>
            <w:r>
              <w:rPr/>
            </w:r>
          </w:p>
        </w:tc>
        <w:tc>
          <w:tcPr>
            <w:tcW w:w="60" w:type="dxa"/>
            <w:vMerge w:val="continue"/>
            <w:tcBorders/>
            <w:shd w:fill="auto" w:val="clear"/>
          </w:tcPr>
          <w:p>
            <w:pPr>
              <w:pStyle w:val="Normal"/>
              <w:rPr/>
            </w:pPr>
            <w:r>
              <w:rPr/>
            </w:r>
          </w:p>
        </w:tc>
        <w:tc>
          <w:tcPr>
            <w:tcW w:w="1585" w:type="dxa"/>
            <w:gridSpan w:val="2"/>
            <w:vMerge w:val="continue"/>
            <w:tcBorders/>
            <w:shd w:fill="auto" w:val="clear"/>
          </w:tcPr>
          <w:p>
            <w:pPr>
              <w:pStyle w:val="Normal"/>
              <w:rPr/>
            </w:pPr>
            <w:r>
              <w:rPr/>
            </w:r>
          </w:p>
        </w:tc>
        <w:tc>
          <w:tcPr>
            <w:tcW w:w="60" w:type="dxa"/>
            <w:vMerge w:val="continue"/>
            <w:tcBorders/>
            <w:shd w:fill="auto" w:val="clear"/>
          </w:tcPr>
          <w:p>
            <w:pPr>
              <w:pStyle w:val="Normal"/>
              <w:rPr/>
            </w:pPr>
            <w:r>
              <w:rPr/>
            </w:r>
          </w:p>
        </w:tc>
        <w:tc>
          <w:tcPr>
            <w:tcW w:w="60" w:type="dxa"/>
            <w:vMerge w:val="continue"/>
            <w:tcBorders/>
            <w:shd w:fill="auto" w:val="clear"/>
          </w:tcPr>
          <w:p>
            <w:pPr>
              <w:pStyle w:val="Normal"/>
              <w:rPr/>
            </w:pPr>
            <w:r>
              <w:rPr/>
            </w:r>
          </w:p>
        </w:tc>
        <w:tc>
          <w:tcPr>
            <w:tcW w:w="1237" w:type="dxa"/>
            <w:gridSpan w:val="2"/>
            <w:vMerge w:val="continue"/>
            <w:tcBorders/>
            <w:shd w:fill="auto" w:val="clear"/>
          </w:tcPr>
          <w:p>
            <w:pPr>
              <w:pStyle w:val="Normal"/>
              <w:rPr/>
            </w:pPr>
            <w:r>
              <w:rPr/>
            </w:r>
          </w:p>
        </w:tc>
        <w:tc>
          <w:tcPr>
            <w:tcW w:w="60" w:type="dxa"/>
            <w:vMerge w:val="continue"/>
            <w:tcBorders/>
            <w:shd w:fill="auto" w:val="clear"/>
          </w:tcPr>
          <w:p>
            <w:pPr>
              <w:pStyle w:val="Normal"/>
              <w:rPr/>
            </w:pPr>
            <w:r>
              <w:rPr/>
            </w:r>
          </w:p>
        </w:tc>
        <w:tc>
          <w:tcPr>
            <w:tcW w:w="60" w:type="dxa"/>
            <w:vMerge w:val="continue"/>
            <w:tcBorders/>
            <w:shd w:fill="auto" w:val="clear"/>
          </w:tcPr>
          <w:p>
            <w:pPr>
              <w:pStyle w:val="Normal"/>
              <w:rPr/>
            </w:pPr>
            <w:r>
              <w:rPr/>
            </w:r>
          </w:p>
        </w:tc>
        <w:tc>
          <w:tcPr>
            <w:tcW w:w="1579" w:type="dxa"/>
            <w:gridSpan w:val="2"/>
            <w:vMerge w:val="continue"/>
            <w:tcBorders/>
            <w:shd w:fill="auto" w:val="clear"/>
          </w:tcPr>
          <w:p>
            <w:pPr>
              <w:pStyle w:val="Normal"/>
              <w:rPr/>
            </w:pPr>
            <w:r>
              <w:rPr/>
            </w:r>
          </w:p>
        </w:tc>
        <w:tc>
          <w:tcPr>
            <w:tcW w:w="82" w:type="dxa"/>
            <w:vMerge w:val="continue"/>
            <w:tcBorders/>
            <w:shd w:fill="auto" w:val="clear"/>
          </w:tcPr>
          <w:p>
            <w:pPr>
              <w:pStyle w:val="Normal"/>
              <w:rPr/>
            </w:pPr>
            <w:r>
              <w:rPr/>
            </w:r>
          </w:p>
        </w:tc>
      </w:tr>
      <w:tr>
        <w:trPr/>
        <w:tc>
          <w:tcPr>
            <w:tcW w:w="165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Zeynep Hakimoglu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5.480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08-05-2011</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08-05-2021</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3.920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05-11-2012</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05-11-2022</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8.220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08-22-2013</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08-22-2023</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40,000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8.340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09-12-2014</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09-12-2024</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11.960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03-11-2016</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03-11-2026</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11.000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12-14-2016</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12-14-2026</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40,000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9.900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06-01-2017</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06-01-2027</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163" w:type="dxa"/>
            <w:tcBorders/>
            <w:shd w:fill="auto" w:val="clear"/>
            <w:vAlign w:val="center"/>
          </w:tcPr>
          <w:p>
            <w:pPr>
              <w:pStyle w:val="TableContents"/>
              <w:spacing w:before="0" w:after="283"/>
              <w:rPr/>
            </w:pPr>
            <w:r>
              <w:rPr/>
            </w:r>
          </w:p>
        </w:tc>
        <w:tc>
          <w:tcPr>
            <w:tcW w:w="1402" w:type="dxa"/>
            <w:tcBorders/>
            <w:shd w:fill="auto" w:val="clear"/>
            <w:vAlign w:val="center"/>
          </w:tcPr>
          <w:p>
            <w:pPr>
              <w:pStyle w:val="TableContents"/>
              <w:spacing w:before="0" w:after="283"/>
              <w:jc w:val="right"/>
              <w:rPr/>
            </w:pPr>
            <w:r>
              <w:rPr/>
              <w:t>—</w:t>
            </w:r>
          </w:p>
        </w:tc>
        <w:tc>
          <w:tcPr>
            <w:tcW w:w="137" w:type="dxa"/>
            <w:tcBorders/>
            <w:shd w:fill="auto" w:val="clear"/>
            <w:vAlign w:val="center"/>
          </w:tcPr>
          <w:p>
            <w:pPr>
              <w:pStyle w:val="TableContents"/>
              <w:spacing w:before="0" w:after="283"/>
              <w:rPr/>
            </w:pPr>
            <w:r>
              <w:rPr/>
            </w:r>
          </w:p>
        </w:tc>
        <w:tc>
          <w:tcPr>
            <w:tcW w:w="137" w:type="dxa"/>
            <w:tcBorders/>
            <w:shd w:fill="auto" w:val="clear"/>
            <w:vAlign w:val="center"/>
          </w:tcPr>
          <w:p>
            <w:pPr>
              <w:pStyle w:val="TableContents"/>
              <w:spacing w:before="0" w:after="283"/>
              <w:rPr/>
            </w:pPr>
            <w:r>
              <w:rPr/>
            </w:r>
          </w:p>
        </w:tc>
        <w:tc>
          <w:tcPr>
            <w:tcW w:w="163" w:type="dxa"/>
            <w:tcBorders/>
            <w:shd w:fill="auto" w:val="clear"/>
            <w:vAlign w:val="center"/>
          </w:tcPr>
          <w:p>
            <w:pPr>
              <w:pStyle w:val="TableContents"/>
              <w:spacing w:before="0" w:after="283"/>
              <w:rPr/>
            </w:pPr>
            <w:r>
              <w:rPr/>
            </w:r>
          </w:p>
        </w:tc>
        <w:tc>
          <w:tcPr>
            <w:tcW w:w="1646" w:type="dxa"/>
            <w:tcBorders/>
            <w:shd w:fill="auto" w:val="clear"/>
            <w:vAlign w:val="center"/>
          </w:tcPr>
          <w:p>
            <w:pPr>
              <w:pStyle w:val="TableContents"/>
              <w:spacing w:before="0" w:after="283"/>
              <w:jc w:val="right"/>
              <w:rPr/>
            </w:pPr>
            <w:r>
              <w:rPr/>
              <w:t>50,000</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146" w:type="dxa"/>
            <w:tcBorders/>
            <w:shd w:fill="auto" w:val="clear"/>
            <w:vAlign w:val="center"/>
          </w:tcPr>
          <w:p>
            <w:pPr>
              <w:pStyle w:val="TableContents"/>
              <w:spacing w:before="0" w:after="283"/>
              <w:rPr/>
            </w:pPr>
            <w:r>
              <w:rPr/>
            </w:r>
          </w:p>
        </w:tc>
        <w:tc>
          <w:tcPr>
            <w:tcW w:w="1439" w:type="dxa"/>
            <w:tcBorders/>
            <w:shd w:fill="auto" w:val="clear"/>
            <w:vAlign w:val="center"/>
          </w:tcPr>
          <w:p>
            <w:pPr>
              <w:pStyle w:val="TableContents"/>
              <w:spacing w:before="0" w:after="283"/>
              <w:jc w:val="right"/>
              <w:rPr/>
            </w:pPr>
            <w:r>
              <w:rPr/>
              <w:t>2.500</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69" w:type="dxa"/>
            <w:tcBorders/>
            <w:shd w:fill="auto" w:val="clear"/>
            <w:vAlign w:val="center"/>
          </w:tcPr>
          <w:p>
            <w:pPr>
              <w:pStyle w:val="TableContents"/>
              <w:spacing w:before="0" w:after="283"/>
              <w:rPr/>
            </w:pPr>
            <w:r>
              <w:rPr/>
            </w:r>
          </w:p>
        </w:tc>
        <w:tc>
          <w:tcPr>
            <w:tcW w:w="1168" w:type="dxa"/>
            <w:tcBorders/>
            <w:shd w:fill="auto" w:val="clear"/>
            <w:vAlign w:val="center"/>
          </w:tcPr>
          <w:p>
            <w:pPr>
              <w:pStyle w:val="TableContents"/>
              <w:spacing w:before="0" w:after="283"/>
              <w:jc w:val="right"/>
              <w:rPr/>
            </w:pPr>
            <w:r>
              <w:rPr/>
              <w:t>12-14-2020</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83" w:type="dxa"/>
            <w:tcBorders/>
            <w:shd w:fill="auto" w:val="clear"/>
            <w:vAlign w:val="center"/>
          </w:tcPr>
          <w:p>
            <w:pPr>
              <w:pStyle w:val="TableContents"/>
              <w:spacing w:before="0" w:after="283"/>
              <w:rPr/>
            </w:pPr>
            <w:r>
              <w:rPr/>
            </w:r>
          </w:p>
        </w:tc>
        <w:tc>
          <w:tcPr>
            <w:tcW w:w="1496" w:type="dxa"/>
            <w:tcBorders/>
            <w:shd w:fill="auto" w:val="clear"/>
            <w:vAlign w:val="center"/>
          </w:tcPr>
          <w:p>
            <w:pPr>
              <w:pStyle w:val="TableContents"/>
              <w:spacing w:before="0" w:after="283"/>
              <w:jc w:val="right"/>
              <w:rPr/>
            </w:pPr>
            <w:r>
              <w:rPr/>
              <w:t>12-14-2026</w:t>
            </w:r>
          </w:p>
        </w:tc>
        <w:tc>
          <w:tcPr>
            <w:tcW w:w="82" w:type="dxa"/>
            <w:tcBorders/>
            <w:shd w:fill="auto" w:val="clear"/>
            <w:vAlign w:val="center"/>
          </w:tcPr>
          <w:p>
            <w:pPr>
              <w:pStyle w:val="TableContents"/>
              <w:spacing w:before="0" w:after="283"/>
              <w:rPr/>
            </w:pPr>
            <w:r>
              <w:rPr/>
            </w:r>
          </w:p>
        </w:tc>
      </w:tr>
      <w:tr>
        <w:trPr/>
        <w:tc>
          <w:tcPr>
            <w:tcW w:w="165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Narsi Narayanan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5.480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08-05-2011</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08-05-2021</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3.920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05-11-2012</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05-11-2022</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8.220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08-22-2013</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08-22-2023</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8.340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09-12-2014</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09-12-2024</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11.960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03-11-2016</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03-11-2026</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11.000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12-14-2016</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12-14-2026</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4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20,000</w:t>
            </w:r>
          </w:p>
        </w:tc>
        <w:tc>
          <w:tcPr>
            <w:tcW w:w="137" w:type="dxa"/>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163" w:type="dxa"/>
            <w:tcBorders/>
            <w:shd w:fill="auto" w:val="clear"/>
            <w:vAlign w:val="center"/>
          </w:tcPr>
          <w:p>
            <w:pPr>
              <w:pStyle w:val="TableContents"/>
              <w:spacing w:before="0" w:after="0"/>
              <w:ind w:left="0" w:right="0" w:hanging="0"/>
              <w:rPr/>
            </w:pPr>
            <w:r>
              <w:rPr/>
              <w:t> </w:t>
            </w:r>
          </w:p>
        </w:tc>
        <w:tc>
          <w:tcPr>
            <w:tcW w:w="1646"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143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9.900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9" w:type="dxa"/>
            <w:tcBorders/>
            <w:shd w:fill="auto" w:val="clear"/>
            <w:vAlign w:val="center"/>
          </w:tcPr>
          <w:p>
            <w:pPr>
              <w:pStyle w:val="TableContents"/>
              <w:spacing w:before="0" w:after="0"/>
              <w:ind w:left="0" w:right="0" w:hanging="0"/>
              <w:rPr/>
            </w:pPr>
            <w:r>
              <w:rPr/>
              <w:t> </w:t>
            </w:r>
          </w:p>
        </w:tc>
        <w:tc>
          <w:tcPr>
            <w:tcW w:w="11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06-01-2017</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3" w:type="dxa"/>
            <w:tcBorders/>
            <w:shd w:fill="auto" w:val="clear"/>
            <w:vAlign w:val="center"/>
          </w:tcPr>
          <w:p>
            <w:pPr>
              <w:pStyle w:val="TableContents"/>
              <w:spacing w:before="0" w:after="0"/>
              <w:ind w:left="0" w:right="0" w:hanging="0"/>
              <w:rPr/>
            </w:pPr>
            <w:r>
              <w:rPr/>
              <w:t> </w:t>
            </w:r>
          </w:p>
        </w:tc>
        <w:tc>
          <w:tcPr>
            <w:tcW w:w="14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06-01-2027</w:t>
            </w:r>
          </w:p>
        </w:tc>
        <w:tc>
          <w:tcPr>
            <w:tcW w:w="82" w:type="dxa"/>
            <w:tcBorders/>
            <w:shd w:fill="auto" w:val="clear"/>
            <w:vAlign w:val="center"/>
          </w:tcPr>
          <w:p>
            <w:pPr>
              <w:pStyle w:val="TableContents"/>
              <w:spacing w:before="0" w:after="0"/>
              <w:ind w:left="0" w:right="0" w:hanging="0"/>
              <w:rPr/>
            </w:pPr>
            <w:r>
              <w:rPr/>
              <w:t> </w:t>
            </w:r>
          </w:p>
        </w:tc>
      </w:tr>
      <w:tr>
        <w:trPr/>
        <w:tc>
          <w:tcPr>
            <w:tcW w:w="1654"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163" w:type="dxa"/>
            <w:tcBorders/>
            <w:shd w:fill="auto" w:val="clear"/>
            <w:vAlign w:val="center"/>
          </w:tcPr>
          <w:p>
            <w:pPr>
              <w:pStyle w:val="TableContents"/>
              <w:spacing w:before="0" w:after="283"/>
              <w:rPr/>
            </w:pPr>
            <w:r>
              <w:rPr/>
            </w:r>
          </w:p>
        </w:tc>
        <w:tc>
          <w:tcPr>
            <w:tcW w:w="1402" w:type="dxa"/>
            <w:tcBorders/>
            <w:shd w:fill="auto" w:val="clear"/>
            <w:vAlign w:val="center"/>
          </w:tcPr>
          <w:p>
            <w:pPr>
              <w:pStyle w:val="TableContents"/>
              <w:spacing w:before="0" w:after="283"/>
              <w:jc w:val="right"/>
              <w:rPr/>
            </w:pPr>
            <w:r>
              <w:rPr/>
              <w:t>—</w:t>
            </w:r>
          </w:p>
        </w:tc>
        <w:tc>
          <w:tcPr>
            <w:tcW w:w="137" w:type="dxa"/>
            <w:tcBorders/>
            <w:shd w:fill="auto" w:val="clear"/>
            <w:vAlign w:val="center"/>
          </w:tcPr>
          <w:p>
            <w:pPr>
              <w:pStyle w:val="TableContents"/>
              <w:spacing w:before="0" w:after="283"/>
              <w:rPr/>
            </w:pPr>
            <w:r>
              <w:rPr/>
            </w:r>
          </w:p>
        </w:tc>
        <w:tc>
          <w:tcPr>
            <w:tcW w:w="137" w:type="dxa"/>
            <w:tcBorders/>
            <w:shd w:fill="auto" w:val="clear"/>
            <w:vAlign w:val="center"/>
          </w:tcPr>
          <w:p>
            <w:pPr>
              <w:pStyle w:val="TableContents"/>
              <w:spacing w:before="0" w:after="283"/>
              <w:rPr/>
            </w:pPr>
            <w:r>
              <w:rPr/>
            </w:r>
          </w:p>
        </w:tc>
        <w:tc>
          <w:tcPr>
            <w:tcW w:w="163" w:type="dxa"/>
            <w:tcBorders/>
            <w:shd w:fill="auto" w:val="clear"/>
            <w:vAlign w:val="center"/>
          </w:tcPr>
          <w:p>
            <w:pPr>
              <w:pStyle w:val="TableContents"/>
              <w:spacing w:before="0" w:after="283"/>
              <w:rPr/>
            </w:pPr>
            <w:r>
              <w:rPr/>
            </w:r>
          </w:p>
        </w:tc>
        <w:tc>
          <w:tcPr>
            <w:tcW w:w="1646" w:type="dxa"/>
            <w:tcBorders/>
            <w:shd w:fill="auto" w:val="clear"/>
            <w:vAlign w:val="center"/>
          </w:tcPr>
          <w:p>
            <w:pPr>
              <w:pStyle w:val="TableContents"/>
              <w:spacing w:before="0" w:after="283"/>
              <w:jc w:val="right"/>
              <w:rPr/>
            </w:pPr>
            <w:r>
              <w:rPr/>
              <w:t>25,000</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146" w:type="dxa"/>
            <w:tcBorders/>
            <w:shd w:fill="auto" w:val="clear"/>
            <w:vAlign w:val="center"/>
          </w:tcPr>
          <w:p>
            <w:pPr>
              <w:pStyle w:val="TableContents"/>
              <w:spacing w:before="0" w:after="283"/>
              <w:rPr/>
            </w:pPr>
            <w:r>
              <w:rPr/>
            </w:r>
          </w:p>
        </w:tc>
        <w:tc>
          <w:tcPr>
            <w:tcW w:w="1439" w:type="dxa"/>
            <w:tcBorders/>
            <w:shd w:fill="auto" w:val="clear"/>
            <w:vAlign w:val="center"/>
          </w:tcPr>
          <w:p>
            <w:pPr>
              <w:pStyle w:val="TableContents"/>
              <w:spacing w:before="0" w:after="283"/>
              <w:jc w:val="right"/>
              <w:rPr/>
            </w:pPr>
            <w:r>
              <w:rPr/>
              <w:t>2.500</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69" w:type="dxa"/>
            <w:tcBorders/>
            <w:shd w:fill="auto" w:val="clear"/>
            <w:vAlign w:val="center"/>
          </w:tcPr>
          <w:p>
            <w:pPr>
              <w:pStyle w:val="TableContents"/>
              <w:spacing w:before="0" w:after="283"/>
              <w:rPr/>
            </w:pPr>
            <w:r>
              <w:rPr/>
            </w:r>
          </w:p>
        </w:tc>
        <w:tc>
          <w:tcPr>
            <w:tcW w:w="1168" w:type="dxa"/>
            <w:tcBorders/>
            <w:shd w:fill="auto" w:val="clear"/>
            <w:vAlign w:val="center"/>
          </w:tcPr>
          <w:p>
            <w:pPr>
              <w:pStyle w:val="TableContents"/>
              <w:spacing w:before="0" w:after="283"/>
              <w:jc w:val="right"/>
              <w:rPr/>
            </w:pPr>
            <w:r>
              <w:rPr/>
              <w:t>12-14-2020</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83" w:type="dxa"/>
            <w:tcBorders/>
            <w:shd w:fill="auto" w:val="clear"/>
            <w:vAlign w:val="center"/>
          </w:tcPr>
          <w:p>
            <w:pPr>
              <w:pStyle w:val="TableContents"/>
              <w:spacing w:before="0" w:after="283"/>
              <w:rPr/>
            </w:pPr>
            <w:r>
              <w:rPr/>
            </w:r>
          </w:p>
        </w:tc>
        <w:tc>
          <w:tcPr>
            <w:tcW w:w="1496" w:type="dxa"/>
            <w:tcBorders/>
            <w:shd w:fill="auto" w:val="clear"/>
            <w:vAlign w:val="center"/>
          </w:tcPr>
          <w:p>
            <w:pPr>
              <w:pStyle w:val="TableContents"/>
              <w:spacing w:before="0" w:after="283"/>
              <w:jc w:val="right"/>
              <w:rPr/>
            </w:pPr>
            <w:r>
              <w:rPr/>
              <w:t>12-14-2030</w:t>
            </w:r>
          </w:p>
        </w:tc>
        <w:tc>
          <w:tcPr>
            <w:tcW w:w="82" w:type="dxa"/>
            <w:tcBorders/>
            <w:shd w:fill="auto" w:val="clear"/>
            <w:vAlign w:val="center"/>
          </w:tcPr>
          <w:p>
            <w:pPr>
              <w:pStyle w:val="TableContents"/>
              <w:spacing w:before="0" w:after="283"/>
              <w:rPr/>
            </w:pPr>
            <w:r>
              <w:rPr/>
            </w:r>
          </w:p>
        </w:tc>
      </w:tr>
    </w:tbl>
    <w:p>
      <w:pPr>
        <w:pStyle w:val="TextBody"/>
        <w:widowControl/>
        <w:spacing w:before="0" w:after="0"/>
        <w:ind w:left="294" w:right="294" w:hanging="0"/>
        <w:rPr>
          <w:caps w:val="false"/>
          <w:smallCaps w:val="false"/>
          <w:color w:val="000000"/>
          <w:spacing w:val="0"/>
        </w:rPr>
      </w:pPr>
      <w:r>
        <w:rPr>
          <w:caps w:val="false"/>
          <w:smallCaps w:val="false"/>
          <w:color w:val="000000"/>
          <w:spacing w:val="0"/>
        </w:rPr>
        <w:t> </w:t>
      </w:r>
    </w:p>
    <w:tbl>
      <w:tblPr>
        <w:tblW w:w="5000" w:type="pct"/>
        <w:jc w:val="left"/>
        <w:tblInd w:w="0" w:type="dxa"/>
        <w:tblCellMar>
          <w:top w:w="0" w:type="dxa"/>
          <w:left w:w="0" w:type="dxa"/>
          <w:bottom w:w="0" w:type="dxa"/>
          <w:right w:w="0" w:type="dxa"/>
        </w:tblCellMar>
      </w:tblPr>
      <w:tblGrid>
        <w:gridCol w:w="232"/>
        <w:gridCol w:w="9973"/>
      </w:tblGrid>
      <w:tr>
        <w:trPr/>
        <w:tc>
          <w:tcPr>
            <w:tcW w:w="23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7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One-third of the shares underlying each stock option vest on the first anniversary of the grant date and the remaining shares vest equally over a period of 24 months following the first anniversary of the grant date.</w:t>
            </w:r>
          </w:p>
        </w:tc>
      </w:tr>
    </w:tbl>
    <w:p>
      <w:pPr>
        <w:pStyle w:val="TextBody"/>
        <w:spacing w:lineRule="auto" w:line="240" w:before="0" w:after="0"/>
        <w:ind w:left="144" w:right="144" w:hanging="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39</w:t>
            </w:r>
          </w:p>
        </w:tc>
      </w:tr>
    </w:tbl>
    <w:p>
      <w:pPr>
        <w:pStyle w:val="HorizontalLine"/>
        <w:spacing w:lineRule="auto" w:line="240"/>
        <w:rPr/>
      </w:pPr>
      <w:r>
        <w:rPr/>
      </w:r>
    </w:p>
    <w:p>
      <w:pPr>
        <w:pStyle w:val="TextBody"/>
        <w:spacing w:lineRule="auto" w:line="240"/>
        <w:jc w:val="left"/>
        <w:rPr/>
      </w:pPr>
      <w:hyperlink w:anchor="TOC">
        <w:r>
          <w:rPr>
            <w:rStyle w:val="InternetLink"/>
            <w:sz w:val="20"/>
          </w:rPr>
          <w:t>Table of Contents</w:t>
        </w:r>
      </w:hyperlink>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OPTION EXERCISES AND STOCK VESTED</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There were no exercises of stock options by named executive officers during  2020. There were no equity awards that vested for the named executive officers during 2020.</w:t>
      </w:r>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DIRECTOR COMPENSATION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following table summarizes the compensation paid by us to non-employee directors for the year ended December 31, 2020. Ms. Hakimoglu did not receive additional compensation for her service as a director.</w:t>
      </w:r>
    </w:p>
    <w:p>
      <w:pPr>
        <w:pStyle w:val="TextBody"/>
        <w:spacing w:lineRule="auto" w:line="240"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2415"/>
        <w:gridCol w:w="180"/>
        <w:gridCol w:w="226"/>
        <w:gridCol w:w="1288"/>
        <w:gridCol w:w="180"/>
        <w:gridCol w:w="179"/>
        <w:gridCol w:w="357"/>
        <w:gridCol w:w="1540"/>
        <w:gridCol w:w="180"/>
        <w:gridCol w:w="179"/>
        <w:gridCol w:w="321"/>
        <w:gridCol w:w="1397"/>
        <w:gridCol w:w="180"/>
        <w:gridCol w:w="180"/>
        <w:gridCol w:w="180"/>
        <w:gridCol w:w="1020"/>
        <w:gridCol w:w="203"/>
      </w:tblGrid>
      <w:tr>
        <w:trPr/>
        <w:tc>
          <w:tcPr>
            <w:tcW w:w="2415" w:type="dxa"/>
            <w:tcBorders>
              <w:bottom w:val="single" w:sz="6" w:space="0" w:color="000000"/>
            </w:tcBorders>
            <w:shd w:fill="auto" w:val="clear"/>
            <w:vAlign w:val="center"/>
          </w:tcPr>
          <w:p>
            <w:pPr>
              <w:pStyle w:val="TableContents"/>
              <w:spacing w:before="0" w:after="0"/>
              <w:ind w:left="0" w:right="0" w:hanging="0"/>
              <w:rPr>
                <w:rFonts w:ascii="Times New Roman" w:hAnsi="Times New Roman"/>
                <w:b/>
                <w:sz w:val="18"/>
              </w:rPr>
            </w:pPr>
            <w:r>
              <w:rPr>
                <w:rFonts w:ascii="Times New Roman" w:hAnsi="Times New Roman"/>
                <w:b/>
                <w:sz w:val="18"/>
              </w:rPr>
              <w:t xml:space="preserve">Name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514" w:type="dxa"/>
            <w:gridSpan w:val="2"/>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Fees Earned </w:t>
            </w:r>
          </w:p>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or Paid in </w:t>
            </w:r>
          </w:p>
          <w:p>
            <w:pPr>
              <w:pStyle w:val="TableContents"/>
              <w:spacing w:before="0" w:after="0"/>
              <w:ind w:left="0" w:right="0" w:hanging="0"/>
              <w:jc w:val="center"/>
              <w:rPr>
                <w:rFonts w:ascii="Times New Roman" w:hAnsi="Times New Roman"/>
                <w:b/>
                <w:sz w:val="18"/>
              </w:rPr>
            </w:pPr>
            <w:r>
              <w:rPr>
                <w:rFonts w:ascii="Times New Roman" w:hAnsi="Times New Roman"/>
                <w:b/>
                <w:sz w:val="18"/>
              </w:rPr>
              <w:t>Cash</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79" w:type="dxa"/>
            <w:tcBorders/>
            <w:shd w:fill="auto" w:val="clear"/>
            <w:tcMar>
              <w:bottom w:w="0" w:type="dxa"/>
            </w:tcMar>
            <w:vAlign w:val="center"/>
          </w:tcPr>
          <w:p>
            <w:pPr>
              <w:pStyle w:val="TableContents"/>
              <w:spacing w:before="0" w:after="0"/>
              <w:ind w:left="0" w:right="0" w:hanging="0"/>
              <w:rPr/>
            </w:pPr>
            <w:r>
              <w:rPr/>
              <w:t xml:space="preserve">  </w:t>
            </w:r>
          </w:p>
        </w:tc>
        <w:tc>
          <w:tcPr>
            <w:tcW w:w="1897"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Option Awards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79" w:type="dxa"/>
            <w:tcBorders/>
            <w:shd w:fill="auto" w:val="clear"/>
            <w:tcMar>
              <w:bottom w:w="0" w:type="dxa"/>
            </w:tcMar>
            <w:vAlign w:val="center"/>
          </w:tcPr>
          <w:p>
            <w:pPr>
              <w:pStyle w:val="TableContents"/>
              <w:spacing w:before="0" w:after="0"/>
              <w:ind w:left="0" w:right="0" w:hanging="0"/>
              <w:rPr/>
            </w:pPr>
            <w:r>
              <w:rPr/>
              <w:t xml:space="preserve">  </w:t>
            </w:r>
          </w:p>
        </w:tc>
        <w:tc>
          <w:tcPr>
            <w:tcW w:w="1718"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Other </w:t>
            </w:r>
          </w:p>
          <w:p>
            <w:pPr>
              <w:pStyle w:val="TableContents"/>
              <w:spacing w:before="0" w:after="0"/>
              <w:ind w:left="0" w:right="0" w:hanging="0"/>
              <w:jc w:val="center"/>
              <w:rPr>
                <w:rFonts w:ascii="Times New Roman" w:hAnsi="Times New Roman"/>
                <w:b/>
                <w:sz w:val="18"/>
              </w:rPr>
            </w:pPr>
            <w:r>
              <w:rPr>
                <w:rFonts w:ascii="Times New Roman" w:hAnsi="Times New Roman"/>
                <w:b/>
                <w:sz w:val="18"/>
              </w:rPr>
              <w:t>Compensation</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200"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Total </w:t>
            </w:r>
          </w:p>
        </w:tc>
        <w:tc>
          <w:tcPr>
            <w:tcW w:w="203" w:type="dxa"/>
            <w:tcBorders/>
            <w:shd w:fill="auto" w:val="clear"/>
            <w:tcMar>
              <w:bottom w:w="0" w:type="dxa"/>
            </w:tcMar>
            <w:vAlign w:val="center"/>
          </w:tcPr>
          <w:p>
            <w:pPr>
              <w:pStyle w:val="TableContents"/>
              <w:spacing w:before="0" w:after="0"/>
              <w:ind w:left="0" w:right="0" w:hanging="0"/>
              <w:rPr/>
            </w:pPr>
            <w:r>
              <w:rPr/>
              <w:t xml:space="preserve">  </w:t>
            </w:r>
          </w:p>
        </w:tc>
      </w:tr>
      <w:tr>
        <w:trPr/>
        <w:tc>
          <w:tcPr>
            <w:tcW w:w="241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Larry R. Hendricks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226" w:type="dxa"/>
            <w:tcBorders/>
            <w:shd w:fill="auto" w:val="clear"/>
            <w:tcMar>
              <w:bottom w:w="0" w:type="dxa"/>
            </w:tcMar>
            <w:vAlign w:val="center"/>
          </w:tcPr>
          <w:p>
            <w:pPr>
              <w:pStyle w:val="TableContents"/>
              <w:spacing w:before="0" w:after="0"/>
              <w:ind w:left="0" w:right="0" w:hanging="0"/>
              <w:rPr/>
            </w:pPr>
            <w:r>
              <w:rPr/>
              <w:t xml:space="preserve">  </w:t>
            </w:r>
          </w:p>
        </w:tc>
        <w:tc>
          <w:tcPr>
            <w:tcW w:w="1288"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33,600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79" w:type="dxa"/>
            <w:tcBorders/>
            <w:shd w:fill="auto" w:val="clear"/>
            <w:tcMar>
              <w:bottom w:w="0" w:type="dxa"/>
            </w:tcMar>
            <w:vAlign w:val="center"/>
          </w:tcPr>
          <w:p>
            <w:pPr>
              <w:pStyle w:val="TableContents"/>
              <w:spacing w:before="0" w:after="0"/>
              <w:ind w:left="0" w:right="0" w:hanging="0"/>
              <w:rPr/>
            </w:pPr>
            <w:r>
              <w:rPr/>
              <w:t xml:space="preserve">  </w:t>
            </w:r>
          </w:p>
        </w:tc>
        <w:tc>
          <w:tcPr>
            <w:tcW w:w="357" w:type="dxa"/>
            <w:tcBorders/>
            <w:shd w:fill="auto" w:val="clear"/>
            <w:tcMar>
              <w:bottom w:w="0" w:type="dxa"/>
            </w:tcMar>
            <w:vAlign w:val="center"/>
          </w:tcPr>
          <w:p>
            <w:pPr>
              <w:pStyle w:val="TableContents"/>
              <w:spacing w:before="0" w:after="0"/>
              <w:ind w:left="0" w:right="0" w:hanging="0"/>
              <w:rPr/>
            </w:pPr>
            <w:r>
              <w:rPr/>
              <w:t xml:space="preserve">  </w:t>
            </w:r>
          </w:p>
        </w:tc>
        <w:tc>
          <w:tcPr>
            <w:tcW w:w="1540" w:type="dxa"/>
            <w:tcBorders/>
            <w:shd w:fill="auto" w:val="clear"/>
            <w:tcMar>
              <w:bottom w:w="0" w:type="dxa"/>
            </w:tcMar>
            <w:vAlign w:val="center"/>
          </w:tcPr>
          <w:p>
            <w:pPr>
              <w:pStyle w:val="TableContents"/>
              <w:spacing w:before="0" w:after="0"/>
              <w:ind w:left="0" w:right="0" w:hanging="0"/>
              <w:jc w:val="right"/>
              <w:rPr/>
            </w:pPr>
            <w:r>
              <w:rPr/>
              <w:t>—</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79" w:type="dxa"/>
            <w:tcBorders/>
            <w:shd w:fill="auto" w:val="clear"/>
            <w:tcMar>
              <w:bottom w:w="0" w:type="dxa"/>
            </w:tcMar>
            <w:vAlign w:val="center"/>
          </w:tcPr>
          <w:p>
            <w:pPr>
              <w:pStyle w:val="TableContents"/>
              <w:spacing w:before="0" w:after="0"/>
              <w:ind w:left="0" w:right="0" w:hanging="0"/>
              <w:rPr/>
            </w:pPr>
            <w:r>
              <w:rPr/>
              <w:t xml:space="preserve">  </w:t>
            </w:r>
          </w:p>
        </w:tc>
        <w:tc>
          <w:tcPr>
            <w:tcW w:w="321" w:type="dxa"/>
            <w:tcBorders/>
            <w:shd w:fill="auto" w:val="clear"/>
            <w:tcMar>
              <w:bottom w:w="0" w:type="dxa"/>
            </w:tcMar>
            <w:vAlign w:val="center"/>
          </w:tcPr>
          <w:p>
            <w:pPr>
              <w:pStyle w:val="TableContents"/>
              <w:spacing w:before="0" w:after="0"/>
              <w:ind w:left="0" w:right="0" w:hanging="0"/>
              <w:rPr/>
            </w:pPr>
            <w:r>
              <w:rPr/>
              <w:t xml:space="preserve">  </w:t>
            </w:r>
          </w:p>
        </w:tc>
        <w:tc>
          <w:tcPr>
            <w:tcW w:w="1397" w:type="dxa"/>
            <w:tcBorders/>
            <w:shd w:fill="auto" w:val="clear"/>
            <w:tcMar>
              <w:bottom w:w="0" w:type="dxa"/>
            </w:tcMar>
            <w:vAlign w:val="center"/>
          </w:tcPr>
          <w:p>
            <w:pPr>
              <w:pStyle w:val="TableContents"/>
              <w:spacing w:before="0" w:after="0"/>
              <w:ind w:left="0" w:right="0" w:hanging="0"/>
              <w:jc w:val="right"/>
              <w:rPr/>
            </w:pPr>
            <w:r>
              <w:rPr/>
              <w:t>—</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020"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33,600 </w:t>
            </w:r>
          </w:p>
        </w:tc>
        <w:tc>
          <w:tcPr>
            <w:tcW w:w="203" w:type="dxa"/>
            <w:tcBorders/>
            <w:shd w:fill="auto" w:val="clear"/>
            <w:tcMar>
              <w:bottom w:w="0" w:type="dxa"/>
            </w:tcMar>
            <w:vAlign w:val="center"/>
          </w:tcPr>
          <w:p>
            <w:pPr>
              <w:pStyle w:val="TableContents"/>
              <w:spacing w:before="0" w:after="0"/>
              <w:ind w:left="0" w:right="0" w:hanging="0"/>
              <w:rPr/>
            </w:pPr>
            <w:r>
              <w:rPr/>
              <w:t xml:space="preserve">  </w:t>
            </w:r>
          </w:p>
        </w:tc>
      </w:tr>
      <w:tr>
        <w:trPr/>
        <w:tc>
          <w:tcPr>
            <w:tcW w:w="2415" w:type="dxa"/>
            <w:tcBorders/>
            <w:shd w:fill="auto" w:val="clear"/>
            <w:tcMar>
              <w:bottom w:w="0" w:type="dxa"/>
            </w:tcMar>
            <w:vAlign w:val="center"/>
          </w:tcPr>
          <w:p>
            <w:pPr>
              <w:pStyle w:val="TableContents"/>
              <w:spacing w:before="0" w:after="283"/>
              <w:rPr/>
            </w:pPr>
            <w:r>
              <w:rPr/>
              <w:t>Lisa B. Higley</w:t>
            </w:r>
          </w:p>
        </w:tc>
        <w:tc>
          <w:tcPr>
            <w:tcW w:w="180" w:type="dxa"/>
            <w:tcBorders/>
            <w:shd w:fill="auto" w:val="clear"/>
            <w:tcMar>
              <w:bottom w:w="0" w:type="dxa"/>
            </w:tcMar>
            <w:vAlign w:val="center"/>
          </w:tcPr>
          <w:p>
            <w:pPr>
              <w:pStyle w:val="TableContents"/>
              <w:spacing w:before="0" w:after="283"/>
              <w:rPr/>
            </w:pPr>
            <w:r>
              <w:rPr/>
            </w:r>
          </w:p>
        </w:tc>
        <w:tc>
          <w:tcPr>
            <w:tcW w:w="226" w:type="dxa"/>
            <w:tcBorders/>
            <w:shd w:fill="auto" w:val="clear"/>
            <w:tcMar>
              <w:bottom w:w="0" w:type="dxa"/>
            </w:tcMar>
            <w:vAlign w:val="center"/>
          </w:tcPr>
          <w:p>
            <w:pPr>
              <w:pStyle w:val="TableContents"/>
              <w:spacing w:before="0" w:after="283"/>
              <w:rPr/>
            </w:pPr>
            <w:r>
              <w:rPr/>
            </w:r>
          </w:p>
        </w:tc>
        <w:tc>
          <w:tcPr>
            <w:tcW w:w="1288" w:type="dxa"/>
            <w:tcBorders/>
            <w:shd w:fill="auto" w:val="clear"/>
            <w:tcMar>
              <w:bottom w:w="0" w:type="dxa"/>
            </w:tcMar>
            <w:vAlign w:val="center"/>
          </w:tcPr>
          <w:p>
            <w:pPr>
              <w:pStyle w:val="TableContents"/>
              <w:spacing w:before="0" w:after="283"/>
              <w:jc w:val="right"/>
              <w:rPr/>
            </w:pPr>
            <w:r>
              <w:rPr/>
              <w:t>11,250</w:t>
            </w:r>
          </w:p>
        </w:tc>
        <w:tc>
          <w:tcPr>
            <w:tcW w:w="180" w:type="dxa"/>
            <w:tcBorders/>
            <w:shd w:fill="auto" w:val="clear"/>
            <w:tcMar>
              <w:bottom w:w="0" w:type="dxa"/>
            </w:tcMar>
            <w:vAlign w:val="center"/>
          </w:tcPr>
          <w:p>
            <w:pPr>
              <w:pStyle w:val="TableContents"/>
              <w:spacing w:before="0" w:after="283"/>
              <w:rPr/>
            </w:pPr>
            <w:r>
              <w:rPr/>
            </w:r>
          </w:p>
        </w:tc>
        <w:tc>
          <w:tcPr>
            <w:tcW w:w="179" w:type="dxa"/>
            <w:tcBorders/>
            <w:shd w:fill="auto" w:val="clear"/>
            <w:tcMar>
              <w:bottom w:w="0" w:type="dxa"/>
            </w:tcMar>
            <w:vAlign w:val="center"/>
          </w:tcPr>
          <w:p>
            <w:pPr>
              <w:pStyle w:val="TableContents"/>
              <w:spacing w:before="0" w:after="283"/>
              <w:rPr/>
            </w:pPr>
            <w:r>
              <w:rPr/>
            </w:r>
          </w:p>
        </w:tc>
        <w:tc>
          <w:tcPr>
            <w:tcW w:w="357" w:type="dxa"/>
            <w:tcBorders/>
            <w:shd w:fill="auto" w:val="clear"/>
            <w:tcMar>
              <w:bottom w:w="0" w:type="dxa"/>
            </w:tcMar>
            <w:vAlign w:val="center"/>
          </w:tcPr>
          <w:p>
            <w:pPr>
              <w:pStyle w:val="TableContents"/>
              <w:spacing w:before="0" w:after="283"/>
              <w:rPr/>
            </w:pPr>
            <w:r>
              <w:rPr/>
            </w:r>
          </w:p>
        </w:tc>
        <w:tc>
          <w:tcPr>
            <w:tcW w:w="1540" w:type="dxa"/>
            <w:tcBorders/>
            <w:shd w:fill="auto" w:val="clear"/>
            <w:tcMar>
              <w:bottom w:w="0" w:type="dxa"/>
            </w:tcMar>
            <w:vAlign w:val="center"/>
          </w:tcPr>
          <w:p>
            <w:pPr>
              <w:pStyle w:val="TableContents"/>
              <w:spacing w:before="0" w:after="283"/>
              <w:jc w:val="right"/>
              <w:rPr/>
            </w:pPr>
            <w:r>
              <w:rPr/>
              <w:t>—</w:t>
            </w:r>
          </w:p>
        </w:tc>
        <w:tc>
          <w:tcPr>
            <w:tcW w:w="180" w:type="dxa"/>
            <w:tcBorders/>
            <w:shd w:fill="auto" w:val="clear"/>
            <w:tcMar>
              <w:bottom w:w="0" w:type="dxa"/>
            </w:tcMar>
            <w:vAlign w:val="center"/>
          </w:tcPr>
          <w:p>
            <w:pPr>
              <w:pStyle w:val="TableContents"/>
              <w:spacing w:before="0" w:after="283"/>
              <w:rPr/>
            </w:pPr>
            <w:r>
              <w:rPr/>
            </w:r>
          </w:p>
        </w:tc>
        <w:tc>
          <w:tcPr>
            <w:tcW w:w="179" w:type="dxa"/>
            <w:tcBorders/>
            <w:shd w:fill="auto" w:val="clear"/>
            <w:tcMar>
              <w:bottom w:w="0" w:type="dxa"/>
            </w:tcMar>
            <w:vAlign w:val="center"/>
          </w:tcPr>
          <w:p>
            <w:pPr>
              <w:pStyle w:val="TableContents"/>
              <w:spacing w:before="0" w:after="283"/>
              <w:rPr/>
            </w:pPr>
            <w:r>
              <w:rPr/>
            </w:r>
          </w:p>
        </w:tc>
        <w:tc>
          <w:tcPr>
            <w:tcW w:w="321" w:type="dxa"/>
            <w:tcBorders/>
            <w:shd w:fill="auto" w:val="clear"/>
            <w:tcMar>
              <w:bottom w:w="0" w:type="dxa"/>
            </w:tcMar>
            <w:vAlign w:val="center"/>
          </w:tcPr>
          <w:p>
            <w:pPr>
              <w:pStyle w:val="TableContents"/>
              <w:spacing w:before="0" w:after="283"/>
              <w:rPr/>
            </w:pPr>
            <w:r>
              <w:rPr/>
            </w:r>
          </w:p>
        </w:tc>
        <w:tc>
          <w:tcPr>
            <w:tcW w:w="1397" w:type="dxa"/>
            <w:tcBorders/>
            <w:shd w:fill="auto" w:val="clear"/>
            <w:tcMar>
              <w:bottom w:w="0" w:type="dxa"/>
            </w:tcMar>
            <w:vAlign w:val="center"/>
          </w:tcPr>
          <w:p>
            <w:pPr>
              <w:pStyle w:val="TableContents"/>
              <w:spacing w:before="0" w:after="283"/>
              <w:jc w:val="right"/>
              <w:rPr/>
            </w:pPr>
            <w:r>
              <w:rPr/>
              <w:t>—</w:t>
            </w:r>
          </w:p>
        </w:tc>
        <w:tc>
          <w:tcPr>
            <w:tcW w:w="180" w:type="dxa"/>
            <w:tcBorders/>
            <w:shd w:fill="auto" w:val="clear"/>
            <w:tcMar>
              <w:bottom w:w="0" w:type="dxa"/>
            </w:tcMar>
            <w:vAlign w:val="center"/>
          </w:tcPr>
          <w:p>
            <w:pPr>
              <w:pStyle w:val="TableContents"/>
              <w:spacing w:before="0" w:after="283"/>
              <w:rPr/>
            </w:pPr>
            <w:r>
              <w:rPr/>
            </w:r>
          </w:p>
        </w:tc>
        <w:tc>
          <w:tcPr>
            <w:tcW w:w="180" w:type="dxa"/>
            <w:tcBorders/>
            <w:shd w:fill="auto" w:val="clear"/>
            <w:tcMar>
              <w:bottom w:w="0" w:type="dxa"/>
            </w:tcMar>
            <w:vAlign w:val="center"/>
          </w:tcPr>
          <w:p>
            <w:pPr>
              <w:pStyle w:val="TableContents"/>
              <w:spacing w:before="0" w:after="283"/>
              <w:rPr/>
            </w:pPr>
            <w:r>
              <w:rPr/>
            </w:r>
          </w:p>
        </w:tc>
        <w:tc>
          <w:tcPr>
            <w:tcW w:w="180" w:type="dxa"/>
            <w:tcBorders/>
            <w:shd w:fill="auto" w:val="clear"/>
            <w:tcMar>
              <w:bottom w:w="0" w:type="dxa"/>
            </w:tcMar>
            <w:vAlign w:val="center"/>
          </w:tcPr>
          <w:p>
            <w:pPr>
              <w:pStyle w:val="TableContents"/>
              <w:spacing w:before="0" w:after="283"/>
              <w:rPr/>
            </w:pPr>
            <w:r>
              <w:rPr/>
            </w:r>
          </w:p>
        </w:tc>
        <w:tc>
          <w:tcPr>
            <w:tcW w:w="1020" w:type="dxa"/>
            <w:tcBorders/>
            <w:shd w:fill="auto" w:val="clear"/>
            <w:tcMar>
              <w:bottom w:w="0" w:type="dxa"/>
            </w:tcMar>
            <w:vAlign w:val="center"/>
          </w:tcPr>
          <w:p>
            <w:pPr>
              <w:pStyle w:val="TableContents"/>
              <w:spacing w:before="0" w:after="283"/>
              <w:jc w:val="right"/>
              <w:rPr/>
            </w:pPr>
            <w:r>
              <w:rPr/>
              <w:t>11,250</w:t>
            </w:r>
          </w:p>
        </w:tc>
        <w:tc>
          <w:tcPr>
            <w:tcW w:w="203" w:type="dxa"/>
            <w:tcBorders/>
            <w:shd w:fill="auto" w:val="clear"/>
            <w:tcMar>
              <w:bottom w:w="0" w:type="dxa"/>
            </w:tcMar>
            <w:vAlign w:val="center"/>
          </w:tcPr>
          <w:p>
            <w:pPr>
              <w:pStyle w:val="TableContents"/>
              <w:spacing w:before="0" w:after="283"/>
              <w:rPr/>
            </w:pPr>
            <w:r>
              <w:rPr/>
            </w:r>
          </w:p>
        </w:tc>
      </w:tr>
      <w:tr>
        <w:trPr/>
        <w:tc>
          <w:tcPr>
            <w:tcW w:w="241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Eric L. Robinson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226" w:type="dxa"/>
            <w:tcBorders/>
            <w:shd w:fill="auto" w:val="clear"/>
            <w:tcMar>
              <w:bottom w:w="0" w:type="dxa"/>
            </w:tcMar>
            <w:vAlign w:val="center"/>
          </w:tcPr>
          <w:p>
            <w:pPr>
              <w:pStyle w:val="TableContents"/>
              <w:spacing w:before="0" w:after="0"/>
              <w:ind w:left="0" w:right="0" w:hanging="0"/>
              <w:rPr/>
            </w:pPr>
            <w:r>
              <w:rPr/>
              <w:t xml:space="preserve">  </w:t>
            </w:r>
          </w:p>
        </w:tc>
        <w:tc>
          <w:tcPr>
            <w:tcW w:w="1288"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40,800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79" w:type="dxa"/>
            <w:tcBorders/>
            <w:shd w:fill="auto" w:val="clear"/>
            <w:tcMar>
              <w:bottom w:w="0" w:type="dxa"/>
            </w:tcMar>
            <w:vAlign w:val="center"/>
          </w:tcPr>
          <w:p>
            <w:pPr>
              <w:pStyle w:val="TableContents"/>
              <w:spacing w:before="0" w:after="0"/>
              <w:ind w:left="0" w:right="0" w:hanging="0"/>
              <w:rPr/>
            </w:pPr>
            <w:r>
              <w:rPr/>
              <w:t xml:space="preserve">  </w:t>
            </w:r>
          </w:p>
        </w:tc>
        <w:tc>
          <w:tcPr>
            <w:tcW w:w="357" w:type="dxa"/>
            <w:tcBorders/>
            <w:shd w:fill="auto" w:val="clear"/>
            <w:tcMar>
              <w:bottom w:w="0" w:type="dxa"/>
            </w:tcMar>
            <w:vAlign w:val="center"/>
          </w:tcPr>
          <w:p>
            <w:pPr>
              <w:pStyle w:val="TableContents"/>
              <w:spacing w:before="0" w:after="0"/>
              <w:ind w:left="0" w:right="0" w:hanging="0"/>
              <w:rPr/>
            </w:pPr>
            <w:r>
              <w:rPr/>
              <w:t xml:space="preserve">  </w:t>
            </w:r>
          </w:p>
        </w:tc>
        <w:tc>
          <w:tcPr>
            <w:tcW w:w="1540" w:type="dxa"/>
            <w:tcBorders/>
            <w:shd w:fill="auto" w:val="clear"/>
            <w:tcMar>
              <w:bottom w:w="0" w:type="dxa"/>
            </w:tcMar>
            <w:vAlign w:val="center"/>
          </w:tcPr>
          <w:p>
            <w:pPr>
              <w:pStyle w:val="TableContents"/>
              <w:spacing w:before="0" w:after="0"/>
              <w:ind w:left="0" w:right="0" w:hanging="0"/>
              <w:jc w:val="right"/>
              <w:rPr/>
            </w:pPr>
            <w:r>
              <w:rPr/>
              <w:t>—</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79" w:type="dxa"/>
            <w:tcBorders/>
            <w:shd w:fill="auto" w:val="clear"/>
            <w:tcMar>
              <w:bottom w:w="0" w:type="dxa"/>
            </w:tcMar>
            <w:vAlign w:val="center"/>
          </w:tcPr>
          <w:p>
            <w:pPr>
              <w:pStyle w:val="TableContents"/>
              <w:spacing w:before="0" w:after="0"/>
              <w:ind w:left="0" w:right="0" w:hanging="0"/>
              <w:rPr/>
            </w:pPr>
            <w:r>
              <w:rPr/>
              <w:t xml:space="preserve">  </w:t>
            </w:r>
          </w:p>
        </w:tc>
        <w:tc>
          <w:tcPr>
            <w:tcW w:w="321" w:type="dxa"/>
            <w:tcBorders/>
            <w:shd w:fill="auto" w:val="clear"/>
            <w:tcMar>
              <w:bottom w:w="0" w:type="dxa"/>
            </w:tcMar>
            <w:vAlign w:val="center"/>
          </w:tcPr>
          <w:p>
            <w:pPr>
              <w:pStyle w:val="TableContents"/>
              <w:spacing w:before="0" w:after="0"/>
              <w:ind w:left="0" w:right="0" w:hanging="0"/>
              <w:rPr/>
            </w:pPr>
            <w:r>
              <w:rPr/>
              <w:t xml:space="preserve">  </w:t>
            </w:r>
          </w:p>
        </w:tc>
        <w:tc>
          <w:tcPr>
            <w:tcW w:w="1397" w:type="dxa"/>
            <w:tcBorders/>
            <w:shd w:fill="auto" w:val="clear"/>
            <w:tcMar>
              <w:bottom w:w="0" w:type="dxa"/>
            </w:tcMar>
            <w:vAlign w:val="center"/>
          </w:tcPr>
          <w:p>
            <w:pPr>
              <w:pStyle w:val="TableContents"/>
              <w:spacing w:before="0" w:after="0"/>
              <w:ind w:left="0" w:right="0" w:hanging="0"/>
              <w:jc w:val="right"/>
              <w:rPr/>
            </w:pPr>
            <w:r>
              <w:rPr/>
              <w:t>—</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020"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40,800 </w:t>
            </w:r>
          </w:p>
        </w:tc>
        <w:tc>
          <w:tcPr>
            <w:tcW w:w="203" w:type="dxa"/>
            <w:tcBorders/>
            <w:shd w:fill="auto" w:val="clear"/>
            <w:tcMar>
              <w:bottom w:w="0" w:type="dxa"/>
            </w:tcMar>
            <w:vAlign w:val="center"/>
          </w:tcPr>
          <w:p>
            <w:pPr>
              <w:pStyle w:val="TableContents"/>
              <w:spacing w:before="0" w:after="0"/>
              <w:ind w:left="0" w:right="0" w:hanging="0"/>
              <w:rPr/>
            </w:pPr>
            <w:r>
              <w:rPr/>
              <w:t xml:space="preserve">  </w:t>
            </w:r>
          </w:p>
        </w:tc>
      </w:tr>
      <w:tr>
        <w:trPr/>
        <w:tc>
          <w:tcPr>
            <w:tcW w:w="2415"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Bruce Whaley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226" w:type="dxa"/>
            <w:tcBorders/>
            <w:shd w:fill="auto" w:val="clear"/>
            <w:tcMar>
              <w:bottom w:w="0" w:type="dxa"/>
            </w:tcMar>
            <w:vAlign w:val="center"/>
          </w:tcPr>
          <w:p>
            <w:pPr>
              <w:pStyle w:val="TableContents"/>
              <w:spacing w:before="0" w:after="0"/>
              <w:ind w:left="0" w:right="0" w:hanging="0"/>
              <w:rPr/>
            </w:pPr>
            <w:r>
              <w:rPr/>
              <w:t xml:space="preserve">  </w:t>
            </w:r>
          </w:p>
        </w:tc>
        <w:tc>
          <w:tcPr>
            <w:tcW w:w="1288"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33,600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79" w:type="dxa"/>
            <w:tcBorders/>
            <w:shd w:fill="auto" w:val="clear"/>
            <w:tcMar>
              <w:bottom w:w="0" w:type="dxa"/>
            </w:tcMar>
            <w:vAlign w:val="center"/>
          </w:tcPr>
          <w:p>
            <w:pPr>
              <w:pStyle w:val="TableContents"/>
              <w:spacing w:before="0" w:after="0"/>
              <w:ind w:left="0" w:right="0" w:hanging="0"/>
              <w:rPr/>
            </w:pPr>
            <w:r>
              <w:rPr/>
              <w:t xml:space="preserve">  </w:t>
            </w:r>
          </w:p>
        </w:tc>
        <w:tc>
          <w:tcPr>
            <w:tcW w:w="357" w:type="dxa"/>
            <w:tcBorders/>
            <w:shd w:fill="auto" w:val="clear"/>
            <w:tcMar>
              <w:bottom w:w="0" w:type="dxa"/>
            </w:tcMar>
            <w:vAlign w:val="center"/>
          </w:tcPr>
          <w:p>
            <w:pPr>
              <w:pStyle w:val="TableContents"/>
              <w:spacing w:before="0" w:after="0"/>
              <w:ind w:left="0" w:right="0" w:hanging="0"/>
              <w:rPr/>
            </w:pPr>
            <w:r>
              <w:rPr/>
              <w:t xml:space="preserve">  </w:t>
            </w:r>
          </w:p>
        </w:tc>
        <w:tc>
          <w:tcPr>
            <w:tcW w:w="1540" w:type="dxa"/>
            <w:tcBorders/>
            <w:shd w:fill="auto" w:val="clear"/>
            <w:tcMar>
              <w:bottom w:w="0" w:type="dxa"/>
            </w:tcMar>
            <w:vAlign w:val="center"/>
          </w:tcPr>
          <w:p>
            <w:pPr>
              <w:pStyle w:val="TableContents"/>
              <w:spacing w:before="0" w:after="0"/>
              <w:ind w:left="0" w:right="0" w:hanging="0"/>
              <w:jc w:val="right"/>
              <w:rPr/>
            </w:pPr>
            <w:r>
              <w:rPr/>
              <w:t>—</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79" w:type="dxa"/>
            <w:tcBorders/>
            <w:shd w:fill="auto" w:val="clear"/>
            <w:tcMar>
              <w:bottom w:w="0" w:type="dxa"/>
            </w:tcMar>
            <w:vAlign w:val="center"/>
          </w:tcPr>
          <w:p>
            <w:pPr>
              <w:pStyle w:val="TableContents"/>
              <w:spacing w:before="0" w:after="0"/>
              <w:ind w:left="0" w:right="0" w:hanging="0"/>
              <w:rPr/>
            </w:pPr>
            <w:r>
              <w:rPr/>
              <w:t xml:space="preserve">  </w:t>
            </w:r>
          </w:p>
        </w:tc>
        <w:tc>
          <w:tcPr>
            <w:tcW w:w="321" w:type="dxa"/>
            <w:tcBorders/>
            <w:shd w:fill="auto" w:val="clear"/>
            <w:tcMar>
              <w:bottom w:w="0" w:type="dxa"/>
            </w:tcMar>
            <w:vAlign w:val="center"/>
          </w:tcPr>
          <w:p>
            <w:pPr>
              <w:pStyle w:val="TableContents"/>
              <w:spacing w:before="0" w:after="0"/>
              <w:ind w:left="0" w:right="0" w:hanging="0"/>
              <w:rPr/>
            </w:pPr>
            <w:r>
              <w:rPr/>
              <w:t xml:space="preserve">  </w:t>
            </w:r>
          </w:p>
        </w:tc>
        <w:tc>
          <w:tcPr>
            <w:tcW w:w="1397" w:type="dxa"/>
            <w:tcBorders/>
            <w:shd w:fill="auto" w:val="clear"/>
            <w:tcMar>
              <w:bottom w:w="0" w:type="dxa"/>
            </w:tcMar>
            <w:vAlign w:val="center"/>
          </w:tcPr>
          <w:p>
            <w:pPr>
              <w:pStyle w:val="TableContents"/>
              <w:spacing w:before="0" w:after="0"/>
              <w:ind w:left="0" w:right="0" w:hanging="0"/>
              <w:jc w:val="right"/>
              <w:rPr/>
            </w:pPr>
            <w:r>
              <w:rPr/>
              <w:t>—</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1020"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33,600 </w:t>
            </w:r>
          </w:p>
        </w:tc>
        <w:tc>
          <w:tcPr>
            <w:tcW w:w="203" w:type="dxa"/>
            <w:tcBorders/>
            <w:shd w:fill="auto" w:val="clear"/>
            <w:tcMar>
              <w:bottom w:w="0" w:type="dxa"/>
            </w:tcMar>
            <w:vAlign w:val="center"/>
          </w:tcPr>
          <w:p>
            <w:pPr>
              <w:pStyle w:val="TableContents"/>
              <w:spacing w:before="0" w:after="0"/>
              <w:ind w:left="0" w:right="0" w:hanging="0"/>
              <w:rPr/>
            </w:pPr>
            <w:r>
              <w:rPr/>
              <w:t xml:space="preserve">  </w:t>
            </w:r>
          </w:p>
        </w:tc>
      </w:tr>
    </w:tbl>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Historically, the Company's non-employee directors have received an annual grant of stock options to purchase 10,000 shares of the Company's common stock, of which one-third of the shares vest on the first anniversary of the grant date, and the remaining vest in equal monthly increments over the subsequent 24-month period. However, the Board decided to terminate the annual stock option award to non-employee directors in 2018, and consequently, no such grants were made in 2020. All directors are reimbursed by the Company for their out-of-pocket travel and related expenses, if any, incurred in attending all Board of Directors and committee meetings.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40"/>
        <w:ind w:left="0" w:right="0" w:hanging="0"/>
        <w:jc w:val="both"/>
        <w:rPr/>
      </w:pPr>
      <w:hyperlink r:id="rId25">
        <w:r>
          <w:rPr>
            <w:rStyle w:val="VisitedInternetLink"/>
            <w:rFonts w:ascii="Times New Roman" w:hAnsi="Times New Roman"/>
            <w:b/>
            <w:strike w:val="false"/>
            <w:dstrike w:val="false"/>
            <w:color w:val="000000"/>
            <w:sz w:val="20"/>
            <w:u w:val="none"/>
            <w:effect w:val="none"/>
          </w:rPr>
          <w:t>ITEM 12. SECURITY OWNERSHIP OF CERTAIN BENEFICIAL OWNERS AND MANAGEMENT AND RELATED STOCKHOLDER MATTERS</w:t>
        </w:r>
      </w:hyperlink>
    </w:p>
    <w:p>
      <w:pPr>
        <w:pStyle w:val="TextBody"/>
        <w:spacing w:lineRule="auto" w:line="240" w:before="0" w:after="0"/>
        <w:ind w:left="0" w:right="0" w:hanging="0"/>
        <w:jc w:val="both"/>
        <w:rPr/>
      </w:pPr>
      <w:r>
        <w:rPr/>
        <w:t> </w:t>
      </w:r>
    </w:p>
    <w:p>
      <w:pPr>
        <w:pStyle w:val="TextBody"/>
        <w:spacing w:lineRule="auto" w:line="240" w:before="0" w:after="0"/>
        <w:ind w:left="0" w:right="0" w:firstLine="780"/>
        <w:jc w:val="both"/>
        <w:rPr>
          <w:rFonts w:ascii="Times New Roman" w:hAnsi="Times New Roman"/>
          <w:sz w:val="20"/>
        </w:rPr>
      </w:pPr>
      <w:r>
        <w:rPr>
          <w:rFonts w:ascii="Times New Roman" w:hAnsi="Times New Roman"/>
          <w:sz w:val="20"/>
        </w:rPr>
        <w:t>The following table sets forth certain information regarding ownership of our common stock as of March 28, 2021,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tbl>
      <w:tblPr>
        <w:tblW w:w="5000" w:type="pct"/>
        <w:jc w:val="left"/>
        <w:tblInd w:w="0" w:type="dxa"/>
        <w:tblCellMar>
          <w:top w:w="0" w:type="dxa"/>
          <w:left w:w="0" w:type="dxa"/>
          <w:bottom w:w="0" w:type="dxa"/>
          <w:right w:w="0" w:type="dxa"/>
        </w:tblCellMar>
      </w:tblPr>
      <w:tblGrid>
        <w:gridCol w:w="2027"/>
        <w:gridCol w:w="60"/>
        <w:gridCol w:w="91"/>
        <w:gridCol w:w="1294"/>
        <w:gridCol w:w="66"/>
        <w:gridCol w:w="66"/>
        <w:gridCol w:w="239"/>
        <w:gridCol w:w="1940"/>
        <w:gridCol w:w="215"/>
        <w:gridCol w:w="60"/>
        <w:gridCol w:w="126"/>
        <w:gridCol w:w="1802"/>
        <w:gridCol w:w="60"/>
        <w:gridCol w:w="60"/>
        <w:gridCol w:w="60"/>
        <w:gridCol w:w="950"/>
        <w:gridCol w:w="60"/>
        <w:gridCol w:w="60"/>
        <w:gridCol w:w="80"/>
        <w:gridCol w:w="654"/>
        <w:gridCol w:w="235"/>
      </w:tblGrid>
      <w:tr>
        <w:trPr/>
        <w:tc>
          <w:tcPr>
            <w:tcW w:w="2027" w:type="dxa"/>
            <w:tcBorders/>
            <w:shd w:fill="auto" w:val="clear"/>
            <w:vAlign w:val="center"/>
          </w:tcPr>
          <w:p>
            <w:pPr>
              <w:pStyle w:val="TableContents"/>
              <w:spacing w:before="0" w:after="0"/>
              <w:ind w:left="0" w:right="0" w:hanging="0"/>
              <w:rPr/>
            </w:pPr>
            <w:r>
              <w:rPr/>
            </w:r>
          </w:p>
        </w:tc>
        <w:tc>
          <w:tcPr>
            <w:tcW w:w="60" w:type="dxa"/>
            <w:tcBorders/>
            <w:shd w:fill="auto" w:val="clear"/>
            <w:vAlign w:val="center"/>
          </w:tcPr>
          <w:p>
            <w:pPr>
              <w:pStyle w:val="TableContents"/>
              <w:spacing w:before="0" w:after="0"/>
              <w:ind w:left="0" w:right="0" w:hanging="0"/>
              <w:rPr/>
            </w:pPr>
            <w:r>
              <w:rPr/>
              <w:t> </w:t>
            </w:r>
          </w:p>
        </w:tc>
        <w:tc>
          <w:tcPr>
            <w:tcW w:w="3696"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Shares Beneficially Owned</w:t>
            </w:r>
          </w:p>
        </w:tc>
        <w:tc>
          <w:tcPr>
            <w:tcW w:w="215"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235" w:type="dxa"/>
            <w:tcBorders/>
            <w:shd w:fill="auto" w:val="clear"/>
            <w:vAlign w:val="center"/>
          </w:tcPr>
          <w:p>
            <w:pPr>
              <w:pStyle w:val="TableContents"/>
              <w:spacing w:before="0" w:after="0"/>
              <w:ind w:left="0" w:right="0" w:hanging="0"/>
              <w:rPr/>
            </w:pPr>
            <w:r>
              <w:rPr/>
              <w:t> </w:t>
            </w:r>
          </w:p>
        </w:tc>
      </w:tr>
      <w:tr>
        <w:trPr/>
        <w:tc>
          <w:tcPr>
            <w:tcW w:w="2027"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385" w:type="dxa"/>
            <w:gridSpan w:val="2"/>
            <w:tcBorders/>
            <w:shd w:fill="auto" w:val="clear"/>
            <w:vAlign w:val="center"/>
          </w:tcPr>
          <w:p>
            <w:pPr>
              <w:pStyle w:val="TableContents"/>
              <w:spacing w:lineRule="auto" w:line="240" w:before="0" w:after="0"/>
              <w:ind w:left="0" w:right="0" w:hanging="0"/>
              <w:jc w:val="center"/>
              <w:rPr>
                <w:rFonts w:ascii="Times New Roman" w:hAnsi="Times New Roman"/>
                <w:b/>
                <w:sz w:val="18"/>
              </w:rPr>
            </w:pPr>
            <w:r>
              <w:rPr>
                <w:rFonts w:ascii="Times New Roman" w:hAnsi="Times New Roman"/>
                <w:b/>
                <w:sz w:val="18"/>
              </w:rPr>
              <w:t>Currently Owned</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179" w:type="dxa"/>
            <w:gridSpan w:val="2"/>
            <w:tcBorders/>
            <w:shd w:fill="auto" w:val="clear"/>
            <w:vAlign w:val="center"/>
          </w:tcPr>
          <w:p>
            <w:pPr>
              <w:pStyle w:val="TableContents"/>
              <w:spacing w:lineRule="auto" w:line="240" w:before="0" w:after="0"/>
              <w:ind w:left="0" w:right="0" w:hanging="0"/>
              <w:jc w:val="center"/>
              <w:rPr/>
            </w:pPr>
            <w:r>
              <w:rPr>
                <w:rFonts w:ascii="Times New Roman" w:hAnsi="Times New Roman"/>
                <w:b/>
                <w:sz w:val="18"/>
              </w:rPr>
              <w:t>Currently Owned</w:t>
            </w:r>
            <w:r>
              <w:rPr>
                <w:sz w:val="18"/>
              </w:rPr>
              <w:t> </w:t>
            </w:r>
            <w:r>
              <w:rPr>
                <w:rFonts w:ascii="Times New Roman" w:hAnsi="Times New Roman"/>
                <w:b/>
                <w:sz w:val="18"/>
              </w:rPr>
              <w:t>Percent </w:t>
            </w:r>
            <w:r>
              <w:rPr>
                <w:rFonts w:ascii="Times New Roman" w:hAnsi="Times New Roman"/>
                <w:b/>
                <w:position w:val="6"/>
                <w:sz w:val="14"/>
                <w:sz w:val="18"/>
              </w:rPr>
              <w:t>(2)</w:t>
            </w:r>
          </w:p>
        </w:tc>
        <w:tc>
          <w:tcPr>
            <w:tcW w:w="215"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928" w:type="dxa"/>
            <w:gridSpan w:val="2"/>
            <w:tcBorders/>
            <w:shd w:fill="auto" w:val="clear"/>
            <w:vAlign w:val="center"/>
          </w:tcPr>
          <w:p>
            <w:pPr>
              <w:pStyle w:val="TableContents"/>
              <w:spacing w:lineRule="auto" w:line="240" w:before="0" w:after="0"/>
              <w:ind w:left="0" w:right="0" w:hanging="0"/>
              <w:jc w:val="center"/>
              <w:rPr>
                <w:rFonts w:ascii="Times New Roman" w:hAnsi="Times New Roman"/>
                <w:b/>
                <w:sz w:val="18"/>
              </w:rPr>
            </w:pPr>
            <w:r>
              <w:rPr>
                <w:rFonts w:ascii="Times New Roman" w:hAnsi="Times New Roman"/>
                <w:b/>
                <w:sz w:val="18"/>
              </w:rPr>
              <w:t>Shares that could be acquired within 60 days</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010" w:type="dxa"/>
            <w:gridSpan w:val="2"/>
            <w:tcBorders/>
            <w:shd w:fill="auto" w:val="clear"/>
            <w:vAlign w:val="center"/>
          </w:tcPr>
          <w:p>
            <w:pPr>
              <w:pStyle w:val="TableContents"/>
              <w:spacing w:before="0" w:after="0"/>
              <w:ind w:left="0" w:right="0" w:hanging="0"/>
              <w:jc w:val="center"/>
              <w:rPr>
                <w:sz w:val="18"/>
              </w:rPr>
            </w:pPr>
            <w:r>
              <w:rPr>
                <w:rFonts w:ascii="Times New Roman" w:hAnsi="Times New Roman"/>
                <w:b/>
                <w:sz w:val="18"/>
              </w:rPr>
              <w:t>Total </w:t>
            </w:r>
            <w:r>
              <w:rPr>
                <w:rFonts w:ascii="Times New Roman" w:hAnsi="Times New Roman"/>
                <w:b/>
                <w:position w:val="5"/>
                <w:sz w:val="11"/>
                <w:sz w:val="14"/>
              </w:rPr>
              <w:t>(2)</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734" w:type="dxa"/>
            <w:gridSpan w:val="2"/>
            <w:tcBorders/>
            <w:shd w:fill="auto" w:val="clear"/>
            <w:vAlign w:val="center"/>
          </w:tcPr>
          <w:p>
            <w:pPr>
              <w:pStyle w:val="TableContents"/>
              <w:spacing w:before="0" w:after="0"/>
              <w:ind w:left="0" w:right="0" w:hanging="0"/>
              <w:jc w:val="center"/>
              <w:rPr>
                <w:sz w:val="18"/>
              </w:rPr>
            </w:pPr>
            <w:r>
              <w:rPr>
                <w:rFonts w:ascii="Times New Roman" w:hAnsi="Times New Roman"/>
                <w:b/>
                <w:sz w:val="18"/>
              </w:rPr>
              <w:t>Percent </w:t>
            </w:r>
            <w:r>
              <w:rPr>
                <w:rFonts w:ascii="Times New Roman" w:hAnsi="Times New Roman"/>
                <w:b/>
                <w:position w:val="5"/>
                <w:sz w:val="11"/>
                <w:sz w:val="14"/>
              </w:rPr>
              <w:t>(2)</w:t>
            </w:r>
          </w:p>
        </w:tc>
        <w:tc>
          <w:tcPr>
            <w:tcW w:w="235" w:type="dxa"/>
            <w:tcBorders/>
            <w:shd w:fill="auto" w:val="clear"/>
            <w:vAlign w:val="center"/>
          </w:tcPr>
          <w:p>
            <w:pPr>
              <w:pStyle w:val="TableContents"/>
              <w:spacing w:before="0" w:after="0"/>
              <w:ind w:left="0" w:right="0" w:hanging="0"/>
              <w:rPr/>
            </w:pPr>
            <w:r>
              <w:rPr/>
              <w:t> </w:t>
            </w:r>
          </w:p>
        </w:tc>
      </w:tr>
      <w:tr>
        <w:trPr/>
        <w:tc>
          <w:tcPr>
            <w:tcW w:w="2027" w:type="dxa"/>
            <w:tcBorders>
              <w:bottom w:val="single" w:sz="8" w:space="0" w:color="000000"/>
            </w:tcBorders>
            <w:shd w:fill="auto" w:val="clear"/>
            <w:tcMar>
              <w:bottom w:w="28" w:type="dxa"/>
            </w:tcMar>
            <w:vAlign w:val="center"/>
          </w:tcPr>
          <w:p>
            <w:pPr>
              <w:pStyle w:val="TableContents"/>
              <w:pBdr/>
              <w:spacing w:before="0" w:after="0"/>
              <w:ind w:left="0" w:right="0" w:hanging="0"/>
              <w:jc w:val="center"/>
              <w:rPr>
                <w:sz w:val="18"/>
              </w:rPr>
            </w:pPr>
            <w:r>
              <w:rPr>
                <w:rFonts w:ascii="Times New Roman" w:hAnsi="Times New Roman"/>
                <w:b/>
                <w:sz w:val="18"/>
              </w:rPr>
              <w:t>Name of Beneficial Owner </w:t>
            </w:r>
            <w:r>
              <w:rPr>
                <w:rFonts w:ascii="Times New Roman" w:hAnsi="Times New Roman"/>
                <w:b/>
                <w:position w:val="6"/>
                <w:sz w:val="14"/>
                <w:sz w:val="18"/>
              </w:rPr>
              <w:t>(1)</w:t>
            </w:r>
          </w:p>
        </w:tc>
        <w:tc>
          <w:tcPr>
            <w:tcW w:w="60" w:type="dxa"/>
            <w:tcBorders/>
            <w:shd w:fill="auto" w:val="clear"/>
            <w:vAlign w:val="center"/>
          </w:tcPr>
          <w:p>
            <w:pPr>
              <w:pStyle w:val="TableContents"/>
              <w:pBdr/>
              <w:spacing w:before="0" w:after="0"/>
              <w:ind w:left="0" w:right="0" w:hanging="0"/>
              <w:rPr/>
            </w:pPr>
            <w:r>
              <w:rPr/>
              <w:t> </w:t>
            </w:r>
          </w:p>
        </w:tc>
        <w:tc>
          <w:tcPr>
            <w:tcW w:w="1385" w:type="dxa"/>
            <w:gridSpan w:val="2"/>
            <w:tcBorders>
              <w:bottom w:val="single" w:sz="8" w:space="0" w:color="000000"/>
            </w:tcBorders>
            <w:shd w:fill="auto" w:val="clear"/>
            <w:tcMar>
              <w:bottom w:w="28" w:type="dxa"/>
            </w:tcMar>
            <w:vAlign w:val="center"/>
          </w:tcPr>
          <w:p>
            <w:pPr>
              <w:pStyle w:val="TableContents"/>
              <w:pBdr/>
              <w:spacing w:before="0" w:after="0"/>
              <w:ind w:left="0" w:right="0" w:hanging="0"/>
              <w:jc w:val="center"/>
              <w:rPr>
                <w:rFonts w:ascii="Times New Roman" w:hAnsi="Times New Roman"/>
                <w:sz w:val="18"/>
              </w:rPr>
            </w:pPr>
            <w:r>
              <w:rPr>
                <w:rFonts w:ascii="Times New Roman" w:hAnsi="Times New Roman"/>
                <w:sz w:val="18"/>
              </w:rPr>
              <w:t>(A)</w:t>
            </w:r>
          </w:p>
        </w:tc>
        <w:tc>
          <w:tcPr>
            <w:tcW w:w="66" w:type="dxa"/>
            <w:tcBorders/>
            <w:shd w:fill="auto" w:val="clear"/>
            <w:vAlign w:val="center"/>
          </w:tcPr>
          <w:p>
            <w:pPr>
              <w:pStyle w:val="TableContents"/>
              <w:pBdr/>
              <w:spacing w:before="0" w:after="0"/>
              <w:ind w:left="0" w:right="0" w:hanging="0"/>
              <w:rPr/>
            </w:pPr>
            <w:r>
              <w:rPr/>
              <w:t> </w:t>
            </w:r>
          </w:p>
        </w:tc>
        <w:tc>
          <w:tcPr>
            <w:tcW w:w="66" w:type="dxa"/>
            <w:tcBorders/>
            <w:shd w:fill="auto" w:val="clear"/>
            <w:vAlign w:val="center"/>
          </w:tcPr>
          <w:p>
            <w:pPr>
              <w:pStyle w:val="TableContents"/>
              <w:pBdr/>
              <w:spacing w:before="0" w:after="0"/>
              <w:ind w:left="0" w:right="0" w:hanging="0"/>
              <w:rPr/>
            </w:pPr>
            <w:r>
              <w:rPr/>
              <w:t> </w:t>
            </w:r>
          </w:p>
        </w:tc>
        <w:tc>
          <w:tcPr>
            <w:tcW w:w="2179" w:type="dxa"/>
            <w:gridSpan w:val="2"/>
            <w:tcBorders>
              <w:bottom w:val="single" w:sz="8" w:space="0" w:color="000000"/>
            </w:tcBorders>
            <w:shd w:fill="auto" w:val="clear"/>
            <w:tcMar>
              <w:bottom w:w="28" w:type="dxa"/>
            </w:tcMar>
            <w:vAlign w:val="center"/>
          </w:tcPr>
          <w:p>
            <w:pPr>
              <w:pStyle w:val="TableContents"/>
              <w:pBdr/>
              <w:spacing w:before="0" w:after="0"/>
              <w:ind w:left="0" w:right="0" w:hanging="0"/>
              <w:jc w:val="center"/>
              <w:rPr>
                <w:rFonts w:ascii="Times New Roman" w:hAnsi="Times New Roman"/>
                <w:sz w:val="18"/>
              </w:rPr>
            </w:pPr>
            <w:r>
              <w:rPr>
                <w:rFonts w:ascii="Times New Roman" w:hAnsi="Times New Roman"/>
                <w:sz w:val="18"/>
              </w:rPr>
              <w:t>(B)</w:t>
            </w:r>
          </w:p>
        </w:tc>
        <w:tc>
          <w:tcPr>
            <w:tcW w:w="215" w:type="dxa"/>
            <w:tcBorders/>
            <w:shd w:fill="auto" w:val="clear"/>
            <w:vAlign w:val="center"/>
          </w:tcPr>
          <w:p>
            <w:pPr>
              <w:pStyle w:val="TableContents"/>
              <w:pBdr/>
              <w:spacing w:before="0" w:after="0"/>
              <w:ind w:left="0" w:right="0" w:hanging="0"/>
              <w:rPr/>
            </w:pPr>
            <w:r>
              <w:rPr/>
              <w:t> </w:t>
            </w:r>
          </w:p>
        </w:tc>
        <w:tc>
          <w:tcPr>
            <w:tcW w:w="60" w:type="dxa"/>
            <w:tcBorders/>
            <w:shd w:fill="auto" w:val="clear"/>
            <w:vAlign w:val="center"/>
          </w:tcPr>
          <w:p>
            <w:pPr>
              <w:pStyle w:val="TableContents"/>
              <w:pBdr/>
              <w:spacing w:before="0" w:after="0"/>
              <w:ind w:left="0" w:right="0" w:hanging="0"/>
              <w:rPr/>
            </w:pPr>
            <w:r>
              <w:rPr/>
              <w:t> </w:t>
            </w:r>
          </w:p>
        </w:tc>
        <w:tc>
          <w:tcPr>
            <w:tcW w:w="1928" w:type="dxa"/>
            <w:gridSpan w:val="2"/>
            <w:tcBorders>
              <w:bottom w:val="single" w:sz="8" w:space="0" w:color="000000"/>
            </w:tcBorders>
            <w:shd w:fill="auto" w:val="clear"/>
            <w:tcMar>
              <w:bottom w:w="28" w:type="dxa"/>
            </w:tcMar>
            <w:vAlign w:val="center"/>
          </w:tcPr>
          <w:p>
            <w:pPr>
              <w:pStyle w:val="TableContents"/>
              <w:pBdr/>
              <w:spacing w:before="0" w:after="0"/>
              <w:ind w:left="0" w:right="0" w:hanging="0"/>
              <w:jc w:val="center"/>
              <w:rPr>
                <w:rFonts w:ascii="Times New Roman" w:hAnsi="Times New Roman"/>
                <w:sz w:val="18"/>
              </w:rPr>
            </w:pPr>
            <w:r>
              <w:rPr>
                <w:rFonts w:ascii="Times New Roman" w:hAnsi="Times New Roman"/>
                <w:sz w:val="18"/>
              </w:rPr>
              <w:t>(C)</w:t>
            </w:r>
          </w:p>
        </w:tc>
        <w:tc>
          <w:tcPr>
            <w:tcW w:w="60" w:type="dxa"/>
            <w:tcBorders/>
            <w:shd w:fill="auto" w:val="clear"/>
            <w:vAlign w:val="center"/>
          </w:tcPr>
          <w:p>
            <w:pPr>
              <w:pStyle w:val="TableContents"/>
              <w:pBdr/>
              <w:spacing w:before="0" w:after="0"/>
              <w:ind w:left="0" w:right="0" w:hanging="0"/>
              <w:rPr/>
            </w:pPr>
            <w:r>
              <w:rPr/>
              <w:t> </w:t>
            </w:r>
          </w:p>
        </w:tc>
        <w:tc>
          <w:tcPr>
            <w:tcW w:w="60" w:type="dxa"/>
            <w:tcBorders/>
            <w:shd w:fill="auto" w:val="clear"/>
            <w:vAlign w:val="center"/>
          </w:tcPr>
          <w:p>
            <w:pPr>
              <w:pStyle w:val="TableContents"/>
              <w:pBdr/>
              <w:spacing w:before="0" w:after="0"/>
              <w:ind w:left="0" w:right="0" w:hanging="0"/>
              <w:rPr/>
            </w:pPr>
            <w:r>
              <w:rPr/>
              <w:t> </w:t>
            </w:r>
          </w:p>
        </w:tc>
        <w:tc>
          <w:tcPr>
            <w:tcW w:w="1010" w:type="dxa"/>
            <w:gridSpan w:val="2"/>
            <w:tcBorders>
              <w:bottom w:val="single" w:sz="8" w:space="0" w:color="000000"/>
            </w:tcBorders>
            <w:shd w:fill="auto" w:val="clear"/>
            <w:tcMar>
              <w:bottom w:w="28" w:type="dxa"/>
            </w:tcMar>
            <w:vAlign w:val="center"/>
          </w:tcPr>
          <w:p>
            <w:pPr>
              <w:pStyle w:val="TableContents"/>
              <w:pBdr/>
              <w:spacing w:before="0" w:after="0"/>
              <w:ind w:left="0" w:right="0" w:hanging="0"/>
              <w:jc w:val="center"/>
              <w:rPr>
                <w:rFonts w:ascii="Times New Roman" w:hAnsi="Times New Roman"/>
                <w:sz w:val="18"/>
              </w:rPr>
            </w:pPr>
            <w:r>
              <w:rPr>
                <w:rFonts w:ascii="Times New Roman" w:hAnsi="Times New Roman"/>
                <w:sz w:val="18"/>
              </w:rPr>
              <w:t>(D)</w:t>
            </w:r>
          </w:p>
        </w:tc>
        <w:tc>
          <w:tcPr>
            <w:tcW w:w="60" w:type="dxa"/>
            <w:tcBorders/>
            <w:shd w:fill="auto" w:val="clear"/>
            <w:vAlign w:val="center"/>
          </w:tcPr>
          <w:p>
            <w:pPr>
              <w:pStyle w:val="TableContents"/>
              <w:pBdr/>
              <w:spacing w:before="0" w:after="0"/>
              <w:ind w:left="0" w:right="0" w:hanging="0"/>
              <w:rPr/>
            </w:pPr>
            <w:r>
              <w:rPr/>
              <w:t> </w:t>
            </w:r>
          </w:p>
        </w:tc>
        <w:tc>
          <w:tcPr>
            <w:tcW w:w="60" w:type="dxa"/>
            <w:tcBorders/>
            <w:shd w:fill="auto" w:val="clear"/>
            <w:vAlign w:val="center"/>
          </w:tcPr>
          <w:p>
            <w:pPr>
              <w:pStyle w:val="TableContents"/>
              <w:pBdr/>
              <w:spacing w:before="0" w:after="0"/>
              <w:ind w:left="0" w:right="0" w:hanging="0"/>
              <w:rPr/>
            </w:pPr>
            <w:r>
              <w:rPr/>
              <w:t> </w:t>
            </w:r>
          </w:p>
        </w:tc>
        <w:tc>
          <w:tcPr>
            <w:tcW w:w="734" w:type="dxa"/>
            <w:gridSpan w:val="2"/>
            <w:tcBorders>
              <w:bottom w:val="single" w:sz="8" w:space="0" w:color="000000"/>
            </w:tcBorders>
            <w:shd w:fill="auto" w:val="clear"/>
            <w:tcMar>
              <w:bottom w:w="28" w:type="dxa"/>
            </w:tcMar>
            <w:vAlign w:val="center"/>
          </w:tcPr>
          <w:p>
            <w:pPr>
              <w:pStyle w:val="TableContents"/>
              <w:pBdr/>
              <w:spacing w:before="0" w:after="0"/>
              <w:ind w:left="0" w:right="0" w:hanging="0"/>
              <w:jc w:val="center"/>
              <w:rPr>
                <w:rFonts w:ascii="Times New Roman" w:hAnsi="Times New Roman"/>
                <w:sz w:val="18"/>
              </w:rPr>
            </w:pPr>
            <w:r>
              <w:rPr>
                <w:rFonts w:ascii="Times New Roman" w:hAnsi="Times New Roman"/>
                <w:sz w:val="18"/>
              </w:rPr>
              <w:t>(E)</w:t>
            </w:r>
          </w:p>
        </w:tc>
        <w:tc>
          <w:tcPr>
            <w:tcW w:w="235" w:type="dxa"/>
            <w:tcBorders/>
            <w:shd w:fill="auto" w:val="clear"/>
            <w:vAlign w:val="center"/>
          </w:tcPr>
          <w:p>
            <w:pPr>
              <w:pStyle w:val="TableContents"/>
              <w:spacing w:before="0" w:after="283"/>
              <w:rPr/>
            </w:pPr>
            <w:r>
              <w:rPr/>
            </w:r>
          </w:p>
        </w:tc>
      </w:tr>
      <w:tr>
        <w:trPr/>
        <w:tc>
          <w:tcPr>
            <w:tcW w:w="2027" w:type="dxa"/>
            <w:tcBorders/>
            <w:shd w:fill="auto" w:val="clear"/>
            <w:vAlign w:val="center"/>
          </w:tcPr>
          <w:p>
            <w:pPr>
              <w:pStyle w:val="TableContents"/>
              <w:spacing w:before="0" w:after="0"/>
              <w:ind w:left="0" w:right="0" w:hanging="0"/>
              <w:rPr>
                <w:rFonts w:ascii="Times New Roman" w:hAnsi="Times New Roman"/>
                <w:b/>
                <w:sz w:val="20"/>
                <w:u w:val="single"/>
              </w:rPr>
            </w:pPr>
            <w:r>
              <w:rPr>
                <w:rFonts w:ascii="Times New Roman" w:hAnsi="Times New Roman"/>
                <w:b/>
                <w:sz w:val="20"/>
                <w:u w:val="single"/>
              </w:rPr>
              <w:t>Directors and Executive Officers:</w:t>
            </w:r>
          </w:p>
        </w:tc>
        <w:tc>
          <w:tcPr>
            <w:tcW w:w="60" w:type="dxa"/>
            <w:tcBorders/>
            <w:shd w:fill="auto" w:val="clear"/>
            <w:vAlign w:val="center"/>
          </w:tcPr>
          <w:p>
            <w:pPr>
              <w:pStyle w:val="TableContents"/>
              <w:spacing w:before="0" w:after="0"/>
              <w:ind w:left="0" w:right="0" w:hanging="0"/>
              <w:rPr/>
            </w:pPr>
            <w:r>
              <w:rPr/>
              <w:t> </w:t>
            </w:r>
          </w:p>
        </w:tc>
        <w:tc>
          <w:tcPr>
            <w:tcW w:w="91"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 </w:t>
            </w:r>
          </w:p>
        </w:tc>
        <w:tc>
          <w:tcPr>
            <w:tcW w:w="1940" w:type="dxa"/>
            <w:tcBorders/>
            <w:shd w:fill="auto" w:val="clear"/>
            <w:vAlign w:val="center"/>
          </w:tcPr>
          <w:p>
            <w:pPr>
              <w:pStyle w:val="TableContents"/>
              <w:spacing w:before="0" w:after="0"/>
              <w:ind w:left="0" w:right="0" w:hanging="0"/>
              <w:rPr/>
            </w:pPr>
            <w:r>
              <w:rPr/>
              <w:t> </w:t>
            </w:r>
          </w:p>
        </w:tc>
        <w:tc>
          <w:tcPr>
            <w:tcW w:w="215"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rPr/>
            </w:pPr>
            <w:r>
              <w:rPr/>
              <w:t> </w:t>
            </w:r>
          </w:p>
        </w:tc>
        <w:tc>
          <w:tcPr>
            <w:tcW w:w="235" w:type="dxa"/>
            <w:tcBorders/>
            <w:shd w:fill="auto" w:val="clear"/>
            <w:vAlign w:val="center"/>
          </w:tcPr>
          <w:p>
            <w:pPr>
              <w:pStyle w:val="TableContents"/>
              <w:spacing w:before="0" w:after="0"/>
              <w:ind w:left="0" w:right="0" w:hanging="0"/>
              <w:rPr/>
            </w:pPr>
            <w:r>
              <w:rPr/>
              <w:t> </w:t>
            </w:r>
          </w:p>
        </w:tc>
      </w:tr>
      <w:tr>
        <w:trPr/>
        <w:tc>
          <w:tcPr>
            <w:tcW w:w="202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Zeynep Hakimoglu</w:t>
            </w:r>
          </w:p>
        </w:tc>
        <w:tc>
          <w:tcPr>
            <w:tcW w:w="60" w:type="dxa"/>
            <w:tcBorders/>
            <w:shd w:fill="auto" w:val="clear"/>
            <w:vAlign w:val="center"/>
          </w:tcPr>
          <w:p>
            <w:pPr>
              <w:pStyle w:val="TableContents"/>
              <w:spacing w:before="0" w:after="0"/>
              <w:ind w:left="0" w:right="0" w:hanging="0"/>
              <w:rPr/>
            </w:pPr>
            <w:r>
              <w:rPr/>
              <w:t> </w:t>
            </w:r>
          </w:p>
        </w:tc>
        <w:tc>
          <w:tcPr>
            <w:tcW w:w="91"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865,341</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 </w:t>
            </w:r>
          </w:p>
        </w:tc>
        <w:tc>
          <w:tcPr>
            <w:tcW w:w="19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4.61</w:t>
            </w:r>
          </w:p>
        </w:tc>
        <w:tc>
          <w:tcPr>
            <w:tcW w:w="2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205,015</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1,070,356</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5.01</w:t>
            </w:r>
          </w:p>
        </w:tc>
        <w:tc>
          <w:tcPr>
            <w:tcW w:w="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202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Larry R. Hendricks</w:t>
            </w:r>
          </w:p>
        </w:tc>
        <w:tc>
          <w:tcPr>
            <w:tcW w:w="60" w:type="dxa"/>
            <w:tcBorders/>
            <w:shd w:fill="auto" w:val="clear"/>
            <w:vAlign w:val="center"/>
          </w:tcPr>
          <w:p>
            <w:pPr>
              <w:pStyle w:val="TableContents"/>
              <w:spacing w:before="0" w:after="0"/>
              <w:ind w:left="0" w:right="0" w:hanging="0"/>
              <w:rPr/>
            </w:pPr>
            <w:r>
              <w:rPr/>
              <w:t> </w:t>
            </w:r>
          </w:p>
        </w:tc>
        <w:tc>
          <w:tcPr>
            <w:tcW w:w="91"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4,048</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 </w:t>
            </w:r>
          </w:p>
        </w:tc>
        <w:tc>
          <w:tcPr>
            <w:tcW w:w="19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0.02</w:t>
            </w:r>
          </w:p>
        </w:tc>
        <w:tc>
          <w:tcPr>
            <w:tcW w:w="2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55,000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59,048</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0.28</w:t>
            </w:r>
          </w:p>
        </w:tc>
        <w:tc>
          <w:tcPr>
            <w:tcW w:w="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2027" w:type="dxa"/>
            <w:tcBorders/>
            <w:shd w:fill="auto" w:val="clear"/>
            <w:vAlign w:val="center"/>
          </w:tcPr>
          <w:p>
            <w:pPr>
              <w:pStyle w:val="TableContents"/>
              <w:spacing w:before="0" w:after="283"/>
              <w:rPr/>
            </w:pPr>
            <w:r>
              <w:rPr/>
              <w:t>Lisa B. Higley </w:t>
            </w:r>
            <w:r>
              <w:rPr>
                <w:position w:val="8"/>
                <w:sz w:val="19"/>
              </w:rPr>
              <w:t>(3)</w:t>
            </w:r>
          </w:p>
        </w:tc>
        <w:tc>
          <w:tcPr>
            <w:tcW w:w="60" w:type="dxa"/>
            <w:tcBorders/>
            <w:shd w:fill="auto" w:val="clear"/>
            <w:vAlign w:val="center"/>
          </w:tcPr>
          <w:p>
            <w:pPr>
              <w:pStyle w:val="TableContents"/>
              <w:spacing w:before="0" w:after="283"/>
              <w:rPr/>
            </w:pPr>
            <w:r>
              <w:rPr/>
            </w:r>
          </w:p>
        </w:tc>
        <w:tc>
          <w:tcPr>
            <w:tcW w:w="91" w:type="dxa"/>
            <w:tcBorders/>
            <w:shd w:fill="auto" w:val="clear"/>
            <w:vAlign w:val="center"/>
          </w:tcPr>
          <w:p>
            <w:pPr>
              <w:pStyle w:val="TableContents"/>
              <w:spacing w:before="0" w:after="283"/>
              <w:rPr/>
            </w:pPr>
            <w:r>
              <w:rPr/>
            </w:r>
          </w:p>
        </w:tc>
        <w:tc>
          <w:tcPr>
            <w:tcW w:w="1294" w:type="dxa"/>
            <w:tcBorders/>
            <w:shd w:fill="auto" w:val="clear"/>
            <w:vAlign w:val="center"/>
          </w:tcPr>
          <w:p>
            <w:pPr>
              <w:pStyle w:val="TableContents"/>
              <w:spacing w:before="0" w:after="283"/>
              <w:jc w:val="right"/>
              <w:rPr/>
            </w:pPr>
            <w:r>
              <w:rPr/>
              <w:t>14,501</w:t>
            </w:r>
          </w:p>
        </w:tc>
        <w:tc>
          <w:tcPr>
            <w:tcW w:w="66" w:type="dxa"/>
            <w:tcBorders/>
            <w:shd w:fill="auto" w:val="clear"/>
            <w:vAlign w:val="center"/>
          </w:tcPr>
          <w:p>
            <w:pPr>
              <w:pStyle w:val="TableContents"/>
              <w:spacing w:before="0" w:after="283"/>
              <w:rPr/>
            </w:pPr>
            <w:r>
              <w:rPr/>
            </w:r>
          </w:p>
        </w:tc>
        <w:tc>
          <w:tcPr>
            <w:tcW w:w="66" w:type="dxa"/>
            <w:tcBorders/>
            <w:shd w:fill="auto" w:val="clear"/>
            <w:vAlign w:val="center"/>
          </w:tcPr>
          <w:p>
            <w:pPr>
              <w:pStyle w:val="TableContents"/>
              <w:spacing w:before="0" w:after="283"/>
              <w:rPr/>
            </w:pPr>
            <w:r>
              <w:rPr/>
            </w:r>
          </w:p>
        </w:tc>
        <w:tc>
          <w:tcPr>
            <w:tcW w:w="239" w:type="dxa"/>
            <w:tcBorders/>
            <w:shd w:fill="auto" w:val="clear"/>
            <w:vAlign w:val="center"/>
          </w:tcPr>
          <w:p>
            <w:pPr>
              <w:pStyle w:val="TableContents"/>
              <w:spacing w:before="0" w:after="283"/>
              <w:rPr/>
            </w:pPr>
            <w:r>
              <w:rPr/>
            </w:r>
          </w:p>
        </w:tc>
        <w:tc>
          <w:tcPr>
            <w:tcW w:w="1940" w:type="dxa"/>
            <w:tcBorders/>
            <w:shd w:fill="auto" w:val="clear"/>
            <w:vAlign w:val="center"/>
          </w:tcPr>
          <w:p>
            <w:pPr>
              <w:pStyle w:val="TableContents"/>
              <w:widowControl/>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0.08</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r>
          </w:p>
        </w:tc>
        <w:tc>
          <w:tcPr>
            <w:tcW w:w="126" w:type="dxa"/>
            <w:tcBorders/>
            <w:shd w:fill="auto" w:val="clear"/>
            <w:vAlign w:val="center"/>
          </w:tcPr>
          <w:p>
            <w:pPr>
              <w:pStyle w:val="TableContents"/>
              <w:spacing w:before="0" w:after="283"/>
              <w:rPr/>
            </w:pPr>
            <w:r>
              <w:rPr/>
            </w:r>
          </w:p>
        </w:tc>
        <w:tc>
          <w:tcPr>
            <w:tcW w:w="1802" w:type="dxa"/>
            <w:tcBorders/>
            <w:shd w:fill="auto" w:val="clear"/>
            <w:vAlign w:val="center"/>
          </w:tcPr>
          <w:p>
            <w:pPr>
              <w:pStyle w:val="TableContents"/>
              <w:widowControl/>
              <w:spacing w:before="0" w:after="283"/>
              <w:ind w:left="0" w:right="0" w:hanging="0"/>
              <w:jc w:val="right"/>
              <w:rPr>
                <w:caps w:val="false"/>
                <w:smallCaps w:val="false"/>
                <w:color w:val="000000"/>
                <w:spacing w:val="0"/>
              </w:rPr>
            </w:pPr>
            <w:r>
              <w:rPr>
                <w:caps w:val="false"/>
                <w:smallCaps w:val="false"/>
                <w:color w:val="000000"/>
                <w:spacing w:val="0"/>
              </w:rPr>
              <w:t>—</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950" w:type="dxa"/>
            <w:tcBorders/>
            <w:shd w:fill="auto" w:val="clear"/>
            <w:vAlign w:val="center"/>
          </w:tcPr>
          <w:p>
            <w:pPr>
              <w:pStyle w:val="TableContents"/>
              <w:widowControl/>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14,501</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80" w:type="dxa"/>
            <w:tcBorders/>
            <w:shd w:fill="auto" w:val="clear"/>
            <w:vAlign w:val="center"/>
          </w:tcPr>
          <w:p>
            <w:pPr>
              <w:pStyle w:val="TableContents"/>
              <w:spacing w:before="0" w:after="283"/>
              <w:rPr/>
            </w:pPr>
            <w:r>
              <w:rPr/>
            </w:r>
          </w:p>
        </w:tc>
        <w:tc>
          <w:tcPr>
            <w:tcW w:w="654" w:type="dxa"/>
            <w:tcBorders/>
            <w:shd w:fill="auto" w:val="clear"/>
            <w:vAlign w:val="center"/>
          </w:tcPr>
          <w:p>
            <w:pPr>
              <w:pStyle w:val="TableContents"/>
              <w:widowControl/>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0.07</w:t>
            </w:r>
          </w:p>
        </w:tc>
        <w:tc>
          <w:tcPr>
            <w:tcW w:w="235" w:type="dxa"/>
            <w:tcBorders/>
            <w:shd w:fill="auto" w:val="clear"/>
            <w:vAlign w:val="center"/>
          </w:tcPr>
          <w:p>
            <w:pPr>
              <w:pStyle w:val="TableContents"/>
              <w:spacing w:before="0" w:after="283"/>
              <w:rPr/>
            </w:pPr>
            <w:r>
              <w:rPr/>
              <w:t>%</w:t>
            </w:r>
          </w:p>
        </w:tc>
      </w:tr>
      <w:tr>
        <w:trPr/>
        <w:tc>
          <w:tcPr>
            <w:tcW w:w="202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Eric L. Robinson</w:t>
            </w:r>
          </w:p>
        </w:tc>
        <w:tc>
          <w:tcPr>
            <w:tcW w:w="60" w:type="dxa"/>
            <w:tcBorders/>
            <w:shd w:fill="auto" w:val="clear"/>
            <w:vAlign w:val="center"/>
          </w:tcPr>
          <w:p>
            <w:pPr>
              <w:pStyle w:val="TableContents"/>
              <w:spacing w:before="0" w:after="0"/>
              <w:ind w:left="0" w:right="0" w:hanging="0"/>
              <w:rPr/>
            </w:pPr>
            <w:r>
              <w:rPr/>
              <w:t> </w:t>
            </w:r>
          </w:p>
        </w:tc>
        <w:tc>
          <w:tcPr>
            <w:tcW w:w="91"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65</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 </w:t>
            </w:r>
          </w:p>
        </w:tc>
        <w:tc>
          <w:tcPr>
            <w:tcW w:w="1940"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28,333</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28,398</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0.13</w:t>
            </w:r>
          </w:p>
        </w:tc>
        <w:tc>
          <w:tcPr>
            <w:tcW w:w="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202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Bruce Whaley</w:t>
            </w:r>
          </w:p>
        </w:tc>
        <w:tc>
          <w:tcPr>
            <w:tcW w:w="60" w:type="dxa"/>
            <w:tcBorders/>
            <w:shd w:fill="auto" w:val="clear"/>
            <w:vAlign w:val="center"/>
          </w:tcPr>
          <w:p>
            <w:pPr>
              <w:pStyle w:val="TableContents"/>
              <w:spacing w:before="0" w:after="0"/>
              <w:ind w:left="0" w:right="0" w:hanging="0"/>
              <w:rPr/>
            </w:pPr>
            <w:r>
              <w:rPr/>
              <w:t> </w:t>
            </w:r>
          </w:p>
        </w:tc>
        <w:tc>
          <w:tcPr>
            <w:tcW w:w="91"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9,000</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 </w:t>
            </w:r>
          </w:p>
        </w:tc>
        <w:tc>
          <w:tcPr>
            <w:tcW w:w="19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0.05</w:t>
            </w:r>
          </w:p>
        </w:tc>
        <w:tc>
          <w:tcPr>
            <w:tcW w:w="2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jc w:val="right"/>
              <w:rPr/>
            </w:pPr>
            <w:r>
              <w:rPr/>
              <w:t>—</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9,000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0.04</w:t>
            </w:r>
          </w:p>
        </w:tc>
        <w:tc>
          <w:tcPr>
            <w:tcW w:w="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202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Narsi Narayanan</w:t>
            </w:r>
          </w:p>
        </w:tc>
        <w:tc>
          <w:tcPr>
            <w:tcW w:w="60" w:type="dxa"/>
            <w:tcBorders/>
            <w:shd w:fill="auto" w:val="clear"/>
            <w:vAlign w:val="center"/>
          </w:tcPr>
          <w:p>
            <w:pPr>
              <w:pStyle w:val="TableContents"/>
              <w:spacing w:before="0" w:after="0"/>
              <w:ind w:left="0" w:right="0" w:hanging="0"/>
              <w:rPr/>
            </w:pPr>
            <w:r>
              <w:rPr/>
              <w:t> </w:t>
            </w:r>
          </w:p>
        </w:tc>
        <w:tc>
          <w:tcPr>
            <w:tcW w:w="91"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right"/>
              <w:rPr/>
            </w:pPr>
            <w:r>
              <w:rPr/>
              <w:t>—</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 </w:t>
            </w:r>
          </w:p>
        </w:tc>
        <w:tc>
          <w:tcPr>
            <w:tcW w:w="1940"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112,500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112,500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0.53</w:t>
            </w:r>
          </w:p>
        </w:tc>
        <w:tc>
          <w:tcPr>
            <w:tcW w:w="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202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(Directors and Officers)</w:t>
            </w:r>
          </w:p>
        </w:tc>
        <w:tc>
          <w:tcPr>
            <w:tcW w:w="60" w:type="dxa"/>
            <w:tcBorders/>
            <w:shd w:fill="auto" w:val="clear"/>
            <w:vAlign w:val="center"/>
          </w:tcPr>
          <w:p>
            <w:pPr>
              <w:pStyle w:val="TableContents"/>
              <w:spacing w:before="0" w:after="0"/>
              <w:ind w:left="0" w:right="0" w:hanging="0"/>
              <w:rPr/>
            </w:pPr>
            <w:r>
              <w:rPr/>
              <w:t> </w:t>
            </w:r>
          </w:p>
        </w:tc>
        <w:tc>
          <w:tcPr>
            <w:tcW w:w="9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294"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892,955</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 </w:t>
            </w:r>
          </w:p>
        </w:tc>
        <w:tc>
          <w:tcPr>
            <w:tcW w:w="19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4.76</w:t>
            </w:r>
          </w:p>
        </w:tc>
        <w:tc>
          <w:tcPr>
            <w:tcW w:w="2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400,848</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1,293,803</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6.06</w:t>
            </w:r>
          </w:p>
        </w:tc>
        <w:tc>
          <w:tcPr>
            <w:tcW w:w="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2027" w:type="dxa"/>
            <w:tcBorders/>
            <w:shd w:fill="auto" w:val="clear"/>
            <w:vAlign w:val="center"/>
          </w:tcPr>
          <w:p>
            <w:pPr>
              <w:pStyle w:val="TableContents"/>
              <w:spacing w:before="0" w:after="0"/>
              <w:ind w:left="0" w:right="0" w:hanging="0"/>
              <w:rPr>
                <w:rFonts w:ascii="Times New Roman" w:hAnsi="Times New Roman"/>
                <w:b/>
                <w:sz w:val="20"/>
                <w:u w:val="single"/>
              </w:rPr>
            </w:pPr>
            <w:r>
              <w:rPr>
                <w:rFonts w:ascii="Times New Roman" w:hAnsi="Times New Roman"/>
                <w:b/>
                <w:sz w:val="20"/>
                <w:u w:val="single"/>
              </w:rPr>
              <w:t>5% Shareholders:</w:t>
            </w:r>
          </w:p>
        </w:tc>
        <w:tc>
          <w:tcPr>
            <w:tcW w:w="60" w:type="dxa"/>
            <w:tcBorders/>
            <w:shd w:fill="auto" w:val="clear"/>
            <w:vAlign w:val="center"/>
          </w:tcPr>
          <w:p>
            <w:pPr>
              <w:pStyle w:val="TableContents"/>
              <w:spacing w:before="0" w:after="0"/>
              <w:ind w:left="0" w:right="0" w:hanging="0"/>
              <w:rPr/>
            </w:pPr>
            <w:r>
              <w:rPr/>
              <w:t> </w:t>
            </w:r>
          </w:p>
        </w:tc>
        <w:tc>
          <w:tcPr>
            <w:tcW w:w="91"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 </w:t>
            </w:r>
          </w:p>
        </w:tc>
        <w:tc>
          <w:tcPr>
            <w:tcW w:w="1940" w:type="dxa"/>
            <w:tcBorders/>
            <w:shd w:fill="auto" w:val="clear"/>
            <w:vAlign w:val="center"/>
          </w:tcPr>
          <w:p>
            <w:pPr>
              <w:pStyle w:val="TableContents"/>
              <w:spacing w:before="0" w:after="0"/>
              <w:ind w:left="0" w:right="0" w:hanging="0"/>
              <w:rPr/>
            </w:pPr>
            <w:r>
              <w:rPr/>
              <w:t> </w:t>
            </w:r>
          </w:p>
        </w:tc>
        <w:tc>
          <w:tcPr>
            <w:tcW w:w="215"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rPr/>
            </w:pPr>
            <w:r>
              <w:rPr/>
              <w:t> </w:t>
            </w:r>
          </w:p>
        </w:tc>
        <w:tc>
          <w:tcPr>
            <w:tcW w:w="235" w:type="dxa"/>
            <w:tcBorders/>
            <w:shd w:fill="auto" w:val="clear"/>
            <w:vAlign w:val="center"/>
          </w:tcPr>
          <w:p>
            <w:pPr>
              <w:pStyle w:val="TableContents"/>
              <w:spacing w:before="0" w:after="0"/>
              <w:ind w:left="0" w:right="0" w:hanging="0"/>
              <w:rPr/>
            </w:pPr>
            <w:r>
              <w:rPr/>
              <w:t> </w:t>
            </w:r>
          </w:p>
        </w:tc>
      </w:tr>
      <w:tr>
        <w:trPr/>
        <w:tc>
          <w:tcPr>
            <w:tcW w:w="202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Edward D. Bagley</w:t>
            </w:r>
          </w:p>
        </w:tc>
        <w:tc>
          <w:tcPr>
            <w:tcW w:w="60" w:type="dxa"/>
            <w:tcBorders/>
            <w:shd w:fill="auto" w:val="clear"/>
            <w:vAlign w:val="center"/>
          </w:tcPr>
          <w:p>
            <w:pPr>
              <w:pStyle w:val="TableContents"/>
              <w:spacing w:before="0" w:after="0"/>
              <w:ind w:left="0" w:right="0" w:hanging="0"/>
              <w:rPr/>
            </w:pPr>
            <w:r>
              <w:rPr/>
              <w:t> </w:t>
            </w:r>
          </w:p>
        </w:tc>
        <w:tc>
          <w:tcPr>
            <w:tcW w:w="91"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8,348,357</w:t>
            </w:r>
          </w:p>
        </w:tc>
        <w:tc>
          <w:tcPr>
            <w:tcW w:w="66" w:type="dxa"/>
            <w:tcBorders/>
            <w:shd w:fill="auto" w:val="clear"/>
            <w:vAlign w:val="center"/>
          </w:tcPr>
          <w:p>
            <w:pPr>
              <w:pStyle w:val="TableContents"/>
              <w:spacing w:before="0" w:after="0"/>
              <w:ind w:left="0" w:right="0" w:hanging="0"/>
              <w:rPr/>
            </w:pPr>
            <w:r>
              <w:rPr/>
              <w:t> </w:t>
            </w:r>
          </w:p>
        </w:tc>
        <w:tc>
          <w:tcPr>
            <w:tcW w:w="6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pPr>
            <w:r>
              <w:rPr/>
              <w:t> </w:t>
            </w:r>
          </w:p>
        </w:tc>
        <w:tc>
          <w:tcPr>
            <w:tcW w:w="19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44.46</w:t>
            </w:r>
          </w:p>
        </w:tc>
        <w:tc>
          <w:tcPr>
            <w:tcW w:w="2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0" w:type="dxa"/>
            <w:tcBorders/>
            <w:shd w:fill="auto" w:val="clear"/>
            <w:vAlign w:val="center"/>
          </w:tcPr>
          <w:p>
            <w:pPr>
              <w:pStyle w:val="TableContents"/>
              <w:spacing w:before="0" w:after="0"/>
              <w:ind w:left="0" w:right="0" w:hanging="0"/>
              <w:rPr/>
            </w:pPr>
            <w:r>
              <w:rPr/>
              <w:t> </w:t>
            </w:r>
          </w:p>
        </w:tc>
        <w:tc>
          <w:tcPr>
            <w:tcW w:w="126" w:type="dxa"/>
            <w:tcBorders/>
            <w:shd w:fill="auto" w:val="clear"/>
            <w:vAlign w:val="center"/>
          </w:tcPr>
          <w:p>
            <w:pPr>
              <w:pStyle w:val="TableContents"/>
              <w:spacing w:before="0" w:after="0"/>
              <w:ind w:left="0" w:right="0" w:hanging="0"/>
              <w:rPr/>
            </w:pPr>
            <w:r>
              <w:rPr/>
              <w:t> </w:t>
            </w:r>
          </w:p>
        </w:tc>
        <w:tc>
          <w:tcPr>
            <w:tcW w:w="18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1,862,917</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10,211,274</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80" w:type="dxa"/>
            <w:tcBorders/>
            <w:shd w:fill="auto" w:val="clear"/>
            <w:vAlign w:val="center"/>
          </w:tcPr>
          <w:p>
            <w:pPr>
              <w:pStyle w:val="TableContents"/>
              <w:spacing w:before="0" w:after="0"/>
              <w:ind w:left="0" w:right="0" w:hanging="0"/>
              <w:rPr/>
            </w:pPr>
            <w:r>
              <w:rPr/>
              <w:t> </w:t>
            </w:r>
          </w:p>
        </w:tc>
        <w:tc>
          <w:tcPr>
            <w:tcW w:w="65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47.77</w:t>
            </w:r>
          </w:p>
        </w:tc>
        <w:tc>
          <w:tcPr>
            <w:tcW w:w="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202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 Bryan Bagley</w:t>
            </w:r>
          </w:p>
        </w:tc>
        <w:tc>
          <w:tcPr>
            <w:tcW w:w="60" w:type="dxa"/>
            <w:tcBorders/>
            <w:shd w:fill="auto" w:val="clear"/>
            <w:vAlign w:val="center"/>
          </w:tcPr>
          <w:p>
            <w:pPr>
              <w:pStyle w:val="TableContents"/>
              <w:spacing w:before="0" w:after="283"/>
              <w:rPr/>
            </w:pPr>
            <w:r>
              <w:rPr/>
            </w:r>
          </w:p>
        </w:tc>
        <w:tc>
          <w:tcPr>
            <w:tcW w:w="91" w:type="dxa"/>
            <w:tcBorders/>
            <w:shd w:fill="auto" w:val="clear"/>
            <w:vAlign w:val="center"/>
          </w:tcPr>
          <w:p>
            <w:pPr>
              <w:pStyle w:val="TableContents"/>
              <w:spacing w:before="0" w:after="283"/>
              <w:rPr/>
            </w:pPr>
            <w:r>
              <w:rPr/>
            </w:r>
          </w:p>
        </w:tc>
        <w:tc>
          <w:tcPr>
            <w:tcW w:w="129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1,236,630</w:t>
            </w:r>
          </w:p>
        </w:tc>
        <w:tc>
          <w:tcPr>
            <w:tcW w:w="66" w:type="dxa"/>
            <w:tcBorders/>
            <w:shd w:fill="auto" w:val="clear"/>
            <w:vAlign w:val="center"/>
          </w:tcPr>
          <w:p>
            <w:pPr>
              <w:pStyle w:val="TableContents"/>
              <w:spacing w:before="0" w:after="283"/>
              <w:rPr/>
            </w:pPr>
            <w:r>
              <w:rPr/>
            </w:r>
          </w:p>
        </w:tc>
        <w:tc>
          <w:tcPr>
            <w:tcW w:w="66" w:type="dxa"/>
            <w:tcBorders/>
            <w:shd w:fill="auto" w:val="clear"/>
            <w:vAlign w:val="center"/>
          </w:tcPr>
          <w:p>
            <w:pPr>
              <w:pStyle w:val="TableContents"/>
              <w:spacing w:before="0" w:after="283"/>
              <w:rPr/>
            </w:pPr>
            <w:r>
              <w:rPr/>
            </w:r>
          </w:p>
        </w:tc>
        <w:tc>
          <w:tcPr>
            <w:tcW w:w="239" w:type="dxa"/>
            <w:tcBorders/>
            <w:shd w:fill="auto" w:val="clear"/>
            <w:vAlign w:val="center"/>
          </w:tcPr>
          <w:p>
            <w:pPr>
              <w:pStyle w:val="TableContents"/>
              <w:spacing w:before="0" w:after="283"/>
              <w:rPr/>
            </w:pPr>
            <w:r>
              <w:rPr/>
            </w:r>
          </w:p>
        </w:tc>
        <w:tc>
          <w:tcPr>
            <w:tcW w:w="19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6.59</w:t>
            </w:r>
          </w:p>
        </w:tc>
        <w:tc>
          <w:tcPr>
            <w:tcW w:w="2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0" w:type="dxa"/>
            <w:tcBorders/>
            <w:shd w:fill="auto" w:val="clear"/>
            <w:vAlign w:val="center"/>
          </w:tcPr>
          <w:p>
            <w:pPr>
              <w:pStyle w:val="TableContents"/>
              <w:spacing w:before="0" w:after="283"/>
              <w:rPr/>
            </w:pPr>
            <w:r>
              <w:rPr/>
            </w:r>
          </w:p>
        </w:tc>
        <w:tc>
          <w:tcPr>
            <w:tcW w:w="126" w:type="dxa"/>
            <w:tcBorders/>
            <w:shd w:fill="auto" w:val="clear"/>
            <w:vAlign w:val="center"/>
          </w:tcPr>
          <w:p>
            <w:pPr>
              <w:pStyle w:val="TableContents"/>
              <w:spacing w:before="0" w:after="283"/>
              <w:rPr/>
            </w:pPr>
            <w:r>
              <w:rPr/>
            </w:r>
          </w:p>
        </w:tc>
        <w:tc>
          <w:tcPr>
            <w:tcW w:w="18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336,675</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1,573,305</w:t>
            </w:r>
          </w:p>
        </w:tc>
        <w:tc>
          <w:tcPr>
            <w:tcW w:w="6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rPr/>
            </w:pPr>
            <w:r>
              <w:rPr/>
            </w:r>
          </w:p>
        </w:tc>
        <w:tc>
          <w:tcPr>
            <w:tcW w:w="80" w:type="dxa"/>
            <w:tcBorders/>
            <w:shd w:fill="auto" w:val="clear"/>
            <w:vAlign w:val="center"/>
          </w:tcPr>
          <w:p>
            <w:pPr>
              <w:pStyle w:val="TableContents"/>
              <w:spacing w:before="0" w:after="283"/>
              <w:rPr/>
            </w:pPr>
            <w:r>
              <w:rPr/>
            </w:r>
          </w:p>
        </w:tc>
        <w:tc>
          <w:tcPr>
            <w:tcW w:w="65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7.36</w:t>
            </w:r>
          </w:p>
        </w:tc>
        <w:tc>
          <w:tcPr>
            <w:tcW w:w="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bl>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40</w:t>
            </w:r>
          </w:p>
        </w:tc>
      </w:tr>
    </w:tbl>
    <w:p>
      <w:pPr>
        <w:pStyle w:val="HorizontalLine"/>
        <w:rPr/>
      </w:pPr>
      <w:r>
        <w:rPr/>
      </w:r>
    </w:p>
    <w:p>
      <w:pPr>
        <w:pStyle w:val="TextBody"/>
        <w:jc w:val="left"/>
        <w:rPr/>
      </w:pPr>
      <w:hyperlink w:anchor="TOC">
        <w:r>
          <w:rPr>
            <w:rStyle w:val="InternetLink"/>
            <w:sz w:val="20"/>
          </w:rPr>
          <w:t>Table of Contents</w:t>
        </w:r>
      </w:hyperlink>
    </w:p>
    <w:p>
      <w:pPr>
        <w:pStyle w:val="TextBody"/>
        <w:widowControl/>
        <w:spacing w:before="0" w:after="0"/>
        <w:ind w:left="0" w:right="0" w:hanging="0"/>
        <w:rPr>
          <w:rFonts w:ascii="Times New Roman" w:hAnsi="Times New Roman"/>
          <w:sz w:val="20"/>
        </w:rPr>
      </w:pPr>
      <w:r>
        <w:rPr>
          <w:rFonts w:ascii="Times New Roman" w:hAnsi="Times New Roman"/>
          <w:sz w:val="20"/>
        </w:rPr>
      </w:r>
    </w:p>
    <w:p>
      <w:pPr>
        <w:pStyle w:val="TextBody"/>
        <w:widowControl/>
        <w:spacing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spacing w:before="0" w:after="283"/>
              <w:rPr/>
            </w:pPr>
            <w:r>
              <w:rPr/>
              <w:t>(1)</w:t>
            </w:r>
          </w:p>
        </w:tc>
        <w:tc>
          <w:tcPr>
            <w:tcW w:w="9972" w:type="dxa"/>
            <w:tcBorders/>
            <w:shd w:fill="auto" w:val="clear"/>
            <w:vAlign w:val="center"/>
          </w:tcPr>
          <w:p>
            <w:pPr>
              <w:pStyle w:val="TableContents"/>
              <w:widowControl/>
              <w:spacing w:before="0" w:after="283"/>
              <w:ind w:left="0" w:right="0" w:hanging="0"/>
              <w:jc w:val="both"/>
              <w:rPr/>
            </w:pPr>
            <w:r>
              <w:rPr>
                <w:rFonts w:ascii="Times New Roman" w:hAnsi="Times New Roman"/>
                <w:b w:val="false"/>
                <w:i w:val="false"/>
                <w:caps w:val="false"/>
                <w:smallCaps w:val="false"/>
                <w:color w:val="000000"/>
                <w:spacing w:val="0"/>
                <w:sz w:val="20"/>
              </w:rPr>
              <w:t>Except as otherwise indicated, each person named in the table has sole voting and investment power, subject to applicable community property law. Except as otherwise indicated, each person may be reached at our corporate offices c/o</w:t>
            </w:r>
            <w:r>
              <w:rPr>
                <w:caps w:val="false"/>
                <w:smallCaps w:val="false"/>
                <w:color w:val="000000"/>
                <w:spacing w:val="0"/>
              </w:rPr>
              <w:t> </w:t>
            </w:r>
            <w:r>
              <w:rPr/>
              <w:t>ClearOne</w:t>
            </w:r>
            <w:r>
              <w:rPr>
                <w:rFonts w:ascii="Times New Roman" w:hAnsi="Times New Roman"/>
                <w:b w:val="false"/>
                <w:i w:val="false"/>
                <w:caps w:val="false"/>
                <w:smallCaps w:val="false"/>
                <w:color w:val="000000"/>
                <w:spacing w:val="0"/>
                <w:sz w:val="20"/>
              </w:rPr>
              <w:t>,</w:t>
            </w:r>
            <w:r>
              <w:rPr>
                <w:caps w:val="false"/>
                <w:smallCaps w:val="false"/>
                <w:color w:val="000000"/>
                <w:spacing w:val="0"/>
              </w:rPr>
              <w:t> </w:t>
            </w:r>
            <w:r>
              <w:rPr/>
              <w:t>Inc</w:t>
            </w:r>
            <w:r>
              <w:rPr>
                <w:rFonts w:ascii="Times New Roman" w:hAnsi="Times New Roman"/>
                <w:b w:val="false"/>
                <w:i w:val="false"/>
                <w:caps w:val="false"/>
                <w:smallCaps w:val="false"/>
                <w:color w:val="000000"/>
                <w:spacing w:val="0"/>
                <w:sz w:val="20"/>
              </w:rPr>
              <w:t>.,</w:t>
            </w:r>
            <w:r>
              <w:rPr>
                <w:caps w:val="false"/>
                <w:smallCaps w:val="false"/>
                <w:color w:val="000000"/>
                <w:spacing w:val="0"/>
              </w:rPr>
              <w:t> </w:t>
            </w:r>
            <w:r>
              <w:rPr/>
              <w:t>5225</w:t>
            </w:r>
            <w:r>
              <w:rPr>
                <w:caps w:val="false"/>
                <w:smallCaps w:val="false"/>
                <w:color w:val="000000"/>
                <w:spacing w:val="0"/>
              </w:rPr>
              <w:t> </w:t>
            </w:r>
            <w:r>
              <w:rPr>
                <w:rFonts w:ascii="Times New Roman" w:hAnsi="Times New Roman"/>
                <w:b w:val="false"/>
                <w:i w:val="false"/>
                <w:caps w:val="false"/>
                <w:smallCaps w:val="false"/>
                <w:color w:val="000000"/>
                <w:spacing w:val="0"/>
                <w:sz w:val="20"/>
              </w:rPr>
              <w:t>Wiley Post Way, Suite</w:t>
            </w:r>
            <w:r>
              <w:rPr>
                <w:caps w:val="false"/>
                <w:smallCaps w:val="false"/>
                <w:color w:val="000000"/>
                <w:spacing w:val="0"/>
              </w:rPr>
              <w:t> </w:t>
            </w:r>
            <w:r>
              <w:rPr/>
              <w:t>500</w:t>
            </w:r>
            <w:r>
              <w:rPr>
                <w:rFonts w:ascii="Times New Roman" w:hAnsi="Times New Roman"/>
                <w:b w:val="false"/>
                <w:i w:val="false"/>
                <w:caps w:val="false"/>
                <w:smallCaps w:val="false"/>
                <w:color w:val="000000"/>
                <w:spacing w:val="0"/>
                <w:sz w:val="20"/>
              </w:rPr>
              <w:t>, Salt Lake City, Utah</w:t>
            </w:r>
            <w:r>
              <w:rPr>
                <w:caps w:val="false"/>
                <w:smallCaps w:val="false"/>
                <w:color w:val="000000"/>
                <w:spacing w:val="0"/>
              </w:rPr>
              <w:t> </w:t>
            </w:r>
            <w:r>
              <w:rPr/>
              <w:t>84116</w:t>
            </w:r>
            <w:r>
              <w:rPr>
                <w:rFonts w:ascii="Times New Roman" w:hAnsi="Times New Roman"/>
                <w:b w:val="false"/>
                <w:i w:val="false"/>
                <w:caps w:val="false"/>
                <w:smallCaps w:val="false"/>
                <w:color w:val="000000"/>
                <w:spacing w:val="0"/>
                <w:sz w:val="20"/>
              </w:rPr>
              <w:t>.</w:t>
            </w:r>
          </w:p>
        </w:tc>
      </w:tr>
      <w:tr>
        <w:trPr/>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(2) </w:t>
            </w:r>
          </w:p>
        </w:tc>
        <w:tc>
          <w:tcPr>
            <w:tcW w:w="9972" w:type="dxa"/>
            <w:tcBorders/>
            <w:shd w:fill="auto" w:val="clear"/>
            <w:vAlign w:val="center"/>
          </w:tcPr>
          <w:p>
            <w:pPr>
              <w:pStyle w:val="TableContents"/>
              <w:widowControl/>
              <w:spacing w:before="0" w:after="180"/>
              <w:ind w:left="0" w:right="0" w:hanging="0"/>
              <w:jc w:val="both"/>
              <w:rPr>
                <w:rFonts w:ascii="Times New Roman" w:hAnsi="Times New Roman"/>
                <w:sz w:val="20"/>
              </w:rPr>
            </w:pPr>
            <w:r>
              <w:rPr>
                <w:rFonts w:ascii="Times New Roman" w:hAnsi="Times New Roman"/>
                <w:sz w:val="20"/>
              </w:rPr>
              <w:t>The percentages shown in Column (B) are calculated based on 18,775,773 shares of common stock outstanding on March 29, 2021. The numbers shown in Column (D) and percentages shown in Column (E) include the shares of common stock actually owned as of March 29, 2021 and the shares of common stock that the identified person or group had the right to acquire within 60 days of such date. In calculating the percentage of ownership, all shares of common stock that each identified person or group had the right to acquire within 60 days of March 29, 2021 upon the exercise of the stock </w:t>
            </w:r>
            <w:r>
              <w:rPr>
                <w:rFonts w:ascii="Times New Roman" w:hAnsi="Times New Roman"/>
                <w:b w:val="false"/>
                <w:i w:val="false"/>
                <w:caps w:val="false"/>
                <w:smallCaps w:val="false"/>
                <w:color w:val="000000"/>
                <w:spacing w:val="0"/>
                <w:sz w:val="20"/>
              </w:rPr>
              <w:t>options, secured convertible notes and warrants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shown in Column (C)</w:t>
            </w:r>
            <w:r>
              <w:rPr>
                <w:rFonts w:ascii="Times New Roman" w:hAnsi="Times New Roman"/>
                <w:sz w:val="20"/>
              </w:rPr>
              <w:t xml:space="preserve"> are deemed to be outstanding for the purpose of computing the percentage of the shares of common stock owned by the persons or groups listed above. </w:t>
            </w:r>
          </w:p>
        </w:tc>
      </w:tr>
      <w:tr>
        <w:trPr/>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(3) </w:t>
            </w:r>
          </w:p>
        </w:tc>
        <w:tc>
          <w:tcPr>
            <w:tcW w:w="9972" w:type="dxa"/>
            <w:tcBorders/>
            <w:shd w:fill="auto" w:val="clear"/>
            <w:vAlign w:val="center"/>
          </w:tcPr>
          <w:p>
            <w:pPr>
              <w:pStyle w:val="TableContents"/>
              <w:widowControl/>
              <w:spacing w:before="0" w:after="100"/>
              <w:ind w:left="0" w:right="0" w:hanging="0"/>
              <w:jc w:val="both"/>
              <w:rPr/>
            </w:pPr>
            <w:r>
              <w:rPr>
                <w:b w:val="false"/>
                <w:i w:val="false"/>
                <w:caps w:val="false"/>
                <w:smallCaps w:val="false"/>
                <w:color w:val="000000"/>
                <w:spacing w:val="0"/>
                <w:sz w:val="20"/>
              </w:rPr>
              <w:t>This information is based upon the Form 3 filed with the SEC as of July 20, 2020.</w:t>
            </w:r>
            <w:r>
              <w:rPr>
                <w:caps w:val="false"/>
                <w:smallCaps w:val="false"/>
                <w:color w:val="000000"/>
                <w:spacing w:val="0"/>
              </w:rPr>
              <w:t> </w:t>
            </w:r>
            <w:r>
              <w:rPr>
                <w:b w:val="false"/>
                <w:i w:val="false"/>
                <w:caps w:val="false"/>
                <w:smallCaps w:val="false"/>
                <w:color w:val="000000"/>
                <w:spacing w:val="0"/>
                <w:sz w:val="20"/>
              </w:rPr>
              <w:t>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w:t>
            </w:r>
          </w:p>
        </w:tc>
      </w:tr>
      <w:tr>
        <w:trPr/>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(4) </w:t>
            </w:r>
          </w:p>
        </w:tc>
        <w:tc>
          <w:tcPr>
            <w:tcW w:w="9972" w:type="dxa"/>
            <w:tcBorders/>
            <w:shd w:fill="auto" w:val="clear"/>
            <w:vAlign w:val="center"/>
          </w:tcPr>
          <w:p>
            <w:pPr>
              <w:pStyle w:val="TableContents"/>
              <w:widowControl/>
              <w:spacing w:before="0" w:after="100"/>
              <w:ind w:left="0" w:right="0" w:hanging="0"/>
              <w:jc w:val="both"/>
              <w:rPr/>
            </w:pPr>
            <w:r>
              <w:rPr>
                <w:b w:val="false"/>
                <w:i w:val="false"/>
                <w:caps w:val="false"/>
                <w:smallCaps w:val="false"/>
                <w:color w:val="000000"/>
                <w:spacing w:val="0"/>
                <w:sz w:val="20"/>
              </w:rPr>
              <w:t>Mr. Edward D. Bagley may be deemed to own an additional 2,252,636</w:t>
            </w:r>
            <w:r>
              <w:rPr>
                <w:caps w:val="false"/>
                <w:smallCaps w:val="false"/>
                <w:color w:val="000000"/>
                <w:spacing w:val="0"/>
              </w:rPr>
              <w:t> </w:t>
            </w:r>
            <w:r>
              <w:rPr>
                <w:b w:val="false"/>
                <w:i w:val="false"/>
                <w:caps w:val="false"/>
                <w:smallCaps w:val="false"/>
                <w:color w:val="000000"/>
                <w:spacing w:val="0"/>
                <w:sz w:val="20"/>
              </w:rPr>
              <w:t>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10,211,274</w:t>
            </w:r>
            <w:r>
              <w:rPr>
                <w:caps w:val="false"/>
                <w:smallCaps w:val="false"/>
                <w:color w:val="000000"/>
                <w:spacing w:val="0"/>
              </w:rPr>
              <w:t> </w:t>
            </w:r>
            <w:r>
              <w:rPr>
                <w:b w:val="false"/>
                <w:i w:val="false"/>
                <w:caps w:val="false"/>
                <w:smallCaps w:val="false"/>
                <w:color w:val="000000"/>
                <w:spacing w:val="0"/>
                <w:sz w:val="20"/>
              </w:rPr>
              <w:t>shares (including the shares that may be acquired pursuant to exercise of options to purchase 28,333 shares of common stock, secured convertible notes to purchase 1,149,289 shares of common stock and warrants to purchase 685,295 shares of common stock) and shared voting and dispositive power over the 355,257 shares held by Mr. Edward D. Bagley’s spouse. This information is based upon Schedule</w:t>
            </w:r>
            <w:r>
              <w:rPr>
                <w:caps w:val="false"/>
                <w:smallCaps w:val="false"/>
                <w:color w:val="000000"/>
                <w:spacing w:val="0"/>
              </w:rPr>
              <w:t> </w:t>
            </w:r>
            <w:r>
              <w:rPr>
                <w:b w:val="false"/>
                <w:i w:val="false"/>
                <w:caps w:val="false"/>
                <w:smallCaps w:val="false"/>
                <w:color w:val="000000"/>
                <w:spacing w:val="0"/>
                <w:sz w:val="20"/>
              </w:rPr>
              <w:t>13D/A and Form 4 as filed by Mr. Bagley with the SEC in September 2020 and December 2020, respectively.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w:t>
            </w:r>
            <w:r>
              <w:rPr>
                <w:caps w:val="false"/>
                <w:smallCaps w:val="false"/>
                <w:color w:val="000000"/>
                <w:spacing w:val="0"/>
              </w:rPr>
              <w:t> </w:t>
            </w:r>
            <w:r>
              <w:rPr>
                <w:b w:val="false"/>
                <w:i w:val="false"/>
                <w:caps w:val="false"/>
                <w:smallCaps w:val="false"/>
                <w:color w:val="000000"/>
                <w:spacing w:val="0"/>
                <w:sz w:val="20"/>
              </w:rPr>
              <w:t>Bagley or Lisa Higley.</w:t>
            </w:r>
          </w:p>
        </w:tc>
      </w:tr>
      <w:tr>
        <w:trPr/>
        <w:tc>
          <w:tcPr>
            <w:tcW w:w="233" w:type="dxa"/>
            <w:tcBorders/>
            <w:shd w:fill="auto" w:val="clear"/>
            <w:vAlign w:val="center"/>
          </w:tcPr>
          <w:p>
            <w:pPr>
              <w:pStyle w:val="TableContents"/>
              <w:spacing w:before="0" w:after="283"/>
              <w:rPr/>
            </w:pPr>
            <w:r>
              <w:rPr/>
              <w:t>(5)</w:t>
            </w:r>
          </w:p>
        </w:tc>
        <w:tc>
          <w:tcPr>
            <w:tcW w:w="9972" w:type="dxa"/>
            <w:tcBorders/>
            <w:shd w:fill="auto" w:val="clear"/>
            <w:vAlign w:val="center"/>
          </w:tcPr>
          <w:p>
            <w:pPr>
              <w:pStyle w:val="TableContents"/>
              <w:widowControl/>
              <w:spacing w:before="0" w:after="283"/>
              <w:ind w:left="0" w:right="0" w:hanging="0"/>
              <w:jc w:val="both"/>
              <w:rPr/>
            </w:pPr>
            <w:r>
              <w:rPr>
                <w:b w:val="false"/>
                <w:i w:val="false"/>
                <w:caps w:val="false"/>
                <w:smallCaps w:val="false"/>
                <w:color w:val="000000"/>
                <w:spacing w:val="0"/>
                <w:sz w:val="20"/>
              </w:rPr>
              <w:t>Mr. E. Bryan Bagley has sole voting and dispositive power over 1,573,305 shares (including the shares that may be acquired pursuant to exercise of secured convertible notes to purchase 229,857</w:t>
            </w:r>
            <w:r>
              <w:rPr>
                <w:caps w:val="false"/>
                <w:smallCaps w:val="false"/>
                <w:color w:val="000000"/>
                <w:spacing w:val="0"/>
              </w:rPr>
              <w:t> </w:t>
            </w:r>
            <w:r>
              <w:rPr>
                <w:b w:val="false"/>
                <w:i w:val="false"/>
                <w:caps w:val="false"/>
                <w:smallCaps w:val="false"/>
                <w:color w:val="000000"/>
                <w:spacing w:val="0"/>
                <w:sz w:val="20"/>
              </w:rPr>
              <w:t>shares of common stock and warrants to purchase 106,818</w:t>
            </w:r>
            <w:r>
              <w:rPr>
                <w:caps w:val="false"/>
                <w:smallCaps w:val="false"/>
                <w:color w:val="000000"/>
                <w:spacing w:val="0"/>
              </w:rPr>
              <w:t> </w:t>
            </w:r>
            <w:r>
              <w:rPr>
                <w:b w:val="false"/>
                <w:i w:val="false"/>
                <w:caps w:val="false"/>
                <w:smallCaps w:val="false"/>
                <w:color w:val="000000"/>
                <w:spacing w:val="0"/>
                <w:sz w:val="20"/>
              </w:rPr>
              <w:t>shares of common stock) This information is based upon Schedule</w:t>
            </w:r>
            <w:r>
              <w:rPr>
                <w:caps w:val="false"/>
                <w:smallCaps w:val="false"/>
                <w:color w:val="000000"/>
                <w:spacing w:val="0"/>
              </w:rPr>
              <w:t> </w:t>
            </w:r>
            <w:r>
              <w:rPr>
                <w:b w:val="false"/>
                <w:i w:val="false"/>
                <w:caps w:val="false"/>
                <w:smallCaps w:val="false"/>
                <w:color w:val="000000"/>
                <w:spacing w:val="0"/>
                <w:sz w:val="20"/>
              </w:rPr>
              <w:t>13D/A as filed by E. Bryan Bagley with the SEC in September 2020.</w:t>
            </w:r>
            <w:r>
              <w:rPr>
                <w:caps w:val="false"/>
                <w:smallCaps w:val="false"/>
                <w:color w:val="000000"/>
                <w:spacing w:val="0"/>
              </w:rPr>
              <w:t> </w:t>
            </w:r>
            <w:r>
              <w:rPr>
                <w:b w:val="false"/>
                <w:i w:val="false"/>
                <w:caps w:val="false"/>
                <w:smallCaps w:val="false"/>
                <w:color w:val="000000"/>
                <w:spacing w:val="0"/>
                <w:sz w:val="20"/>
              </w:rPr>
              <w:t>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  The share amounts indicated for Mr. E. Bryan Bagley do not include 2,252,636 shares held by a trust in which he is a co-trustee.</w:t>
            </w:r>
          </w:p>
        </w:tc>
      </w:tr>
    </w:tbl>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41</w:t>
            </w:r>
          </w:p>
        </w:tc>
      </w:tr>
    </w:tbl>
    <w:p>
      <w:pPr>
        <w:pStyle w:val="HorizontalLine"/>
        <w:spacing w:lineRule="auto" w:line="240"/>
        <w:rPr/>
      </w:pPr>
      <w:r>
        <w:rPr/>
      </w:r>
    </w:p>
    <w:p>
      <w:pPr>
        <w:pStyle w:val="TextBody"/>
        <w:spacing w:lineRule="auto" w:line="240"/>
        <w:jc w:val="left"/>
        <w:rPr/>
      </w:pPr>
      <w:hyperlink w:anchor="TOC">
        <w:r>
          <w:rPr>
            <w:rStyle w:val="InternetLink"/>
            <w:sz w:val="20"/>
          </w:rPr>
          <w:t>Table of Contents</w:t>
        </w:r>
      </w:hyperlink>
    </w:p>
    <w:p>
      <w:pPr>
        <w:pStyle w:val="TextBody"/>
        <w:spacing w:lineRule="auto" w:line="240" w:before="0" w:after="0"/>
        <w:ind w:left="144" w:right="144" w:hanging="0"/>
        <w:rPr>
          <w:rFonts w:ascii="Times New Roman" w:hAnsi="Times New Roman"/>
          <w:sz w:val="20"/>
        </w:rPr>
      </w:pPr>
      <w:r>
        <w:rPr>
          <w:rFonts w:ascii="Times New Roman" w:hAnsi="Times New Roman"/>
          <w:sz w:val="20"/>
        </w:rPr>
      </w:r>
    </w:p>
    <w:p>
      <w:pPr>
        <w:pStyle w:val="TextBody"/>
        <w:spacing w:lineRule="auto" w:line="240" w:before="0" w:after="0"/>
        <w:ind w:left="0" w:right="0" w:hanging="0"/>
        <w:rPr/>
      </w:pPr>
      <w:r>
        <w:rPr/>
        <w:t> </w:t>
      </w:r>
      <w:r>
        <w:rPr>
          <w:rFonts w:ascii="Times New Roman" w:hAnsi="Times New Roman"/>
          <w:b/>
          <w:sz w:val="20"/>
        </w:rPr>
        <w:t>Equity Compensation Plan Information</w:t>
      </w:r>
    </w:p>
    <w:p>
      <w:pPr>
        <w:pStyle w:val="TextBody"/>
        <w:spacing w:lineRule="auto" w:line="240" w:before="0" w:after="0"/>
        <w:ind w:left="294" w:right="294" w:hanging="0"/>
        <w:rPr/>
      </w:pPr>
      <w:r>
        <w:rPr/>
        <w:t> </w:t>
      </w:r>
    </w:p>
    <w:p>
      <w:pPr>
        <w:pStyle w:val="TextBody"/>
        <w:spacing w:lineRule="auto" w:line="240" w:before="0" w:after="0"/>
        <w:ind w:left="0" w:right="0" w:firstLine="720"/>
        <w:rPr>
          <w:rFonts w:ascii="Times New Roman" w:hAnsi="Times New Roman"/>
          <w:sz w:val="20"/>
        </w:rPr>
      </w:pPr>
      <w:r>
        <w:rPr>
          <w:rFonts w:ascii="Times New Roman" w:hAnsi="Times New Roman"/>
          <w:sz w:val="20"/>
        </w:rPr>
        <w:t>The following table summarizes information, as of December 31, 2020, relating to equity compensation plans of the Company (including individual compensation arrangements) pursuant to which equity securities of the Company are authorized for issuance.</w:t>
      </w:r>
    </w:p>
    <w:p>
      <w:pPr>
        <w:pStyle w:val="TextBody"/>
        <w:spacing w:lineRule="auto" w:line="240" w:before="0" w:after="0"/>
        <w:ind w:left="144" w:right="144" w:hanging="0"/>
        <w:jc w:val="both"/>
        <w:rPr>
          <w:rFonts w:ascii="Times New Roman" w:hAnsi="Times New Roman"/>
          <w:b/>
          <w:sz w:val="20"/>
        </w:rPr>
      </w:pPr>
      <w:r>
        <w:rPr>
          <w:rFonts w:ascii="Times New Roman" w:hAnsi="Times New Roman"/>
          <w:b/>
          <w:sz w:val="20"/>
        </w:rPr>
      </w:r>
    </w:p>
    <w:tbl>
      <w:tblPr>
        <w:tblW w:w="5000" w:type="pct"/>
        <w:jc w:val="center"/>
        <w:tblInd w:w="0" w:type="dxa"/>
        <w:tblCellMar>
          <w:top w:w="0" w:type="dxa"/>
          <w:left w:w="0" w:type="dxa"/>
          <w:bottom w:w="28" w:type="dxa"/>
          <w:right w:w="0" w:type="dxa"/>
        </w:tblCellMar>
      </w:tblPr>
      <w:tblGrid>
        <w:gridCol w:w="2082"/>
        <w:gridCol w:w="23"/>
        <w:gridCol w:w="2329"/>
        <w:gridCol w:w="23"/>
        <w:gridCol w:w="2640"/>
        <w:gridCol w:w="23"/>
        <w:gridCol w:w="3085"/>
      </w:tblGrid>
      <w:tr>
        <w:trPr/>
        <w:tc>
          <w:tcPr>
            <w:tcW w:w="2082" w:type="dxa"/>
            <w:tcBorders>
              <w:bottom w:val="single" w:sz="8" w:space="0" w:color="000000"/>
            </w:tcBorders>
            <w:shd w:fill="auto" w:val="clear"/>
            <w:vAlign w:val="center"/>
          </w:tcPr>
          <w:p>
            <w:pPr>
              <w:pStyle w:val="TableContents"/>
              <w:spacing w:before="0" w:after="0"/>
              <w:rPr/>
            </w:pPr>
            <w:r>
              <w:rPr/>
              <w:t xml:space="preserve">  </w:t>
            </w:r>
            <w:r>
              <w:rPr>
                <w:b/>
                <w:sz w:val="18"/>
              </w:rPr>
              <w:t>Plan Category</w:t>
            </w:r>
          </w:p>
        </w:tc>
        <w:tc>
          <w:tcPr>
            <w:tcW w:w="23" w:type="dxa"/>
            <w:tcBorders/>
            <w:shd w:fill="auto" w:val="clear"/>
            <w:tcMar>
              <w:bottom w:w="0" w:type="dxa"/>
            </w:tcMar>
            <w:vAlign w:val="center"/>
          </w:tcPr>
          <w:p>
            <w:pPr>
              <w:pStyle w:val="TableContents"/>
              <w:spacing w:before="0" w:after="0"/>
              <w:ind w:left="0" w:right="0" w:hanging="0"/>
              <w:jc w:val="center"/>
              <w:rPr/>
            </w:pPr>
            <w:r>
              <w:rPr/>
            </w:r>
          </w:p>
        </w:tc>
        <w:tc>
          <w:tcPr>
            <w:tcW w:w="2329" w:type="dxa"/>
            <w:tcBorders>
              <w:bottom w:val="single" w:sz="8" w:space="0" w:color="000000"/>
            </w:tcBorders>
            <w:shd w:fill="auto" w:val="clear"/>
            <w:vAlign w:val="bottom"/>
          </w:tcPr>
          <w:p>
            <w:pPr>
              <w:pStyle w:val="TableContents"/>
              <w:spacing w:before="0" w:after="0"/>
              <w:jc w:val="center"/>
              <w:rPr/>
            </w:pPr>
            <w:r>
              <w:rPr>
                <w:b/>
                <w:sz w:val="18"/>
              </w:rPr>
              <w:t>(a)</w:t>
            </w:r>
            <w:r>
              <w:rPr/>
              <w:br/>
            </w:r>
            <w:r>
              <w:rPr>
                <w:b/>
                <w:sz w:val="18"/>
              </w:rPr>
              <w:t>Number of securities to be issued upon exercise of outstanding</w:t>
            </w:r>
            <w:r>
              <w:rPr>
                <w:sz w:val="18"/>
              </w:rPr>
              <w:t> </w:t>
            </w:r>
            <w:r>
              <w:rPr>
                <w:b/>
                <w:sz w:val="18"/>
              </w:rPr>
              <w:t>options and rights</w:t>
            </w:r>
          </w:p>
        </w:tc>
        <w:tc>
          <w:tcPr>
            <w:tcW w:w="23" w:type="dxa"/>
            <w:tcBorders/>
            <w:shd w:fill="auto" w:val="clear"/>
            <w:tcMar>
              <w:bottom w:w="0" w:type="dxa"/>
            </w:tcMar>
            <w:vAlign w:val="center"/>
          </w:tcPr>
          <w:p>
            <w:pPr>
              <w:pStyle w:val="TableContents"/>
              <w:spacing w:before="0" w:after="0"/>
              <w:ind w:left="0" w:right="0" w:hanging="0"/>
              <w:jc w:val="center"/>
              <w:rPr/>
            </w:pPr>
            <w:r>
              <w:rPr/>
            </w:r>
          </w:p>
        </w:tc>
        <w:tc>
          <w:tcPr>
            <w:tcW w:w="2640" w:type="dxa"/>
            <w:tcBorders>
              <w:bottom w:val="single" w:sz="8" w:space="0" w:color="000000"/>
            </w:tcBorders>
            <w:shd w:fill="auto" w:val="clear"/>
            <w:vAlign w:val="bottom"/>
          </w:tcPr>
          <w:p>
            <w:pPr>
              <w:pStyle w:val="TableContents"/>
              <w:spacing w:before="0" w:after="0"/>
              <w:jc w:val="center"/>
              <w:rPr/>
            </w:pPr>
            <w:r>
              <w:rPr>
                <w:b/>
                <w:sz w:val="18"/>
              </w:rPr>
              <w:t>(b)</w:t>
            </w:r>
            <w:r>
              <w:rPr/>
              <w:br/>
            </w:r>
            <w:r>
              <w:rPr>
                <w:b/>
                <w:sz w:val="18"/>
              </w:rPr>
              <w:t>Weighted</w:t>
              <w:noBreakHyphen/>
              <w:t>Average Exercise Price of Outstanding Options and Rights</w:t>
            </w:r>
          </w:p>
        </w:tc>
        <w:tc>
          <w:tcPr>
            <w:tcW w:w="23" w:type="dxa"/>
            <w:tcBorders/>
            <w:shd w:fill="auto" w:val="clear"/>
            <w:tcMar>
              <w:bottom w:w="0" w:type="dxa"/>
            </w:tcMar>
            <w:vAlign w:val="center"/>
          </w:tcPr>
          <w:p>
            <w:pPr>
              <w:pStyle w:val="TableContents"/>
              <w:spacing w:before="0" w:after="0"/>
              <w:ind w:left="0" w:right="0" w:hanging="0"/>
              <w:jc w:val="center"/>
              <w:rPr/>
            </w:pPr>
            <w:r>
              <w:rPr/>
            </w:r>
          </w:p>
        </w:tc>
        <w:tc>
          <w:tcPr>
            <w:tcW w:w="3085" w:type="dxa"/>
            <w:tcBorders>
              <w:bottom w:val="single" w:sz="8" w:space="0" w:color="000000"/>
            </w:tcBorders>
            <w:shd w:fill="auto" w:val="clear"/>
            <w:vAlign w:val="bottom"/>
          </w:tcPr>
          <w:p>
            <w:pPr>
              <w:pStyle w:val="TableContents"/>
              <w:spacing w:before="0" w:after="0"/>
              <w:jc w:val="center"/>
              <w:rPr/>
            </w:pPr>
            <w:r>
              <w:rPr>
                <w:b/>
                <w:sz w:val="18"/>
              </w:rPr>
              <w:t>(c)</w:t>
            </w:r>
            <w:r>
              <w:rPr/>
              <w:br/>
            </w:r>
            <w:r>
              <w:rPr>
                <w:b/>
                <w:sz w:val="18"/>
              </w:rPr>
              <w:t>Number of  securities remaining available for future issuance under equity compensation plans (excluding securities reflected in column(a))</w:t>
            </w:r>
          </w:p>
        </w:tc>
      </w:tr>
      <w:tr>
        <w:trPr/>
        <w:tc>
          <w:tcPr>
            <w:tcW w:w="2082" w:type="dxa"/>
            <w:tcBorders/>
            <w:shd w:fill="auto" w:val="clear"/>
            <w:tcMar>
              <w:bottom w:w="0" w:type="dxa"/>
            </w:tcMar>
            <w:vAlign w:val="center"/>
          </w:tcPr>
          <w:p>
            <w:pPr>
              <w:pStyle w:val="TableContents"/>
              <w:spacing w:before="0" w:after="283"/>
              <w:rPr/>
            </w:pPr>
            <w:r>
              <w:rPr/>
              <w:t>Equity Compensation Plans Approved by Stockholders</w:t>
            </w:r>
          </w:p>
        </w:tc>
        <w:tc>
          <w:tcPr>
            <w:tcW w:w="23" w:type="dxa"/>
            <w:tcBorders/>
            <w:shd w:fill="auto" w:val="clear"/>
            <w:tcMar>
              <w:bottom w:w="0" w:type="dxa"/>
            </w:tcMar>
            <w:vAlign w:val="center"/>
          </w:tcPr>
          <w:p>
            <w:pPr>
              <w:pStyle w:val="TableContents"/>
              <w:spacing w:before="0" w:after="283"/>
              <w:rPr/>
            </w:pPr>
            <w:r>
              <w:rPr/>
            </w:r>
          </w:p>
        </w:tc>
        <w:tc>
          <w:tcPr>
            <w:tcW w:w="2329" w:type="dxa"/>
            <w:tcBorders/>
            <w:shd w:fill="auto" w:val="clear"/>
            <w:tcMar>
              <w:bottom w:w="0" w:type="dxa"/>
            </w:tcMar>
            <w:vAlign w:val="bottom"/>
          </w:tcPr>
          <w:p>
            <w:pPr>
              <w:pStyle w:val="TableContents"/>
              <w:spacing w:before="0" w:after="283"/>
              <w:jc w:val="center"/>
              <w:rPr/>
            </w:pPr>
            <w:r>
              <w:rPr/>
              <w:t>843,446</w:t>
            </w:r>
          </w:p>
        </w:tc>
        <w:tc>
          <w:tcPr>
            <w:tcW w:w="23" w:type="dxa"/>
            <w:tcBorders/>
            <w:shd w:fill="auto" w:val="clear"/>
            <w:tcMar>
              <w:bottom w:w="0" w:type="dxa"/>
            </w:tcMar>
            <w:vAlign w:val="center"/>
          </w:tcPr>
          <w:p>
            <w:pPr>
              <w:pStyle w:val="TableContents"/>
              <w:spacing w:before="0" w:after="283"/>
              <w:rPr/>
            </w:pPr>
            <w:r>
              <w:rPr/>
            </w:r>
          </w:p>
        </w:tc>
        <w:tc>
          <w:tcPr>
            <w:tcW w:w="2640" w:type="dxa"/>
            <w:tcBorders/>
            <w:shd w:fill="auto" w:val="clear"/>
            <w:tcMar>
              <w:bottom w:w="0" w:type="dxa"/>
            </w:tcMar>
            <w:vAlign w:val="bottom"/>
          </w:tcPr>
          <w:p>
            <w:pPr>
              <w:pStyle w:val="TableContents"/>
              <w:spacing w:before="0" w:after="283"/>
              <w:jc w:val="center"/>
              <w:rPr/>
            </w:pPr>
            <w:r>
              <w:rPr/>
              <w:t>$6.60</w:t>
            </w:r>
          </w:p>
        </w:tc>
        <w:tc>
          <w:tcPr>
            <w:tcW w:w="23" w:type="dxa"/>
            <w:tcBorders/>
            <w:shd w:fill="auto" w:val="clear"/>
            <w:tcMar>
              <w:bottom w:w="0" w:type="dxa"/>
            </w:tcMar>
            <w:vAlign w:val="center"/>
          </w:tcPr>
          <w:p>
            <w:pPr>
              <w:pStyle w:val="TableContents"/>
              <w:spacing w:before="0" w:after="283"/>
              <w:rPr/>
            </w:pPr>
            <w:r>
              <w:rPr/>
            </w:r>
          </w:p>
        </w:tc>
        <w:tc>
          <w:tcPr>
            <w:tcW w:w="3085" w:type="dxa"/>
            <w:tcBorders/>
            <w:shd w:fill="auto" w:val="clear"/>
            <w:tcMar>
              <w:bottom w:w="0" w:type="dxa"/>
            </w:tcMar>
            <w:vAlign w:val="bottom"/>
          </w:tcPr>
          <w:p>
            <w:pPr>
              <w:pStyle w:val="TableContents"/>
              <w:spacing w:before="0" w:after="283"/>
              <w:jc w:val="center"/>
              <w:rPr/>
            </w:pPr>
            <w:r>
              <w:rPr/>
              <w:t>1,035,276</w:t>
            </w:r>
          </w:p>
        </w:tc>
      </w:tr>
      <w:tr>
        <w:trPr/>
        <w:tc>
          <w:tcPr>
            <w:tcW w:w="2082" w:type="dxa"/>
            <w:tcBorders/>
            <w:shd w:fill="auto" w:val="clear"/>
            <w:tcMar>
              <w:bottom w:w="0" w:type="dxa"/>
            </w:tcMar>
            <w:vAlign w:val="center"/>
          </w:tcPr>
          <w:p>
            <w:pPr>
              <w:pStyle w:val="TableContents"/>
              <w:spacing w:before="0" w:after="283"/>
              <w:rPr/>
            </w:pPr>
            <w:r>
              <w:rPr/>
              <w:t>Equity Compensation Plans Not Approved by Stockholders</w:t>
            </w:r>
          </w:p>
        </w:tc>
        <w:tc>
          <w:tcPr>
            <w:tcW w:w="23" w:type="dxa"/>
            <w:tcBorders/>
            <w:shd w:fill="auto" w:val="clear"/>
            <w:tcMar>
              <w:bottom w:w="0" w:type="dxa"/>
            </w:tcMar>
            <w:vAlign w:val="center"/>
          </w:tcPr>
          <w:p>
            <w:pPr>
              <w:pStyle w:val="TableContents"/>
              <w:spacing w:before="0" w:after="283"/>
              <w:rPr/>
            </w:pPr>
            <w:r>
              <w:rPr/>
            </w:r>
          </w:p>
        </w:tc>
        <w:tc>
          <w:tcPr>
            <w:tcW w:w="2329" w:type="dxa"/>
            <w:tcBorders/>
            <w:shd w:fill="auto" w:val="clear"/>
            <w:tcMar>
              <w:bottom w:w="0" w:type="dxa"/>
            </w:tcMar>
            <w:vAlign w:val="bottom"/>
          </w:tcPr>
          <w:p>
            <w:pPr>
              <w:pStyle w:val="TableContents"/>
              <w:spacing w:before="0" w:after="283"/>
              <w:jc w:val="center"/>
              <w:rPr/>
            </w:pPr>
            <w:r>
              <w:rPr/>
              <w:t>—</w:t>
            </w:r>
          </w:p>
        </w:tc>
        <w:tc>
          <w:tcPr>
            <w:tcW w:w="23" w:type="dxa"/>
            <w:tcBorders/>
            <w:shd w:fill="auto" w:val="clear"/>
            <w:tcMar>
              <w:bottom w:w="0" w:type="dxa"/>
            </w:tcMar>
            <w:vAlign w:val="center"/>
          </w:tcPr>
          <w:p>
            <w:pPr>
              <w:pStyle w:val="TableContents"/>
              <w:spacing w:before="0" w:after="283"/>
              <w:rPr/>
            </w:pPr>
            <w:r>
              <w:rPr/>
            </w:r>
          </w:p>
        </w:tc>
        <w:tc>
          <w:tcPr>
            <w:tcW w:w="2640" w:type="dxa"/>
            <w:tcBorders/>
            <w:shd w:fill="auto" w:val="clear"/>
            <w:tcMar>
              <w:bottom w:w="0" w:type="dxa"/>
            </w:tcMar>
            <w:vAlign w:val="bottom"/>
          </w:tcPr>
          <w:p>
            <w:pPr>
              <w:pStyle w:val="TableContents"/>
              <w:spacing w:before="0" w:after="283"/>
              <w:jc w:val="center"/>
              <w:rPr/>
            </w:pPr>
            <w:r>
              <w:rPr/>
              <w:t>—</w:t>
            </w:r>
          </w:p>
        </w:tc>
        <w:tc>
          <w:tcPr>
            <w:tcW w:w="23" w:type="dxa"/>
            <w:tcBorders/>
            <w:shd w:fill="auto" w:val="clear"/>
            <w:tcMar>
              <w:bottom w:w="0" w:type="dxa"/>
            </w:tcMar>
            <w:vAlign w:val="center"/>
          </w:tcPr>
          <w:p>
            <w:pPr>
              <w:pStyle w:val="TableContents"/>
              <w:spacing w:before="0" w:after="283"/>
              <w:rPr/>
            </w:pPr>
            <w:r>
              <w:rPr/>
            </w:r>
          </w:p>
        </w:tc>
        <w:tc>
          <w:tcPr>
            <w:tcW w:w="3085" w:type="dxa"/>
            <w:tcBorders/>
            <w:shd w:fill="auto" w:val="clear"/>
            <w:tcMar>
              <w:bottom w:w="0" w:type="dxa"/>
            </w:tcMar>
            <w:vAlign w:val="bottom"/>
          </w:tcPr>
          <w:p>
            <w:pPr>
              <w:pStyle w:val="TableContents"/>
              <w:spacing w:before="0" w:after="283"/>
              <w:jc w:val="center"/>
              <w:rPr/>
            </w:pPr>
            <w:r>
              <w:rPr/>
              <w:t>—</w:t>
            </w:r>
          </w:p>
        </w:tc>
      </w:tr>
      <w:tr>
        <w:trPr/>
        <w:tc>
          <w:tcPr>
            <w:tcW w:w="2082" w:type="dxa"/>
            <w:tcBorders/>
            <w:shd w:fill="auto" w:val="clear"/>
            <w:tcMar>
              <w:bottom w:w="0" w:type="dxa"/>
            </w:tcMar>
            <w:vAlign w:val="center"/>
          </w:tcPr>
          <w:p>
            <w:pPr>
              <w:pStyle w:val="TableContents"/>
              <w:spacing w:before="0" w:after="283"/>
              <w:rPr/>
            </w:pPr>
            <w:r>
              <w:rPr/>
              <w:t>Total</w:t>
            </w:r>
          </w:p>
        </w:tc>
        <w:tc>
          <w:tcPr>
            <w:tcW w:w="23" w:type="dxa"/>
            <w:tcBorders/>
            <w:shd w:fill="auto" w:val="clear"/>
            <w:tcMar>
              <w:bottom w:w="0" w:type="dxa"/>
            </w:tcMar>
            <w:vAlign w:val="center"/>
          </w:tcPr>
          <w:p>
            <w:pPr>
              <w:pStyle w:val="TableContents"/>
              <w:spacing w:before="0" w:after="283"/>
              <w:rPr/>
            </w:pPr>
            <w:r>
              <w:rPr/>
            </w:r>
          </w:p>
        </w:tc>
        <w:tc>
          <w:tcPr>
            <w:tcW w:w="2329" w:type="dxa"/>
            <w:tcBorders>
              <w:top w:val="single" w:sz="8" w:space="0" w:color="000000"/>
              <w:bottom w:val="single" w:sz="8" w:space="0" w:color="000000"/>
            </w:tcBorders>
            <w:shd w:fill="auto" w:val="clear"/>
            <w:tcMar>
              <w:top w:w="28" w:type="dxa"/>
            </w:tcMar>
            <w:vAlign w:val="bottom"/>
          </w:tcPr>
          <w:p>
            <w:pPr>
              <w:pStyle w:val="TableContents"/>
              <w:spacing w:before="0" w:after="283"/>
              <w:jc w:val="center"/>
              <w:rPr/>
            </w:pPr>
            <w:r>
              <w:rPr/>
              <w:t>843,446</w:t>
            </w:r>
          </w:p>
        </w:tc>
        <w:tc>
          <w:tcPr>
            <w:tcW w:w="23" w:type="dxa"/>
            <w:tcBorders/>
            <w:shd w:fill="auto" w:val="clear"/>
            <w:tcMar>
              <w:bottom w:w="0" w:type="dxa"/>
            </w:tcMar>
            <w:vAlign w:val="center"/>
          </w:tcPr>
          <w:p>
            <w:pPr>
              <w:pStyle w:val="TableContents"/>
              <w:spacing w:before="0" w:after="283"/>
              <w:rPr/>
            </w:pPr>
            <w:r>
              <w:rPr/>
            </w:r>
          </w:p>
        </w:tc>
        <w:tc>
          <w:tcPr>
            <w:tcW w:w="2640" w:type="dxa"/>
            <w:tcBorders>
              <w:top w:val="single" w:sz="8" w:space="0" w:color="000000"/>
              <w:bottom w:val="single" w:sz="8" w:space="0" w:color="000000"/>
            </w:tcBorders>
            <w:shd w:fill="auto" w:val="clear"/>
            <w:tcMar>
              <w:top w:w="28" w:type="dxa"/>
            </w:tcMar>
            <w:vAlign w:val="bottom"/>
          </w:tcPr>
          <w:p>
            <w:pPr>
              <w:pStyle w:val="TableContents"/>
              <w:spacing w:before="0" w:after="283"/>
              <w:jc w:val="center"/>
              <w:rPr/>
            </w:pPr>
            <w:r>
              <w:rPr/>
              <w:t>$6.60</w:t>
            </w:r>
          </w:p>
        </w:tc>
        <w:tc>
          <w:tcPr>
            <w:tcW w:w="23" w:type="dxa"/>
            <w:tcBorders/>
            <w:shd w:fill="auto" w:val="clear"/>
            <w:tcMar>
              <w:bottom w:w="0" w:type="dxa"/>
            </w:tcMar>
            <w:vAlign w:val="center"/>
          </w:tcPr>
          <w:p>
            <w:pPr>
              <w:pStyle w:val="TableContents"/>
              <w:spacing w:before="0" w:after="283"/>
              <w:rPr/>
            </w:pPr>
            <w:r>
              <w:rPr/>
            </w:r>
          </w:p>
        </w:tc>
        <w:tc>
          <w:tcPr>
            <w:tcW w:w="3085" w:type="dxa"/>
            <w:tcBorders>
              <w:top w:val="single" w:sz="8" w:space="0" w:color="000000"/>
              <w:bottom w:val="single" w:sz="8" w:space="0" w:color="000000"/>
            </w:tcBorders>
            <w:shd w:fill="auto" w:val="clear"/>
            <w:tcMar>
              <w:top w:w="28" w:type="dxa"/>
            </w:tcMar>
            <w:vAlign w:val="bottom"/>
          </w:tcPr>
          <w:p>
            <w:pPr>
              <w:pStyle w:val="TableContents"/>
              <w:spacing w:before="0" w:after="283"/>
              <w:jc w:val="center"/>
              <w:rPr/>
            </w:pPr>
            <w:r>
              <w:rPr/>
              <w:t>1,035,276</w:t>
            </w:r>
          </w:p>
        </w:tc>
      </w:tr>
    </w:tbl>
    <w:p>
      <w:pPr>
        <w:pStyle w:val="TextBody"/>
        <w:spacing w:lineRule="auto" w:line="240" w:before="0" w:after="0"/>
        <w:ind w:left="144" w:right="144" w:hanging="0"/>
        <w:jc w:val="both"/>
        <w:rPr/>
      </w:pPr>
      <w:r>
        <w:rPr/>
        <w:t> </w:t>
      </w:r>
    </w:p>
    <w:p>
      <w:pPr>
        <w:pStyle w:val="TextBody"/>
        <w:spacing w:lineRule="auto" w:line="240"/>
        <w:ind w:left="0" w:right="0" w:hanging="0"/>
        <w:jc w:val="both"/>
        <w:rPr/>
      </w:pPr>
      <w:hyperlink r:id="rId26">
        <w:r>
          <w:rPr>
            <w:rStyle w:val="VisitedInternetLink"/>
            <w:rFonts w:ascii="Times New Roman" w:hAnsi="Times New Roman"/>
            <w:b/>
            <w:strike w:val="false"/>
            <w:dstrike w:val="false"/>
            <w:color w:val="000000"/>
            <w:sz w:val="20"/>
            <w:u w:val="none"/>
            <w:effect w:val="none"/>
          </w:rPr>
          <w:t>ITEM 13. CERTAIN RELATIONSHIPS AND RELATED TRANSACTIONS AND DIRECTOR INDEPENDENCE</w:t>
        </w:r>
      </w:hyperlink>
    </w:p>
    <w:p>
      <w:pPr>
        <w:pStyle w:val="TextBody"/>
        <w:spacing w:lineRule="auto" w:line="240" w:before="0" w:after="0"/>
        <w:ind w:left="144" w:right="144" w:hanging="0"/>
        <w:jc w:val="both"/>
        <w:rPr/>
      </w:pPr>
      <w:r>
        <w:rPr/>
        <w:t> </w:t>
      </w:r>
    </w:p>
    <w:p>
      <w:pPr>
        <w:pStyle w:val="TextBody"/>
        <w:spacing w:lineRule="auto" w:line="240" w:before="0" w:after="0"/>
        <w:ind w:left="0" w:right="0" w:firstLine="720"/>
        <w:jc w:val="both"/>
        <w:rPr>
          <w:rFonts w:ascii="Times New Roman" w:hAnsi="Times New Roman"/>
          <w:sz w:val="20"/>
        </w:rPr>
      </w:pPr>
      <w:r>
        <w:rPr>
          <w:rFonts w:ascii="Times New Roman" w:hAnsi="Times New Roman"/>
          <w:sz w:val="20"/>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pStyle w:val="TextBody"/>
        <w:spacing w:lineRule="auto" w:line="240" w:before="0" w:after="0"/>
        <w:ind w:left="294" w:right="294" w:firstLine="72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Related Party Transactions: Consulting Agreement with Edward D. Bagley</w:t>
      </w:r>
    </w:p>
    <w:p>
      <w:pPr>
        <w:pStyle w:val="TextBody"/>
        <w:spacing w:lineRule="auto" w:line="240" w:before="0" w:after="0"/>
        <w:ind w:left="294" w:right="294" w:hanging="0"/>
        <w:jc w:val="both"/>
        <w:rPr/>
      </w:pPr>
      <w:r>
        <w:rPr/>
        <w:t> </w:t>
      </w:r>
    </w:p>
    <w:p>
      <w:pPr>
        <w:pStyle w:val="TextBody"/>
        <w:widowControl/>
        <w:spacing w:lineRule="auto" w:line="240" w:before="0" w:after="0"/>
        <w:ind w:left="0" w:right="0" w:firstLine="720"/>
        <w:jc w:val="both"/>
        <w:rPr>
          <w:rFonts w:ascii="Times New Roman" w:hAnsi="Times New Roman"/>
          <w:sz w:val="20"/>
        </w:rPr>
      </w:pPr>
      <w:r>
        <w:rPr>
          <w:rFonts w:ascii="Times New Roman" w:hAnsi="Times New Roman"/>
          <w:b w:val="false"/>
          <w:i w:val="false"/>
          <w:caps w:val="false"/>
          <w:smallCaps w:val="false"/>
          <w:color w:val="000000"/>
          <w:spacing w:val="0"/>
          <w:sz w:val="20"/>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through 2021. Pursuant to the terms of the Consulting Agreement Mr. Bagley is paid a fee of $5,000 per month and is eligible to participate in our equity incentive programs and will be granted stock options commensurate with grants of stock options made to our directors.  During 2020, he was paid $60,000 as consulting fees but was not awarded any stock options.</w:t>
      </w:r>
      <w:r>
        <w:rPr>
          <w:rFonts w:ascii="Times New Roman" w:hAnsi="Times New Roman"/>
          <w:sz w:val="20"/>
        </w:rPr>
        <w:t> </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Director Independence</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r>
        <w:rPr>
          <w:rFonts w:ascii="times new roman;times" w:hAnsi="times new roman;times"/>
          <w:sz w:val="20"/>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42</w:t>
            </w:r>
          </w:p>
        </w:tc>
      </w:tr>
    </w:tbl>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144" w:right="144" w:hanging="0"/>
        <w:jc w:val="both"/>
        <w:rPr/>
      </w:pPr>
      <w:r>
        <w:rPr/>
        <w:t> </w:t>
      </w:r>
    </w:p>
    <w:p>
      <w:pPr>
        <w:pStyle w:val="TextBody"/>
        <w:spacing w:lineRule="auto" w:line="240"/>
        <w:ind w:left="0" w:right="0" w:hanging="0"/>
        <w:jc w:val="both"/>
        <w:rPr/>
      </w:pPr>
      <w:hyperlink r:id="rId27">
        <w:r>
          <w:rPr>
            <w:rStyle w:val="VisitedInternetLink"/>
            <w:rFonts w:ascii="Times New Roman" w:hAnsi="Times New Roman"/>
            <w:b/>
            <w:strike w:val="false"/>
            <w:dstrike w:val="false"/>
            <w:color w:val="000000"/>
            <w:sz w:val="20"/>
            <w:u w:val="none"/>
            <w:effect w:val="none"/>
          </w:rPr>
          <w:t>ITEM 14. PRINCIPAL ACCOUNTING FEES AND SERVICES</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amounts:</w:t>
      </w:r>
    </w:p>
    <w:p>
      <w:pPr>
        <w:pStyle w:val="TextBody"/>
        <w:spacing w:lineRule="auto" w:line="240" w:before="0" w:after="0"/>
        <w:ind w:left="294" w:right="294" w:hanging="0"/>
        <w:jc w:val="both"/>
        <w:rPr/>
      </w:pPr>
      <w:r>
        <w:rPr/>
        <w:t> </w:t>
      </w:r>
    </w:p>
    <w:tbl>
      <w:tblPr>
        <w:tblW w:w="4250" w:type="pct"/>
        <w:jc w:val="left"/>
        <w:tblInd w:w="0" w:type="dxa"/>
        <w:tblCellMar>
          <w:top w:w="0" w:type="dxa"/>
          <w:left w:w="0" w:type="dxa"/>
          <w:bottom w:w="0" w:type="dxa"/>
          <w:right w:w="0" w:type="dxa"/>
        </w:tblCellMar>
      </w:tblPr>
      <w:tblGrid>
        <w:gridCol w:w="3653"/>
        <w:gridCol w:w="261"/>
        <w:gridCol w:w="368"/>
        <w:gridCol w:w="1605"/>
        <w:gridCol w:w="260"/>
        <w:gridCol w:w="261"/>
        <w:gridCol w:w="368"/>
        <w:gridCol w:w="1605"/>
        <w:gridCol w:w="293"/>
      </w:tblGrid>
      <w:tr>
        <w:trPr/>
        <w:tc>
          <w:tcPr>
            <w:tcW w:w="3653"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1973"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260"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1973"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293" w:type="dxa"/>
            <w:tcBorders/>
            <w:shd w:fill="auto" w:val="clear"/>
            <w:vAlign w:val="center"/>
          </w:tcPr>
          <w:p>
            <w:pPr>
              <w:pStyle w:val="TableContents"/>
              <w:spacing w:before="0" w:after="0"/>
              <w:ind w:left="0" w:right="0" w:hanging="0"/>
              <w:rPr/>
            </w:pPr>
            <w:r>
              <w:rPr/>
              <w:t xml:space="preserve">  </w:t>
            </w:r>
          </w:p>
        </w:tc>
      </w:tr>
      <w:tr>
        <w:trPr/>
        <w:tc>
          <w:tcPr>
            <w:tcW w:w="3653" w:type="dxa"/>
            <w:tcBorders/>
            <w:shd w:fill="auto" w:val="clear"/>
            <w:vAlign w:val="center"/>
          </w:tcPr>
          <w:p>
            <w:pPr>
              <w:pStyle w:val="TableContents"/>
              <w:spacing w:before="0" w:after="0"/>
              <w:ind w:left="0" w:right="0" w:hanging="0"/>
              <w:rPr/>
            </w:pPr>
            <w:r>
              <w:rPr>
                <w:rFonts w:ascii="Times New Roman" w:hAnsi="Times New Roman"/>
                <w:sz w:val="20"/>
              </w:rPr>
              <w:t>Audit fees</w:t>
            </w:r>
            <w:r>
              <w:rPr>
                <w:rFonts w:ascii="Times New Roman" w:hAnsi="Times New Roman"/>
                <w:position w:val="7"/>
                <w:sz w:val="16"/>
                <w:sz w:val="20"/>
              </w:rPr>
              <w:t>(1)</w:t>
            </w:r>
          </w:p>
        </w:tc>
        <w:tc>
          <w:tcPr>
            <w:tcW w:w="261"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0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210,500 </w:t>
            </w:r>
          </w:p>
        </w:tc>
        <w:tc>
          <w:tcPr>
            <w:tcW w:w="260"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0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242,520 </w:t>
            </w:r>
          </w:p>
        </w:tc>
        <w:tc>
          <w:tcPr>
            <w:tcW w:w="293" w:type="dxa"/>
            <w:tcBorders/>
            <w:shd w:fill="auto" w:val="clear"/>
            <w:vAlign w:val="center"/>
          </w:tcPr>
          <w:p>
            <w:pPr>
              <w:pStyle w:val="TableContents"/>
              <w:spacing w:before="0" w:after="0"/>
              <w:ind w:left="0" w:right="0" w:hanging="0"/>
              <w:rPr/>
            </w:pPr>
            <w:r>
              <w:rPr/>
              <w:t xml:space="preserve">  </w:t>
            </w:r>
          </w:p>
        </w:tc>
      </w:tr>
      <w:tr>
        <w:trPr/>
        <w:tc>
          <w:tcPr>
            <w:tcW w:w="365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Audit-related fees</w:t>
            </w:r>
            <w:r>
              <w:rPr>
                <w:rFonts w:ascii="Times New Roman" w:hAnsi="Times New Roman"/>
                <w:position w:val="7"/>
                <w:sz w:val="16"/>
                <w:sz w:val="20"/>
              </w:rPr>
              <w:t>(2)</w:t>
            </w:r>
          </w:p>
        </w:tc>
        <w:tc>
          <w:tcPr>
            <w:tcW w:w="261"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pPr>
            <w:r>
              <w:rPr/>
              <w:t xml:space="preserve">  </w:t>
            </w:r>
          </w:p>
        </w:tc>
        <w:tc>
          <w:tcPr>
            <w:tcW w:w="160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26,523 </w:t>
            </w:r>
          </w:p>
        </w:tc>
        <w:tc>
          <w:tcPr>
            <w:tcW w:w="260"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pPr>
            <w:r>
              <w:rPr/>
              <w:t xml:space="preserve">  </w:t>
            </w:r>
          </w:p>
        </w:tc>
        <w:tc>
          <w:tcPr>
            <w:tcW w:w="160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3,400 </w:t>
            </w:r>
          </w:p>
        </w:tc>
        <w:tc>
          <w:tcPr>
            <w:tcW w:w="293" w:type="dxa"/>
            <w:tcBorders/>
            <w:shd w:fill="auto" w:val="clear"/>
            <w:vAlign w:val="center"/>
          </w:tcPr>
          <w:p>
            <w:pPr>
              <w:pStyle w:val="TableContents"/>
              <w:spacing w:before="0" w:after="0"/>
              <w:ind w:left="0" w:right="0" w:hanging="0"/>
              <w:rPr/>
            </w:pPr>
            <w:r>
              <w:rPr/>
              <w:t xml:space="preserve">  </w:t>
            </w:r>
          </w:p>
        </w:tc>
      </w:tr>
      <w:tr>
        <w:trPr/>
        <w:tc>
          <w:tcPr>
            <w:tcW w:w="3653" w:type="dxa"/>
            <w:tcBorders/>
            <w:shd w:fill="auto" w:val="clear"/>
            <w:vAlign w:val="center"/>
          </w:tcPr>
          <w:p>
            <w:pPr>
              <w:pStyle w:val="TableContents"/>
              <w:pBdr/>
              <w:spacing w:before="0" w:after="0"/>
              <w:ind w:left="0" w:right="0" w:hanging="0"/>
              <w:rPr/>
            </w:pPr>
            <w:r>
              <w:rPr>
                <w:rFonts w:ascii="Times New Roman" w:hAnsi="Times New Roman"/>
                <w:sz w:val="20"/>
              </w:rPr>
              <w:t>Tax fees</w:t>
            </w:r>
            <w:r>
              <w:rPr>
                <w:rFonts w:ascii="Times New Roman" w:hAnsi="Times New Roman"/>
                <w:position w:val="7"/>
                <w:sz w:val="16"/>
                <w:sz w:val="20"/>
              </w:rPr>
              <w:t>(3)</w:t>
            </w:r>
          </w:p>
        </w:tc>
        <w:tc>
          <w:tcPr>
            <w:tcW w:w="261" w:type="dxa"/>
            <w:tcBorders/>
            <w:shd w:fill="auto" w:val="clear"/>
            <w:vAlign w:val="center"/>
          </w:tcPr>
          <w:p>
            <w:pPr>
              <w:pStyle w:val="TableContents"/>
              <w:pBdr/>
              <w:spacing w:before="0" w:after="0"/>
              <w:ind w:left="0" w:right="0" w:hanging="0"/>
              <w:rPr/>
            </w:pPr>
            <w:r>
              <w:rPr/>
              <w:t xml:space="preserve">  </w:t>
            </w:r>
          </w:p>
        </w:tc>
        <w:tc>
          <w:tcPr>
            <w:tcW w:w="368" w:type="dxa"/>
            <w:tcBorders/>
            <w:shd w:fill="auto" w:val="clear"/>
            <w:vAlign w:val="center"/>
          </w:tcPr>
          <w:p>
            <w:pPr>
              <w:pStyle w:val="TableContents"/>
              <w:spacing w:before="0" w:after="283"/>
              <w:ind w:left="0" w:right="0" w:hanging="0"/>
              <w:rPr/>
            </w:pPr>
            <w:r>
              <w:rPr/>
            </w:r>
          </w:p>
        </w:tc>
        <w:tc>
          <w:tcPr>
            <w:tcW w:w="160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52,900 </w:t>
            </w:r>
          </w:p>
        </w:tc>
        <w:tc>
          <w:tcPr>
            <w:tcW w:w="260" w:type="dxa"/>
            <w:tcBorders/>
            <w:shd w:fill="auto" w:val="clear"/>
            <w:vAlign w:val="center"/>
          </w:tcPr>
          <w:p>
            <w:pPr>
              <w:pStyle w:val="TableContents"/>
              <w:pBdr/>
              <w:spacing w:before="0" w:after="0"/>
              <w:ind w:left="0" w:right="0" w:hanging="0"/>
              <w:rPr/>
            </w:pPr>
            <w:r>
              <w:rPr/>
              <w:t xml:space="preserve">  </w:t>
            </w:r>
          </w:p>
        </w:tc>
        <w:tc>
          <w:tcPr>
            <w:tcW w:w="261" w:type="dxa"/>
            <w:tcBorders/>
            <w:shd w:fill="auto" w:val="clear"/>
            <w:vAlign w:val="center"/>
          </w:tcPr>
          <w:p>
            <w:pPr>
              <w:pStyle w:val="TableContents"/>
              <w:pBdr/>
              <w:spacing w:before="0" w:after="0"/>
              <w:ind w:left="0" w:right="0" w:hanging="0"/>
              <w:rPr/>
            </w:pPr>
            <w:r>
              <w:rPr/>
              <w:t xml:space="preserve">  </w:t>
            </w:r>
          </w:p>
        </w:tc>
        <w:tc>
          <w:tcPr>
            <w:tcW w:w="368" w:type="dxa"/>
            <w:tcBorders/>
            <w:shd w:fill="auto" w:val="clear"/>
            <w:vAlign w:val="center"/>
          </w:tcPr>
          <w:p>
            <w:pPr>
              <w:pStyle w:val="TableContents"/>
              <w:spacing w:before="0" w:after="283"/>
              <w:ind w:left="0" w:right="0" w:hanging="0"/>
              <w:rPr/>
            </w:pPr>
            <w:r>
              <w:rPr/>
            </w:r>
          </w:p>
        </w:tc>
        <w:tc>
          <w:tcPr>
            <w:tcW w:w="160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45,700 </w:t>
            </w:r>
          </w:p>
        </w:tc>
        <w:tc>
          <w:tcPr>
            <w:tcW w:w="293" w:type="dxa"/>
            <w:tcBorders/>
            <w:shd w:fill="auto" w:val="clear"/>
            <w:vAlign w:val="center"/>
          </w:tcPr>
          <w:p>
            <w:pPr>
              <w:pStyle w:val="TableContents"/>
              <w:spacing w:before="0" w:after="0"/>
              <w:ind w:left="0" w:right="0" w:hanging="0"/>
              <w:rPr/>
            </w:pPr>
            <w:r>
              <w:rPr/>
              <w:t xml:space="preserve">  </w:t>
            </w:r>
          </w:p>
        </w:tc>
      </w:tr>
      <w:tr>
        <w:trPr/>
        <w:tc>
          <w:tcPr>
            <w:tcW w:w="365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All other fees </w:t>
            </w:r>
          </w:p>
        </w:tc>
        <w:tc>
          <w:tcPr>
            <w:tcW w:w="261" w:type="dxa"/>
            <w:tcBorders/>
            <w:shd w:fill="auto" w:val="clear"/>
            <w:vAlign w:val="center"/>
          </w:tcPr>
          <w:p>
            <w:pPr>
              <w:pStyle w:val="TableContents"/>
              <w:spacing w:before="0" w:after="0"/>
              <w:ind w:left="0" w:right="0" w:hanging="0"/>
              <w:rPr/>
            </w:pPr>
            <w:r>
              <w:rPr/>
              <w:t xml:space="preserve">  </w:t>
            </w:r>
          </w:p>
        </w:tc>
        <w:tc>
          <w:tcPr>
            <w:tcW w:w="36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605"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60"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36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605"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93" w:type="dxa"/>
            <w:tcBorders/>
            <w:shd w:fill="auto" w:val="clear"/>
            <w:vAlign w:val="center"/>
          </w:tcPr>
          <w:p>
            <w:pPr>
              <w:pStyle w:val="TableContents"/>
              <w:spacing w:before="0" w:after="0"/>
              <w:ind w:left="0" w:right="0" w:hanging="0"/>
              <w:rPr/>
            </w:pPr>
            <w:r>
              <w:rPr/>
              <w:t xml:space="preserve">  </w:t>
            </w:r>
          </w:p>
        </w:tc>
      </w:tr>
      <w:tr>
        <w:trPr/>
        <w:tc>
          <w:tcPr>
            <w:tcW w:w="365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261" w:type="dxa"/>
            <w:tcBorders/>
            <w:shd w:fill="auto" w:val="clear"/>
            <w:vAlign w:val="center"/>
          </w:tcPr>
          <w:p>
            <w:pPr>
              <w:pStyle w:val="TableContents"/>
              <w:spacing w:before="0" w:after="0"/>
              <w:ind w:left="0" w:right="0" w:hanging="0"/>
              <w:rPr/>
            </w:pPr>
            <w:r>
              <w:rPr/>
              <w:t xml:space="preserve">  </w:t>
            </w:r>
          </w:p>
        </w:tc>
        <w:tc>
          <w:tcPr>
            <w:tcW w:w="368"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05"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289,923 </w:t>
            </w:r>
          </w:p>
        </w:tc>
        <w:tc>
          <w:tcPr>
            <w:tcW w:w="260"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368"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05"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291,620 </w:t>
            </w:r>
          </w:p>
        </w:tc>
        <w:tc>
          <w:tcPr>
            <w:tcW w:w="293" w:type="dxa"/>
            <w:tcBorders/>
            <w:shd w:fill="auto" w:val="clear"/>
            <w:vAlign w:val="center"/>
          </w:tcPr>
          <w:p>
            <w:pPr>
              <w:pStyle w:val="TableContents"/>
              <w:spacing w:before="0" w:after="0"/>
              <w:ind w:left="0" w:right="0" w:hanging="0"/>
              <w:rPr/>
            </w:pPr>
            <w:r>
              <w:rPr/>
              <w:t xml:space="preserve">  </w:t>
            </w:r>
          </w:p>
        </w:tc>
      </w:tr>
    </w:tbl>
    <w:p>
      <w:pPr>
        <w:pStyle w:val="TextBody"/>
        <w:spacing w:lineRule="auto" w:line="240" w:before="0" w:after="0"/>
        <w:ind w:left="294" w:right="294" w:hanging="0"/>
        <w:jc w:val="both"/>
        <w:rPr/>
      </w:pPr>
      <w:r>
        <w:rPr/>
        <w:t> </w:t>
      </w:r>
    </w:p>
    <w:tbl>
      <w:tblPr>
        <w:tblW w:w="4250" w:type="pct"/>
        <w:jc w:val="left"/>
        <w:tblInd w:w="0" w:type="dxa"/>
        <w:tblCellMar>
          <w:top w:w="0" w:type="dxa"/>
          <w:left w:w="0" w:type="dxa"/>
          <w:bottom w:w="0" w:type="dxa"/>
          <w:right w:w="0" w:type="dxa"/>
        </w:tblCellMar>
      </w:tblPr>
      <w:tblGrid>
        <w:gridCol w:w="266"/>
        <w:gridCol w:w="8408"/>
      </w:tblGrid>
      <w:tr>
        <w:trPr/>
        <w:tc>
          <w:tcPr>
            <w:tcW w:w="26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 </w:t>
            </w:r>
          </w:p>
        </w:tc>
        <w:tc>
          <w:tcPr>
            <w:tcW w:w="840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Represents fees billed for professional services rendered for the audit and reviews of our financial statements filed with the SEC on Forms 10-K and 10-Q. </w:t>
            </w:r>
          </w:p>
        </w:tc>
      </w:tr>
    </w:tbl>
    <w:p>
      <w:pPr>
        <w:pStyle w:val="TextBody"/>
        <w:spacing w:before="0" w:after="0"/>
        <w:rPr/>
      </w:pPr>
      <w:r>
        <w:rPr/>
        <w:t> </w:t>
      </w:r>
    </w:p>
    <w:tbl>
      <w:tblPr>
        <w:tblW w:w="4250" w:type="pct"/>
        <w:jc w:val="left"/>
        <w:tblInd w:w="0" w:type="dxa"/>
        <w:tblCellMar>
          <w:top w:w="0" w:type="dxa"/>
          <w:left w:w="0" w:type="dxa"/>
          <w:bottom w:w="0" w:type="dxa"/>
          <w:right w:w="0" w:type="dxa"/>
        </w:tblCellMar>
      </w:tblPr>
      <w:tblGrid>
        <w:gridCol w:w="256"/>
        <w:gridCol w:w="8418"/>
      </w:tblGrid>
      <w:tr>
        <w:trPr/>
        <w:tc>
          <w:tcPr>
            <w:tcW w:w="25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841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Represents fees billed for consents provided with respect to registration statements and related amendments.</w:t>
            </w:r>
          </w:p>
        </w:tc>
      </w:tr>
    </w:tbl>
    <w:p>
      <w:pPr>
        <w:pStyle w:val="TextBody"/>
        <w:widowControl/>
        <w:spacing w:before="0" w:after="0"/>
        <w:ind w:left="744" w:right="294" w:hanging="0"/>
        <w:rPr>
          <w:caps w:val="false"/>
          <w:smallCaps w:val="false"/>
          <w:color w:val="000000"/>
          <w:spacing w:val="0"/>
        </w:rPr>
      </w:pPr>
      <w:r>
        <w:rPr>
          <w:caps w:val="false"/>
          <w:smallCaps w:val="false"/>
          <w:color w:val="000000"/>
          <w:spacing w:val="0"/>
        </w:rPr>
        <w:t> </w:t>
      </w:r>
    </w:p>
    <w:tbl>
      <w:tblPr>
        <w:tblW w:w="4250" w:type="pct"/>
        <w:jc w:val="left"/>
        <w:tblInd w:w="0" w:type="dxa"/>
        <w:tblCellMar>
          <w:top w:w="0" w:type="dxa"/>
          <w:left w:w="0" w:type="dxa"/>
          <w:bottom w:w="0" w:type="dxa"/>
          <w:right w:w="0" w:type="dxa"/>
        </w:tblCellMar>
      </w:tblPr>
      <w:tblGrid>
        <w:gridCol w:w="412"/>
        <w:gridCol w:w="8262"/>
      </w:tblGrid>
      <w:tr>
        <w:trPr/>
        <w:tc>
          <w:tcPr>
            <w:tcW w:w="41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(3) </w:t>
            </w:r>
          </w:p>
        </w:tc>
        <w:tc>
          <w:tcPr>
            <w:tcW w:w="82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Represents fees billed for tax filing, preparation, and tax advisory services. </w:t>
            </w:r>
          </w:p>
        </w:tc>
      </w:tr>
    </w:tbl>
    <w:p>
      <w:pPr>
        <w:pStyle w:val="TextBody"/>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Pre-Approval Policies and Procedures</w:t>
      </w:r>
    </w:p>
    <w:p>
      <w:pPr>
        <w:pStyle w:val="TextBody"/>
        <w:spacing w:lineRule="auto" w:line="240" w:before="0" w:after="0"/>
        <w:ind w:left="294" w:right="294" w:hanging="0"/>
        <w:jc w:val="both"/>
        <w:rPr/>
      </w:pPr>
      <w:r>
        <w:rPr/>
        <w:t> </w:t>
      </w:r>
    </w:p>
    <w:p>
      <w:pPr>
        <w:pStyle w:val="TextBody"/>
        <w:spacing w:lineRule="auto" w:line="240" w:before="0" w:after="0"/>
        <w:ind w:left="0" w:right="0" w:firstLine="720"/>
        <w:jc w:val="both"/>
        <w:rPr>
          <w:rFonts w:ascii="Times New Roman" w:hAnsi="Times New Roman"/>
          <w:sz w:val="20"/>
        </w:rPr>
      </w:pPr>
      <w:r>
        <w:rPr>
          <w:rFonts w:ascii="Times New Roman" w:hAnsi="Times New Roman"/>
          <w:sz w:val="20"/>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2020,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pStyle w:val="TextBody"/>
        <w:spacing w:lineRule="auto" w:line="240" w:before="0" w:after="0"/>
        <w:ind w:left="0" w:right="0" w:hanging="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43</w:t>
            </w:r>
          </w:p>
        </w:tc>
      </w:tr>
    </w:tbl>
    <w:p>
      <w:pPr>
        <w:pStyle w:val="HorizontalLine"/>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ind w:left="0" w:right="0" w:hanging="0"/>
        <w:jc w:val="center"/>
        <w:rPr/>
      </w:pPr>
      <w:hyperlink r:id="rId28">
        <w:r>
          <w:rPr>
            <w:rStyle w:val="VisitedInternetLink"/>
            <w:rFonts w:ascii="Times New Roman" w:hAnsi="Times New Roman"/>
            <w:b/>
            <w:strike w:val="false"/>
            <w:dstrike w:val="false"/>
            <w:color w:val="000000"/>
            <w:sz w:val="20"/>
            <w:u w:val="none"/>
            <w:effect w:val="none"/>
          </w:rPr>
          <w:t>PART IV</w:t>
        </w:r>
      </w:hyperlink>
    </w:p>
    <w:p>
      <w:pPr>
        <w:pStyle w:val="TextBody"/>
        <w:spacing w:before="0" w:after="0"/>
        <w:ind w:left="0" w:right="0" w:hanging="0"/>
        <w:jc w:val="both"/>
        <w:rPr/>
      </w:pPr>
      <w:r>
        <w:rPr/>
        <w:t> </w:t>
      </w:r>
    </w:p>
    <w:p>
      <w:pPr>
        <w:pStyle w:val="TextBody"/>
        <w:ind w:left="0" w:right="0" w:hanging="0"/>
        <w:jc w:val="both"/>
        <w:rPr/>
      </w:pPr>
      <w:hyperlink r:id="rId29">
        <w:r>
          <w:rPr>
            <w:rStyle w:val="VisitedInternetLink"/>
            <w:rFonts w:ascii="Times New Roman" w:hAnsi="Times New Roman"/>
            <w:b/>
            <w:strike w:val="false"/>
            <w:dstrike w:val="false"/>
            <w:color w:val="000000"/>
            <w:sz w:val="20"/>
            <w:u w:val="none"/>
            <w:effect w:val="none"/>
          </w:rPr>
          <w:t>ITEM 15. EXHIBITS, FINANCIAL STATEMENT SCHEDULES</w:t>
        </w:r>
      </w:hyperlink>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63"/>
        <w:gridCol w:w="10042"/>
      </w:tblGrid>
      <w:tr>
        <w:trPr/>
        <w:tc>
          <w:tcPr>
            <w:tcW w:w="16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1004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Financial Statements: Financial statements set forth under Part II, Item 8 of this Annual Report on Form 10-K are filed in a separate section of this Form 10-K. See the “Index to Consolidated Financial Statements”.</w:t>
            </w:r>
          </w:p>
        </w:tc>
      </w:tr>
      <w:tr>
        <w:trPr/>
        <w:tc>
          <w:tcPr>
            <w:tcW w:w="163" w:type="dxa"/>
            <w:tcBorders/>
            <w:shd w:fill="auto" w:val="clear"/>
            <w:vAlign w:val="center"/>
          </w:tcPr>
          <w:p>
            <w:pPr>
              <w:pStyle w:val="TableContents"/>
              <w:spacing w:before="0" w:after="0"/>
              <w:ind w:left="0" w:right="0" w:hanging="0"/>
              <w:jc w:val="both"/>
              <w:rPr/>
            </w:pPr>
            <w:r>
              <w:rPr/>
              <w:t> </w:t>
            </w:r>
          </w:p>
        </w:tc>
        <w:tc>
          <w:tcPr>
            <w:tcW w:w="10042" w:type="dxa"/>
            <w:tcBorders/>
            <w:shd w:fill="auto" w:val="clear"/>
            <w:vAlign w:val="center"/>
          </w:tcPr>
          <w:p>
            <w:pPr>
              <w:pStyle w:val="TableContents"/>
              <w:spacing w:before="0" w:after="0"/>
              <w:ind w:left="0" w:right="0" w:hanging="0"/>
              <w:jc w:val="both"/>
              <w:rPr/>
            </w:pPr>
            <w:r>
              <w:rPr/>
              <w:t> </w:t>
            </w:r>
          </w:p>
        </w:tc>
      </w:tr>
      <w:tr>
        <w:trPr/>
        <w:tc>
          <w:tcPr>
            <w:tcW w:w="16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1004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Financial Statement Schedules: All schedules are omitted since they either are not required, not applicable or the information is presented in the accompanying consolidated financial statements and notes thereto.</w:t>
            </w:r>
          </w:p>
        </w:tc>
      </w:tr>
      <w:tr>
        <w:trPr/>
        <w:tc>
          <w:tcPr>
            <w:tcW w:w="163" w:type="dxa"/>
            <w:tcBorders/>
            <w:shd w:fill="auto" w:val="clear"/>
            <w:vAlign w:val="center"/>
          </w:tcPr>
          <w:p>
            <w:pPr>
              <w:pStyle w:val="TableContents"/>
              <w:spacing w:before="0" w:after="0"/>
              <w:ind w:left="0" w:right="0" w:hanging="0"/>
              <w:jc w:val="both"/>
              <w:rPr/>
            </w:pPr>
            <w:r>
              <w:rPr/>
              <w:t> </w:t>
            </w:r>
          </w:p>
        </w:tc>
        <w:tc>
          <w:tcPr>
            <w:tcW w:w="10042" w:type="dxa"/>
            <w:tcBorders/>
            <w:shd w:fill="auto" w:val="clear"/>
            <w:vAlign w:val="center"/>
          </w:tcPr>
          <w:p>
            <w:pPr>
              <w:pStyle w:val="TableContents"/>
              <w:spacing w:before="0" w:after="0"/>
              <w:ind w:left="0" w:right="0" w:hanging="0"/>
              <w:jc w:val="both"/>
              <w:rPr/>
            </w:pPr>
            <w:r>
              <w:rPr/>
              <w:t> </w:t>
            </w:r>
          </w:p>
        </w:tc>
      </w:tr>
      <w:tr>
        <w:trPr/>
        <w:tc>
          <w:tcPr>
            <w:tcW w:w="16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10042"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Exhibits: The exhibits listed under the Index of exhibits in the next page are filed or incorporated by reference as part of this Form 10-K.</w:t>
            </w:r>
          </w:p>
        </w:tc>
      </w:tr>
    </w:tbl>
    <w:p>
      <w:pPr>
        <w:pStyle w:val="TextBody"/>
        <w:spacing w:before="0" w:after="0"/>
        <w:ind w:left="0" w:right="0" w:hanging="0"/>
        <w:jc w:val="both"/>
        <w:rPr/>
      </w:pPr>
      <w:r>
        <w:rPr/>
        <w:t> </w:t>
      </w:r>
    </w:p>
    <w:p>
      <w:pPr>
        <w:pStyle w:val="TextBody"/>
        <w:ind w:left="0" w:right="0" w:hanging="0"/>
        <w:jc w:val="both"/>
        <w:rPr/>
      </w:pPr>
      <w:hyperlink r:id="rId30">
        <w:r>
          <w:rPr>
            <w:rStyle w:val="VisitedInternetLink"/>
            <w:rFonts w:ascii="Times New Roman" w:hAnsi="Times New Roman"/>
            <w:b/>
            <w:strike w:val="false"/>
            <w:dstrike w:val="false"/>
            <w:color w:val="000000"/>
            <w:sz w:val="20"/>
            <w:u w:val="none"/>
            <w:effect w:val="none"/>
          </w:rPr>
          <w:t>ITEM 16. FORM 10-K SUMMARY</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Not applicable.</w:t>
      </w:r>
    </w:p>
    <w:p>
      <w:pPr>
        <w:pStyle w:val="TextBody"/>
        <w:spacing w:before="0" w:after="0"/>
        <w:ind w:left="0" w:right="0" w:hanging="0"/>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0"/>
              <w:ind w:left="0" w:right="0" w:hanging="0"/>
              <w:jc w:val="center"/>
              <w:rPr>
                <w:sz w:val="20"/>
              </w:rPr>
            </w:pPr>
            <w:r>
              <w:rPr>
                <w:sz w:val="20"/>
              </w:rPr>
              <w:t>44</w:t>
            </w:r>
          </w:p>
        </w:tc>
      </w:tr>
    </w:tbl>
    <w:p>
      <w:pPr>
        <w:pStyle w:val="HorizontalLine"/>
        <w:spacing w:before="0" w:after="0"/>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144" w:right="144" w:hanging="0"/>
        <w:rPr/>
      </w:pPr>
      <w:r>
        <w:rPr/>
      </w:r>
    </w:p>
    <w:p>
      <w:pPr>
        <w:pStyle w:val="TextBody"/>
        <w:spacing w:before="0" w:after="0"/>
        <w:ind w:left="144" w:right="144" w:hanging="0"/>
        <w:jc w:val="center"/>
        <w:rPr>
          <w:rFonts w:ascii="Times New Roman" w:hAnsi="Times New Roman"/>
          <w:b/>
          <w:sz w:val="20"/>
          <w:u w:val="single"/>
        </w:rPr>
      </w:pPr>
      <w:r>
        <w:rPr>
          <w:rFonts w:ascii="Times New Roman" w:hAnsi="Times New Roman"/>
          <w:b/>
          <w:sz w:val="20"/>
          <w:u w:val="single"/>
        </w:rPr>
        <w:t>INDEX TO EXHIBITS</w:t>
      </w:r>
    </w:p>
    <w:p>
      <w:pPr>
        <w:pStyle w:val="TextBody"/>
        <w:spacing w:before="0" w:after="0"/>
        <w:ind w:left="144" w:right="144" w:hanging="0"/>
        <w:jc w:val="center"/>
        <w:rPr/>
      </w:pPr>
      <w:r>
        <w:rPr/>
        <w:t> </w:t>
      </w:r>
    </w:p>
    <w:tbl>
      <w:tblPr>
        <w:tblW w:w="5000" w:type="pct"/>
        <w:jc w:val="left"/>
        <w:tblInd w:w="0" w:type="dxa"/>
        <w:tblCellMar>
          <w:top w:w="0" w:type="dxa"/>
          <w:left w:w="0" w:type="dxa"/>
          <w:bottom w:w="28" w:type="dxa"/>
          <w:right w:w="0" w:type="dxa"/>
        </w:tblCellMar>
      </w:tblPr>
      <w:tblGrid>
        <w:gridCol w:w="838"/>
        <w:gridCol w:w="60"/>
        <w:gridCol w:w="6346"/>
        <w:gridCol w:w="60"/>
        <w:gridCol w:w="496"/>
        <w:gridCol w:w="60"/>
        <w:gridCol w:w="1505"/>
        <w:gridCol w:w="60"/>
        <w:gridCol w:w="780"/>
      </w:tblGrid>
      <w:tr>
        <w:trPr/>
        <w:tc>
          <w:tcPr>
            <w:tcW w:w="838"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b/>
                <w:sz w:val="18"/>
              </w:rPr>
            </w:pPr>
            <w:r>
              <w:rPr>
                <w:rFonts w:ascii="Times New Roman" w:hAnsi="Times New Roman"/>
                <w:b/>
                <w:sz w:val="18"/>
              </w:rPr>
              <w:t>Exhibit</w:t>
            </w:r>
          </w:p>
          <w:p>
            <w:pPr>
              <w:pStyle w:val="TableContents"/>
              <w:spacing w:before="0" w:after="0"/>
              <w:ind w:left="0" w:right="0" w:hanging="0"/>
              <w:jc w:val="both"/>
              <w:rPr>
                <w:rFonts w:ascii="Times New Roman" w:hAnsi="Times New Roman"/>
                <w:b/>
                <w:sz w:val="18"/>
              </w:rPr>
            </w:pPr>
            <w:r>
              <w:rPr>
                <w:rFonts w:ascii="Times New Roman" w:hAnsi="Times New Roman"/>
                <w:b/>
                <w:sz w:val="18"/>
              </w:rPr>
              <w:t>Number</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6346"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Exhibit Description</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Form</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Exhibit Incorporated</w:t>
            </w:r>
          </w:p>
          <w:p>
            <w:pPr>
              <w:pStyle w:val="TableContents"/>
              <w:spacing w:before="0" w:after="0"/>
              <w:ind w:left="0" w:right="0" w:hanging="0"/>
              <w:jc w:val="center"/>
              <w:rPr>
                <w:rFonts w:ascii="Times New Roman" w:hAnsi="Times New Roman"/>
                <w:b/>
                <w:sz w:val="18"/>
              </w:rPr>
            </w:pPr>
            <w:r>
              <w:rPr>
                <w:rFonts w:ascii="Times New Roman" w:hAnsi="Times New Roman"/>
                <w:b/>
                <w:sz w:val="18"/>
              </w:rPr>
              <w:t>Herein by Reference</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Filing Date</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3.1</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r:id="rId31">
              <w:r>
                <w:rPr>
                  <w:rStyle w:val="InternetLink"/>
                  <w:rFonts w:ascii="Times New Roman" w:hAnsi="Times New Roman"/>
                  <w:color w:val="0000EE"/>
                  <w:sz w:val="20"/>
                  <w:u w:val="single"/>
                </w:rPr>
                <w:t>Certificate of Incorporation of ClearOne, Inc.</w:t>
              </w:r>
            </w:hyperlink>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10/29/18</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3.2</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r:id="rId32">
              <w:r>
                <w:rPr>
                  <w:rStyle w:val="InternetLink"/>
                  <w:rFonts w:ascii="Times New Roman" w:hAnsi="Times New Roman"/>
                  <w:color w:val="0000EE"/>
                  <w:sz w:val="20"/>
                  <w:u w:val="single"/>
                </w:rPr>
                <w:t>Bylaws</w:t>
              </w:r>
            </w:hyperlink>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10/29/18</w:t>
            </w:r>
          </w:p>
        </w:tc>
      </w:tr>
      <w:tr>
        <w:trPr/>
        <w:tc>
          <w:tcPr>
            <w:tcW w:w="838" w:type="dxa"/>
            <w:tcBorders/>
            <w:shd w:fill="auto" w:val="clear"/>
            <w:tcMar>
              <w:bottom w:w="0" w:type="dxa"/>
            </w:tcMar>
            <w:vAlign w:val="center"/>
          </w:tcPr>
          <w:p>
            <w:pPr>
              <w:pStyle w:val="TableContents"/>
              <w:spacing w:before="0" w:after="283"/>
              <w:rPr/>
            </w:pPr>
            <w:r>
              <w:rPr/>
              <w:t>4.1</w:t>
            </w:r>
          </w:p>
        </w:tc>
        <w:tc>
          <w:tcPr>
            <w:tcW w:w="60" w:type="dxa"/>
            <w:tcBorders/>
            <w:shd w:fill="auto" w:val="clear"/>
            <w:tcMar>
              <w:bottom w:w="0" w:type="dxa"/>
            </w:tcMar>
            <w:vAlign w:val="center"/>
          </w:tcPr>
          <w:p>
            <w:pPr>
              <w:pStyle w:val="TableContents"/>
              <w:spacing w:before="0" w:after="283"/>
              <w:rPr/>
            </w:pPr>
            <w:r>
              <w:rPr/>
            </w:r>
          </w:p>
        </w:tc>
        <w:tc>
          <w:tcPr>
            <w:tcW w:w="6346" w:type="dxa"/>
            <w:tcBorders/>
            <w:shd w:fill="auto" w:val="clear"/>
            <w:tcMar>
              <w:bottom w:w="0" w:type="dxa"/>
            </w:tcMar>
            <w:vAlign w:val="center"/>
          </w:tcPr>
          <w:p>
            <w:pPr>
              <w:pStyle w:val="TableContents"/>
              <w:spacing w:before="0" w:after="283"/>
              <w:rPr/>
            </w:pPr>
            <w:hyperlink r:id="rId33">
              <w:r>
                <w:rPr>
                  <w:rStyle w:val="InternetLink"/>
                  <w:rFonts w:ascii="Times New Roman" w:hAnsi="Times New Roman"/>
                  <w:color w:val="0000EE"/>
                  <w:sz w:val="20"/>
                  <w:u w:val="single"/>
                </w:rPr>
                <w:t>Description of Securities Registered Pursuant to Section 12 of the Securities Exchange Act of 1934</w:t>
              </w:r>
            </w:hyperlink>
          </w:p>
        </w:tc>
        <w:tc>
          <w:tcPr>
            <w:tcW w:w="60" w:type="dxa"/>
            <w:tcBorders/>
            <w:shd w:fill="auto" w:val="clear"/>
            <w:tcMar>
              <w:bottom w:w="0" w:type="dxa"/>
            </w:tcMar>
            <w:vAlign w:val="center"/>
          </w:tcPr>
          <w:p>
            <w:pPr>
              <w:pStyle w:val="TableContents"/>
              <w:spacing w:before="0" w:after="283"/>
              <w:rPr/>
            </w:pPr>
            <w:r>
              <w:rPr/>
            </w:r>
          </w:p>
        </w:tc>
        <w:tc>
          <w:tcPr>
            <w:tcW w:w="496" w:type="dxa"/>
            <w:tcBorders/>
            <w:shd w:fill="auto" w:val="clear"/>
            <w:tcMar>
              <w:bottom w:w="0" w:type="dxa"/>
            </w:tcMar>
            <w:vAlign w:val="center"/>
          </w:tcPr>
          <w:p>
            <w:pPr>
              <w:pStyle w:val="TableContents"/>
              <w:spacing w:before="0" w:after="283"/>
              <w:jc w:val="center"/>
              <w:rPr/>
            </w:pPr>
            <w:r>
              <w:rPr/>
              <w:t>10-K</w:t>
            </w:r>
          </w:p>
        </w:tc>
        <w:tc>
          <w:tcPr>
            <w:tcW w:w="60" w:type="dxa"/>
            <w:tcBorders/>
            <w:shd w:fill="auto" w:val="clear"/>
            <w:tcMar>
              <w:bottom w:w="0" w:type="dxa"/>
            </w:tcMar>
            <w:vAlign w:val="center"/>
          </w:tcPr>
          <w:p>
            <w:pPr>
              <w:pStyle w:val="TableContents"/>
              <w:spacing w:before="0" w:after="283"/>
              <w:rPr/>
            </w:pPr>
            <w:r>
              <w:rPr/>
            </w:r>
          </w:p>
        </w:tc>
        <w:tc>
          <w:tcPr>
            <w:tcW w:w="1505" w:type="dxa"/>
            <w:tcBorders/>
            <w:shd w:fill="auto" w:val="clear"/>
            <w:tcMar>
              <w:bottom w:w="0" w:type="dxa"/>
            </w:tcMar>
            <w:vAlign w:val="center"/>
          </w:tcPr>
          <w:p>
            <w:pPr>
              <w:pStyle w:val="TableContents"/>
              <w:spacing w:before="0" w:after="283"/>
              <w:jc w:val="center"/>
              <w:rPr/>
            </w:pPr>
            <w:r>
              <w:rPr/>
              <w:t>4.1</w:t>
            </w:r>
          </w:p>
        </w:tc>
        <w:tc>
          <w:tcPr>
            <w:tcW w:w="60" w:type="dxa"/>
            <w:tcBorders/>
            <w:shd w:fill="auto" w:val="clear"/>
            <w:tcMar>
              <w:bottom w:w="0" w:type="dxa"/>
            </w:tcMar>
            <w:vAlign w:val="center"/>
          </w:tcPr>
          <w:p>
            <w:pPr>
              <w:pStyle w:val="TableContents"/>
              <w:spacing w:before="0" w:after="283"/>
              <w:rPr/>
            </w:pPr>
            <w:r>
              <w:rPr/>
            </w:r>
          </w:p>
        </w:tc>
        <w:tc>
          <w:tcPr>
            <w:tcW w:w="780" w:type="dxa"/>
            <w:tcBorders/>
            <w:shd w:fill="auto" w:val="clear"/>
            <w:tcMar>
              <w:bottom w:w="0" w:type="dxa"/>
            </w:tcMar>
            <w:vAlign w:val="center"/>
          </w:tcPr>
          <w:p>
            <w:pPr>
              <w:pStyle w:val="TableContents"/>
              <w:spacing w:before="0" w:after="283"/>
              <w:jc w:val="center"/>
              <w:rPr/>
            </w:pPr>
            <w:r>
              <w:rPr/>
              <w:t>03/30/20</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r:id="rId34">
              <w:r>
                <w:rPr>
                  <w:rStyle w:val="InternetLink"/>
                  <w:rFonts w:ascii="Times New Roman" w:hAnsi="Times New Roman"/>
                  <w:color w:val="0000EE"/>
                  <w:sz w:val="20"/>
                  <w:u w:val="single"/>
                </w:rPr>
                <w:t>1997 Employee Stock Purchase Plan</w:t>
              </w:r>
            </w:hyperlink>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4.9</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10/06/06</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10.2</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r:id="rId35">
              <w:r>
                <w:rPr>
                  <w:rStyle w:val="InternetLink"/>
                  <w:rFonts w:ascii="Times New Roman" w:hAnsi="Times New Roman"/>
                  <w:color w:val="0000EE"/>
                  <w:sz w:val="20"/>
                  <w:u w:val="single"/>
                </w:rPr>
                <w:t>1998 Stock Option Plan</w:t>
              </w:r>
            </w:hyperlink>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4.8</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10/06/06</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10.3</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r:id="rId36">
              <w:r>
                <w:rPr>
                  <w:rStyle w:val="InternetLink"/>
                  <w:rFonts w:ascii="Times New Roman" w:hAnsi="Times New Roman"/>
                  <w:color w:val="0000EE"/>
                  <w:sz w:val="20"/>
                  <w:u w:val="single"/>
                </w:rPr>
                <w:t>2007 Equity Incentive Plan</w:t>
              </w:r>
            </w:hyperlink>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4.7</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01/22/08</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10.4</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r:id="rId37">
              <w:r>
                <w:rPr>
                  <w:rStyle w:val="InternetLink"/>
                  <w:rFonts w:ascii="Times New Roman" w:hAnsi="Times New Roman"/>
                  <w:color w:val="0000EE"/>
                  <w:sz w:val="20"/>
                  <w:u w:val="single"/>
                </w:rPr>
                <w:t>ClearOne, Inc. Equity Incentive Plan</w:t>
              </w:r>
            </w:hyperlink>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4.8</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01/26/16</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10.5</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r:id="rId38">
              <w:r>
                <w:rPr>
                  <w:rStyle w:val="InternetLink"/>
                  <w:rFonts w:ascii="Times New Roman" w:hAnsi="Times New Roman"/>
                  <w:color w:val="0000EE"/>
                  <w:sz w:val="20"/>
                  <w:u w:val="single"/>
                </w:rPr>
                <w:t>Amendment No. 1 to the ClearOne, Inc. Equity Incentive Plan</w:t>
              </w:r>
            </w:hyperlink>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4.11</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06/30/15</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10.6</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r:id="rId39">
              <w:r>
                <w:rPr>
                  <w:rStyle w:val="InternetLink"/>
                  <w:rFonts w:ascii="Times New Roman" w:hAnsi="Times New Roman"/>
                  <w:color w:val="0000EE"/>
                  <w:sz w:val="20"/>
                  <w:u w:val="single"/>
                </w:rPr>
                <w:t>ClearOne, Inc. Employee Stock Purchase Plan</w:t>
              </w:r>
            </w:hyperlink>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4.3</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06/30/15</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14.1</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r:id="rId40">
              <w:r>
                <w:rPr>
                  <w:rStyle w:val="InternetLink"/>
                  <w:rFonts w:ascii="Times New Roman" w:hAnsi="Times New Roman"/>
                  <w:color w:val="0000EE"/>
                  <w:sz w:val="20"/>
                  <w:u w:val="single"/>
                </w:rPr>
                <w:t>Code of Ethics, approved by the Board of Directors on August 23, 2006</w:t>
              </w:r>
            </w:hyperlink>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496"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10-K</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150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14.1</w:t>
            </w:r>
          </w:p>
        </w:tc>
        <w:tc>
          <w:tcPr>
            <w:tcW w:w="60" w:type="dxa"/>
            <w:tcBorders/>
            <w:shd w:fill="auto" w:val="clear"/>
            <w:tcMar>
              <w:bottom w:w="0" w:type="dxa"/>
            </w:tcMar>
            <w:vAlign w:val="center"/>
          </w:tcPr>
          <w:p>
            <w:pPr>
              <w:pStyle w:val="TableContents"/>
              <w:spacing w:before="0" w:after="0"/>
              <w:ind w:left="0" w:right="0" w:hanging="0"/>
              <w:jc w:val="both"/>
              <w:rPr/>
            </w:pPr>
            <w:r>
              <w:rPr/>
              <w:t> </w:t>
            </w:r>
          </w:p>
        </w:tc>
        <w:tc>
          <w:tcPr>
            <w:tcW w:w="78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09/14/06</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21.1†</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w:anchor="ex211_1.htm">
              <w:r>
                <w:rPr>
                  <w:rStyle w:val="InternetLink"/>
                  <w:rFonts w:ascii="Times New Roman" w:hAnsi="Times New Roman"/>
                  <w:color w:val="0000EE"/>
                  <w:sz w:val="20"/>
                  <w:u w:val="single"/>
                </w:rPr>
                <w:t>Subsidiaries of the registrant</w:t>
              </w:r>
            </w:hyperlink>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23.1†</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w:anchor="ex231_2.htm">
              <w:r>
                <w:rPr>
                  <w:rStyle w:val="InternetLink"/>
                  <w:rFonts w:ascii="Times New Roman" w:hAnsi="Times New Roman"/>
                  <w:color w:val="0000EE"/>
                  <w:sz w:val="20"/>
                  <w:u w:val="single"/>
                </w:rPr>
                <w:t>Consent of Tanner LLC, Independent Registered Public Accounting Firm</w:t>
              </w:r>
            </w:hyperlink>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31.1†</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w:anchor="ex311_3.htm">
              <w:r>
                <w:rPr>
                  <w:rStyle w:val="InternetLink"/>
                  <w:rFonts w:ascii="Times New Roman" w:hAnsi="Times New Roman"/>
                  <w:color w:val="0000EE"/>
                  <w:sz w:val="20"/>
                  <w:u w:val="single"/>
                </w:rPr>
                <w:t>Section 302 Certification of Chief Executive Officer</w:t>
              </w:r>
            </w:hyperlink>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31.2†</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w:anchor="ex322_4.htm">
              <w:r>
                <w:rPr>
                  <w:rStyle w:val="InternetLink"/>
                  <w:rFonts w:ascii="Times New Roman" w:hAnsi="Times New Roman"/>
                  <w:color w:val="0000EE"/>
                  <w:sz w:val="20"/>
                  <w:u w:val="single"/>
                </w:rPr>
                <w:t>Section 302 Certification of Chief Financial Officer</w:t>
              </w:r>
            </w:hyperlink>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32.1†</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w:anchor="ex321_5.htm">
              <w:r>
                <w:rPr>
                  <w:rStyle w:val="InternetLink"/>
                  <w:rFonts w:ascii="Times New Roman" w:hAnsi="Times New Roman"/>
                  <w:color w:val="0000EE"/>
                  <w:sz w:val="20"/>
                  <w:u w:val="single"/>
                </w:rPr>
                <w:t>Section 906 Certification of Chief Executive Officer</w:t>
              </w:r>
            </w:hyperlink>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32.2†</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pPr>
            <w:hyperlink w:anchor="ex322_6.htm">
              <w:r>
                <w:rPr>
                  <w:rStyle w:val="InternetLink"/>
                  <w:rFonts w:ascii="Times New Roman" w:hAnsi="Times New Roman"/>
                  <w:color w:val="0000EE"/>
                  <w:sz w:val="20"/>
                  <w:u w:val="single"/>
                </w:rPr>
                <w:t>Section 906 Certification of Chief Financial Officer</w:t>
              </w:r>
            </w:hyperlink>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101.INS‡</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Instance Document</w:t>
            </w:r>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101.SCH‡</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Schema</w:t>
            </w:r>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101.CAL‡</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Calculation Linkbase</w:t>
            </w:r>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101.DEF‡</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Definitions Linkbase</w:t>
            </w:r>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101.LAB‡</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Label Linkbase</w:t>
            </w:r>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rPr/>
            </w:pPr>
            <w:r>
              <w:rPr/>
              <w:t> </w:t>
            </w:r>
          </w:p>
        </w:tc>
      </w:tr>
      <w:tr>
        <w:trPr/>
        <w:tc>
          <w:tcPr>
            <w:tcW w:w="8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101.PRE‡</w:t>
            </w:r>
          </w:p>
        </w:tc>
        <w:tc>
          <w:tcPr>
            <w:tcW w:w="60" w:type="dxa"/>
            <w:tcBorders/>
            <w:shd w:fill="auto" w:val="clear"/>
            <w:tcMar>
              <w:bottom w:w="0" w:type="dxa"/>
            </w:tcMar>
            <w:vAlign w:val="center"/>
          </w:tcPr>
          <w:p>
            <w:pPr>
              <w:pStyle w:val="TableContents"/>
              <w:spacing w:before="0" w:after="0"/>
              <w:ind w:left="0" w:right="0" w:hanging="0"/>
              <w:rPr/>
            </w:pPr>
            <w:r>
              <w:rPr/>
              <w:t> </w:t>
            </w:r>
          </w:p>
        </w:tc>
        <w:tc>
          <w:tcPr>
            <w:tcW w:w="6346"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Presentation Linkbase</w:t>
            </w:r>
          </w:p>
        </w:tc>
        <w:tc>
          <w:tcPr>
            <w:tcW w:w="60" w:type="dxa"/>
            <w:tcBorders/>
            <w:shd w:fill="auto" w:val="clear"/>
            <w:tcMar>
              <w:bottom w:w="0" w:type="dxa"/>
            </w:tcMar>
            <w:vAlign w:val="center"/>
          </w:tcPr>
          <w:p>
            <w:pPr>
              <w:pStyle w:val="TableContents"/>
              <w:spacing w:before="0" w:after="0"/>
              <w:ind w:left="0" w:right="0" w:hanging="0"/>
              <w:rPr/>
            </w:pPr>
            <w:r>
              <w:rPr/>
              <w:t> </w:t>
            </w:r>
          </w:p>
        </w:tc>
        <w:tc>
          <w:tcPr>
            <w:tcW w:w="496"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1505"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vAlign w:val="center"/>
          </w:tcPr>
          <w:p>
            <w:pPr>
              <w:pStyle w:val="TableContents"/>
              <w:spacing w:before="0" w:after="0"/>
              <w:ind w:left="0" w:right="0" w:hanging="0"/>
              <w:rPr/>
            </w:pPr>
            <w:r>
              <w:rPr/>
              <w:t> </w:t>
            </w:r>
          </w:p>
        </w:tc>
        <w:tc>
          <w:tcPr>
            <w:tcW w:w="780" w:type="dxa"/>
            <w:tcBorders/>
            <w:shd w:fill="auto" w:val="clear"/>
            <w:tcMar>
              <w:bottom w:w="0" w:type="dxa"/>
            </w:tcMar>
            <w:vAlign w:val="center"/>
          </w:tcPr>
          <w:p>
            <w:pPr>
              <w:pStyle w:val="TableContents"/>
              <w:spacing w:before="0" w:after="0"/>
              <w:ind w:left="0" w:right="0" w:hanging="0"/>
              <w:jc w:val="both"/>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Constitutes a management contract or compensatory plan or arrangement.</w:t>
      </w:r>
    </w:p>
    <w:p>
      <w:pPr>
        <w:pStyle w:val="TextBody"/>
        <w:spacing w:before="0" w:after="0"/>
        <w:ind w:left="0" w:right="0" w:hanging="0"/>
        <w:jc w:val="both"/>
        <w:rPr/>
      </w:pPr>
      <w:r>
        <w:rPr/>
        <w:t xml:space="preserve">† </w:t>
      </w:r>
      <w:r>
        <w:rPr>
          <w:rFonts w:ascii="Times New Roman" w:hAnsi="Times New Roman"/>
          <w:sz w:val="20"/>
        </w:rPr>
        <w:t>Filed herewith</w:t>
      </w:r>
    </w:p>
    <w:p>
      <w:pPr>
        <w:pStyle w:val="TextBody"/>
        <w:spacing w:before="0" w:after="0"/>
        <w:ind w:left="0" w:right="0" w:hanging="0"/>
        <w:jc w:val="both"/>
        <w:rPr/>
      </w:pPr>
      <w:r>
        <w:rPr/>
        <w:t xml:space="preserve">‡ </w:t>
      </w:r>
      <w:r>
        <w:rPr>
          <w:rFonts w:ascii="Times New Roman" w:hAnsi="Times New Roman"/>
          <w:sz w:val="20"/>
        </w:rPr>
        <w:t>Information furnished herewith shall not be deemed to be “filed” for the purposes of Section 18 of the 1934 Act</w:t>
      </w:r>
    </w:p>
    <w:p>
      <w:pPr>
        <w:pStyle w:val="TextBody"/>
        <w:spacing w:before="0" w:after="0"/>
        <w:ind w:left="144" w:right="144" w:hanging="0"/>
        <w:jc w:val="both"/>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45</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CLEARONE, INC.</w:t>
      </w:r>
    </w:p>
    <w:p>
      <w:pPr>
        <w:pStyle w:val="TextBody"/>
        <w:spacing w:before="0" w:after="0"/>
        <w:ind w:left="0" w:right="0" w:hanging="0"/>
        <w:jc w:val="both"/>
        <w:rPr>
          <w:rFonts w:ascii="Times New Roman" w:hAnsi="Times New Roman"/>
          <w:sz w:val="20"/>
        </w:rPr>
      </w:pPr>
      <w:r>
        <w:rPr>
          <w:rFonts w:ascii="Times New Roman" w:hAnsi="Times New Roman"/>
          <w:sz w:val="20"/>
        </w:rPr>
        <w:t>Registrant</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055"/>
        <w:gridCol w:w="150"/>
      </w:tblGrid>
      <w:tr>
        <w:trPr/>
        <w:tc>
          <w:tcPr>
            <w:tcW w:w="10055"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Zeynep Hakimoglu</w:t>
            </w:r>
          </w:p>
        </w:tc>
        <w:tc>
          <w:tcPr>
            <w:tcW w:w="150" w:type="dxa"/>
            <w:tcBorders/>
            <w:shd w:fill="auto" w:val="clear"/>
            <w:tcMar>
              <w:bottom w:w="0" w:type="dxa"/>
            </w:tcMar>
            <w:vAlign w:val="center"/>
          </w:tcPr>
          <w:p>
            <w:pPr>
              <w:pStyle w:val="TableContents"/>
              <w:spacing w:before="0" w:after="0"/>
              <w:ind w:left="0" w:right="0" w:hanging="0"/>
              <w:jc w:val="both"/>
              <w:rPr/>
            </w:pPr>
            <w:r>
              <w:rPr/>
              <w:t> </w:t>
            </w:r>
          </w:p>
        </w:tc>
      </w:tr>
      <w:tr>
        <w:trPr/>
        <w:tc>
          <w:tcPr>
            <w:tcW w:w="1005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Zeynep Hakimoglu</w:t>
            </w:r>
          </w:p>
        </w:tc>
        <w:tc>
          <w:tcPr>
            <w:tcW w:w="150" w:type="dxa"/>
            <w:tcBorders/>
            <w:shd w:fill="auto" w:val="clear"/>
            <w:tcMar>
              <w:bottom w:w="0" w:type="dxa"/>
            </w:tcMar>
            <w:vAlign w:val="center"/>
          </w:tcPr>
          <w:p>
            <w:pPr>
              <w:pStyle w:val="TableContents"/>
              <w:spacing w:before="0" w:after="0"/>
              <w:ind w:left="0" w:right="0" w:hanging="0"/>
              <w:jc w:val="both"/>
              <w:rPr/>
            </w:pPr>
            <w:r>
              <w:rPr/>
              <w:t> </w:t>
            </w:r>
          </w:p>
        </w:tc>
      </w:tr>
      <w:tr>
        <w:trPr/>
        <w:tc>
          <w:tcPr>
            <w:tcW w:w="1005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President, Chief Executive Officer and Chairman of the Board</w:t>
            </w:r>
          </w:p>
        </w:tc>
        <w:tc>
          <w:tcPr>
            <w:tcW w:w="150" w:type="dxa"/>
            <w:tcBorders/>
            <w:shd w:fill="auto" w:val="clear"/>
            <w:tcMar>
              <w:bottom w:w="0" w:type="dxa"/>
            </w:tcMar>
            <w:vAlign w:val="center"/>
          </w:tcPr>
          <w:p>
            <w:pPr>
              <w:pStyle w:val="TableContents"/>
              <w:spacing w:before="0" w:after="0"/>
              <w:ind w:left="0" w:right="0" w:hanging="0"/>
              <w:jc w:val="both"/>
              <w:rPr/>
            </w:pPr>
            <w:r>
              <w:rPr/>
              <w:t> </w:t>
            </w:r>
          </w:p>
        </w:tc>
      </w:tr>
      <w:tr>
        <w:trPr/>
        <w:tc>
          <w:tcPr>
            <w:tcW w:w="10055" w:type="dxa"/>
            <w:tcBorders/>
            <w:shd w:fill="auto" w:val="clear"/>
            <w:tcMar>
              <w:bottom w:w="0" w:type="dxa"/>
            </w:tcMar>
            <w:vAlign w:val="center"/>
          </w:tcPr>
          <w:p>
            <w:pPr>
              <w:pStyle w:val="TableContents"/>
              <w:spacing w:before="0" w:after="0"/>
              <w:ind w:left="0" w:right="0" w:hanging="0"/>
              <w:jc w:val="both"/>
              <w:rPr/>
            </w:pPr>
            <w:r>
              <w:rPr/>
              <w:t>March 31, 2021</w:t>
            </w:r>
          </w:p>
        </w:tc>
        <w:tc>
          <w:tcPr>
            <w:tcW w:w="150" w:type="dxa"/>
            <w:tcBorders/>
            <w:shd w:fill="auto" w:val="clear"/>
            <w:tcMar>
              <w:bottom w:w="0" w:type="dxa"/>
            </w:tcMar>
            <w:vAlign w:val="center"/>
          </w:tcPr>
          <w:p>
            <w:pPr>
              <w:pStyle w:val="TableContents"/>
              <w:spacing w:before="0" w:after="0"/>
              <w:ind w:left="0" w:right="0" w:hanging="0"/>
              <w:jc w:val="both"/>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460"/>
        <w:gridCol w:w="65"/>
        <w:gridCol w:w="4680"/>
      </w:tblGrid>
      <w:tr>
        <w:trPr/>
        <w:tc>
          <w:tcPr>
            <w:tcW w:w="5460"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Zeynep Hakimoglu </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Narsi Narayanan</w:t>
            </w:r>
          </w:p>
        </w:tc>
      </w:tr>
      <w:tr>
        <w:trPr/>
        <w:tc>
          <w:tcPr>
            <w:tcW w:w="546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Zeynep Hakimoglu</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Narsi Narayanan</w:t>
            </w:r>
          </w:p>
        </w:tc>
      </w:tr>
      <w:tr>
        <w:trPr/>
        <w:tc>
          <w:tcPr>
            <w:tcW w:w="546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President, Chief Executive Officer and Chairman of the Board</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Senior Vice President of Finance</w:t>
            </w:r>
          </w:p>
        </w:tc>
      </w:tr>
      <w:tr>
        <w:trPr/>
        <w:tc>
          <w:tcPr>
            <w:tcW w:w="546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(principal executive officer)</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(principal accounting and principal financial officer)</w:t>
            </w:r>
          </w:p>
        </w:tc>
      </w:tr>
      <w:tr>
        <w:trPr/>
        <w:tc>
          <w:tcPr>
            <w:tcW w:w="5460" w:type="dxa"/>
            <w:tcBorders/>
            <w:shd w:fill="auto" w:val="clear"/>
            <w:tcMar>
              <w:bottom w:w="0" w:type="dxa"/>
            </w:tcMar>
            <w:vAlign w:val="center"/>
          </w:tcPr>
          <w:p>
            <w:pPr>
              <w:pStyle w:val="TableContents"/>
              <w:spacing w:before="0" w:after="0"/>
              <w:ind w:left="0" w:right="0" w:hanging="0"/>
              <w:jc w:val="both"/>
              <w:rPr/>
            </w:pPr>
            <w:r>
              <w:rPr/>
              <w:t>March 31, 2021</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pPr>
            <w:r>
              <w:rPr/>
              <w:t>March 31, 2021</w:t>
            </w:r>
          </w:p>
        </w:tc>
      </w:tr>
      <w:tr>
        <w:trPr/>
        <w:tc>
          <w:tcPr>
            <w:tcW w:w="5460" w:type="dxa"/>
            <w:tcBorders/>
            <w:shd w:fill="auto" w:val="clear"/>
            <w:tcMar>
              <w:bottom w:w="0" w:type="dxa"/>
            </w:tcMar>
            <w:vAlign w:val="center"/>
          </w:tcPr>
          <w:p>
            <w:pPr>
              <w:pStyle w:val="TableContents"/>
              <w:spacing w:before="0" w:after="0"/>
              <w:ind w:left="0" w:right="0" w:hanging="0"/>
              <w:rPr/>
            </w:pPr>
            <w:r>
              <w:rPr/>
              <w:t> </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rPr/>
            </w:pPr>
            <w:r>
              <w:rPr/>
              <w:t> </w:t>
            </w:r>
          </w:p>
        </w:tc>
      </w:tr>
      <w:tr>
        <w:trPr/>
        <w:tc>
          <w:tcPr>
            <w:tcW w:w="5460"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Eric L. Robinson</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Larry R. Hendricks</w:t>
            </w:r>
          </w:p>
        </w:tc>
      </w:tr>
      <w:tr>
        <w:trPr/>
        <w:tc>
          <w:tcPr>
            <w:tcW w:w="546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Eric L. Robinson</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Larry R. Hendricks</w:t>
            </w:r>
          </w:p>
        </w:tc>
      </w:tr>
      <w:tr>
        <w:trPr/>
        <w:tc>
          <w:tcPr>
            <w:tcW w:w="546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r>
        <w:trPr/>
        <w:tc>
          <w:tcPr>
            <w:tcW w:w="5460" w:type="dxa"/>
            <w:tcBorders/>
            <w:shd w:fill="auto" w:val="clear"/>
            <w:tcMar>
              <w:bottom w:w="0" w:type="dxa"/>
            </w:tcMar>
            <w:vAlign w:val="center"/>
          </w:tcPr>
          <w:p>
            <w:pPr>
              <w:pStyle w:val="TableContents"/>
              <w:spacing w:before="0" w:after="0"/>
              <w:ind w:left="0" w:right="0" w:hanging="0"/>
              <w:jc w:val="both"/>
              <w:rPr/>
            </w:pPr>
            <w:r>
              <w:rPr/>
              <w:t>March 31, 2021</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pPr>
            <w:r>
              <w:rPr/>
              <w:t>March 31, 2021</w:t>
            </w:r>
          </w:p>
        </w:tc>
      </w:tr>
      <w:tr>
        <w:trPr/>
        <w:tc>
          <w:tcPr>
            <w:tcW w:w="5460" w:type="dxa"/>
            <w:tcBorders/>
            <w:shd w:fill="auto" w:val="clear"/>
            <w:tcMar>
              <w:bottom w:w="0" w:type="dxa"/>
            </w:tcMar>
            <w:vAlign w:val="center"/>
          </w:tcPr>
          <w:p>
            <w:pPr>
              <w:pStyle w:val="TableContents"/>
              <w:spacing w:before="0" w:after="0"/>
              <w:ind w:left="0" w:right="0" w:hanging="0"/>
              <w:jc w:val="both"/>
              <w:rPr/>
            </w:pPr>
            <w:r>
              <w:rPr/>
              <w:t> </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pPr>
            <w:r>
              <w:rPr/>
              <w:t> </w:t>
            </w:r>
          </w:p>
        </w:tc>
      </w:tr>
      <w:tr>
        <w:trPr/>
        <w:tc>
          <w:tcPr>
            <w:tcW w:w="5460"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Bruce Whaley</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sz w:val="20"/>
              </w:rPr>
            </w:pPr>
            <w:r>
              <w:rPr>
                <w:i/>
                <w:sz w:val="20"/>
              </w:rPr>
              <w:t>/s/</w:t>
            </w:r>
            <w:r>
              <w:rPr>
                <w:sz w:val="20"/>
              </w:rPr>
              <w:t xml:space="preserve"> </w:t>
            </w:r>
            <w:r>
              <w:rPr>
                <w:i/>
                <w:sz w:val="20"/>
              </w:rPr>
              <w:t>Lisa B. Higley</w:t>
            </w:r>
          </w:p>
        </w:tc>
      </w:tr>
      <w:tr>
        <w:trPr/>
        <w:tc>
          <w:tcPr>
            <w:tcW w:w="546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Bruce Whaley</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pPr>
            <w:r>
              <w:rPr/>
              <w:t> </w:t>
            </w:r>
            <w:r>
              <w:rPr>
                <w:rFonts w:ascii="Times New Roman" w:hAnsi="Times New Roman"/>
                <w:sz w:val="20"/>
              </w:rPr>
              <w:t>Lisa B. Higley</w:t>
            </w:r>
          </w:p>
        </w:tc>
      </w:tr>
      <w:tr>
        <w:trPr/>
        <w:tc>
          <w:tcPr>
            <w:tcW w:w="5460"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pPr>
            <w:r>
              <w:rPr/>
              <w:t> </w:t>
            </w:r>
            <w:r>
              <w:rPr>
                <w:rFonts w:ascii="Times New Roman" w:hAnsi="Times New Roman"/>
                <w:sz w:val="20"/>
              </w:rPr>
              <w:t>Director</w:t>
            </w:r>
          </w:p>
        </w:tc>
      </w:tr>
      <w:tr>
        <w:trPr/>
        <w:tc>
          <w:tcPr>
            <w:tcW w:w="5460" w:type="dxa"/>
            <w:tcBorders/>
            <w:shd w:fill="auto" w:val="clear"/>
            <w:tcMar>
              <w:bottom w:w="0" w:type="dxa"/>
            </w:tcMar>
            <w:vAlign w:val="center"/>
          </w:tcPr>
          <w:p>
            <w:pPr>
              <w:pStyle w:val="TableContents"/>
              <w:spacing w:before="0" w:after="0"/>
              <w:ind w:left="0" w:right="0" w:hanging="0"/>
              <w:jc w:val="both"/>
              <w:rPr/>
            </w:pPr>
            <w:r>
              <w:rPr/>
              <w:t>March 31, 2021</w:t>
            </w:r>
          </w:p>
        </w:tc>
        <w:tc>
          <w:tcPr>
            <w:tcW w:w="65" w:type="dxa"/>
            <w:tcBorders/>
            <w:shd w:fill="auto" w:val="clear"/>
            <w:tcMar>
              <w:bottom w:w="0" w:type="dxa"/>
            </w:tcMar>
            <w:vAlign w:val="center"/>
          </w:tcPr>
          <w:p>
            <w:pPr>
              <w:pStyle w:val="TableContents"/>
              <w:spacing w:before="0" w:after="0"/>
              <w:ind w:left="0" w:right="0" w:hanging="0"/>
              <w:rPr/>
            </w:pPr>
            <w:r>
              <w:rPr/>
              <w:t> </w:t>
            </w:r>
          </w:p>
        </w:tc>
        <w:tc>
          <w:tcPr>
            <w:tcW w:w="4680" w:type="dxa"/>
            <w:tcBorders/>
            <w:shd w:fill="auto" w:val="clear"/>
            <w:tcMar>
              <w:bottom w:w="0" w:type="dxa"/>
            </w:tcMar>
            <w:vAlign w:val="center"/>
          </w:tcPr>
          <w:p>
            <w:pPr>
              <w:pStyle w:val="TableContents"/>
              <w:spacing w:before="0" w:after="0"/>
              <w:ind w:left="0" w:right="0" w:hanging="0"/>
              <w:jc w:val="both"/>
              <w:rPr/>
            </w:pPr>
            <w:r>
              <w:rPr/>
              <w:t> </w:t>
            </w:r>
            <w:r>
              <w:rPr>
                <w:rFonts w:ascii="Times New Roman" w:hAnsi="Times New Roman"/>
                <w:sz w:val="20"/>
              </w:rPr>
              <w:t>March 31, 2021</w:t>
            </w:r>
          </w:p>
        </w:tc>
      </w:tr>
    </w:tbl>
    <w:p>
      <w:pPr>
        <w:pStyle w:val="TextBody"/>
        <w:spacing w:before="0" w:after="0"/>
        <w:ind w:left="0" w:right="0" w:hanging="0"/>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46</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INDEX TO CONSOLIDATED FINANCIAL STATEMENTS</w:t>
      </w:r>
    </w:p>
    <w:p>
      <w:pPr>
        <w:pStyle w:val="TextBody"/>
        <w:spacing w:before="0" w:after="0"/>
        <w:rPr/>
      </w:pPr>
      <w:r>
        <w:rPr/>
        <w:t xml:space="preserve">​ </w:t>
      </w:r>
    </w:p>
    <w:tbl>
      <w:tblPr>
        <w:tblW w:w="10205" w:type="dxa"/>
        <w:jc w:val="left"/>
        <w:tblInd w:w="0" w:type="dxa"/>
        <w:tblCellMar>
          <w:top w:w="0" w:type="dxa"/>
          <w:left w:w="0" w:type="dxa"/>
          <w:bottom w:w="0" w:type="dxa"/>
          <w:right w:w="0" w:type="dxa"/>
        </w:tblCellMar>
      </w:tblPr>
      <w:tblGrid>
        <w:gridCol w:w="9765"/>
        <w:gridCol w:w="440"/>
      </w:tblGrid>
      <w:tr>
        <w:trPr/>
        <w:tc>
          <w:tcPr>
            <w:tcW w:w="9765" w:type="dxa"/>
            <w:tcBorders/>
            <w:shd w:fill="auto" w:val="clear"/>
            <w:vAlign w:val="center"/>
          </w:tcPr>
          <w:p>
            <w:pPr>
              <w:pStyle w:val="TableContents"/>
              <w:spacing w:before="0" w:after="283"/>
              <w:ind w:left="0" w:right="0" w:hanging="0"/>
              <w:rPr>
                <w:sz w:val="4"/>
                <w:szCs w:val="4"/>
              </w:rPr>
            </w:pPr>
            <w:r>
              <w:rPr>
                <w:sz w:val="4"/>
                <w:szCs w:val="4"/>
              </w:rPr>
            </w:r>
          </w:p>
        </w:tc>
        <w:tc>
          <w:tcPr>
            <w:tcW w:w="440" w:type="dxa"/>
            <w:tcBorders>
              <w:bottom w:val="single" w:sz="8" w:space="0" w:color="000000"/>
            </w:tcBorders>
            <w:shd w:fill="auto" w:val="clear"/>
            <w:tcMar>
              <w:bottom w:w="28" w:type="dxa"/>
            </w:tcMar>
            <w:vAlign w:val="center"/>
          </w:tcPr>
          <w:p>
            <w:pPr>
              <w:pStyle w:val="Heading4"/>
              <w:spacing w:before="0" w:after="0"/>
              <w:ind w:left="0" w:right="0" w:hanging="0"/>
              <w:jc w:val="center"/>
              <w:rPr>
                <w:rFonts w:ascii="times new roman;times" w:hAnsi="times new roman;times"/>
                <w:sz w:val="20"/>
              </w:rPr>
            </w:pPr>
            <w:r>
              <w:rPr>
                <w:rFonts w:ascii="times new roman;times" w:hAnsi="times new roman;times"/>
                <w:sz w:val="20"/>
              </w:rPr>
              <w:t>Page</w:t>
            </w:r>
          </w:p>
        </w:tc>
      </w:tr>
      <w:tr>
        <w:trPr/>
        <w:tc>
          <w:tcPr>
            <w:tcW w:w="9765" w:type="dxa"/>
            <w:tcBorders/>
            <w:shd w:fill="auto" w:val="clear"/>
            <w:vAlign w:val="center"/>
          </w:tcPr>
          <w:p>
            <w:pPr>
              <w:pStyle w:val="TableContents"/>
              <w:spacing w:before="0" w:after="283"/>
              <w:rPr/>
            </w:pPr>
            <w:hyperlink w:anchor="BAA_EVAY4UZ9XC00000000000000000000">
              <w:r>
                <w:rPr>
                  <w:rStyle w:val="InternetLink"/>
                  <w:rFonts w:ascii="times new roman;times" w:hAnsi="times new roman;times"/>
                  <w:sz w:val="20"/>
                </w:rPr>
                <w:t>Report of Independent Registered Public Accounting Firm</w:t>
              </w:r>
            </w:hyperlink>
          </w:p>
        </w:tc>
        <w:tc>
          <w:tcPr>
            <w:tcW w:w="44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F-1</w:t>
            </w:r>
          </w:p>
        </w:tc>
      </w:tr>
      <w:tr>
        <w:trPr/>
        <w:tc>
          <w:tcPr>
            <w:tcW w:w="9765" w:type="dxa"/>
            <w:tcBorders/>
            <w:shd w:fill="auto" w:val="clear"/>
            <w:vAlign w:val="center"/>
          </w:tcPr>
          <w:p>
            <w:pPr>
              <w:pStyle w:val="TableContents"/>
              <w:spacing w:before="0" w:after="283"/>
              <w:rPr/>
            </w:pPr>
            <w:r>
              <w:rPr/>
            </w:r>
          </w:p>
        </w:tc>
        <w:tc>
          <w:tcPr>
            <w:tcW w:w="440" w:type="dxa"/>
            <w:tcBorders/>
            <w:shd w:fill="auto" w:val="clear"/>
            <w:vAlign w:val="center"/>
          </w:tcPr>
          <w:p>
            <w:pPr>
              <w:pStyle w:val="TableContents"/>
              <w:spacing w:before="0" w:after="283"/>
              <w:rPr/>
            </w:pPr>
            <w:r>
              <w:rPr/>
            </w:r>
          </w:p>
        </w:tc>
      </w:tr>
      <w:tr>
        <w:trPr/>
        <w:tc>
          <w:tcPr>
            <w:tcW w:w="9765" w:type="dxa"/>
            <w:tcBorders/>
            <w:shd w:fill="auto" w:val="clear"/>
            <w:vAlign w:val="center"/>
          </w:tcPr>
          <w:p>
            <w:pPr>
              <w:pStyle w:val="TableContents"/>
              <w:spacing w:before="0" w:after="283"/>
              <w:rPr/>
            </w:pPr>
            <w:hyperlink w:anchor="BBS_LV6K39C84G00000000000000000000">
              <w:r>
                <w:rPr>
                  <w:rStyle w:val="InternetLink"/>
                  <w:rFonts w:ascii="times new roman;times" w:hAnsi="times new roman;times"/>
                  <w:sz w:val="20"/>
                </w:rPr>
                <w:t>Consolidated Balance Sheets as of December 31, 2020 and December 31, 2019</w:t>
              </w:r>
            </w:hyperlink>
          </w:p>
        </w:tc>
        <w:tc>
          <w:tcPr>
            <w:tcW w:w="44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F-3</w:t>
            </w:r>
          </w:p>
        </w:tc>
      </w:tr>
      <w:tr>
        <w:trPr/>
        <w:tc>
          <w:tcPr>
            <w:tcW w:w="9765" w:type="dxa"/>
            <w:tcBorders/>
            <w:shd w:fill="auto" w:val="clear"/>
            <w:vAlign w:val="center"/>
          </w:tcPr>
          <w:p>
            <w:pPr>
              <w:pStyle w:val="TableContents"/>
              <w:spacing w:before="0" w:after="283"/>
              <w:rPr/>
            </w:pPr>
            <w:r>
              <w:rPr/>
            </w:r>
          </w:p>
        </w:tc>
        <w:tc>
          <w:tcPr>
            <w:tcW w:w="440" w:type="dxa"/>
            <w:tcBorders/>
            <w:shd w:fill="auto" w:val="clear"/>
            <w:vAlign w:val="center"/>
          </w:tcPr>
          <w:p>
            <w:pPr>
              <w:pStyle w:val="TableContents"/>
              <w:spacing w:before="0" w:after="283"/>
              <w:rPr/>
            </w:pPr>
            <w:r>
              <w:rPr/>
            </w:r>
          </w:p>
        </w:tc>
      </w:tr>
      <w:tr>
        <w:trPr/>
        <w:tc>
          <w:tcPr>
            <w:tcW w:w="9765" w:type="dxa"/>
            <w:tcBorders/>
            <w:shd w:fill="auto" w:val="clear"/>
            <w:vAlign w:val="center"/>
          </w:tcPr>
          <w:p>
            <w:pPr>
              <w:pStyle w:val="TableContents"/>
              <w:spacing w:before="0" w:after="283"/>
              <w:rPr/>
            </w:pPr>
            <w:hyperlink w:anchor="BCOMP_AYDW9YHYTS00000000000000000000">
              <w:r>
                <w:rPr>
                  <w:rStyle w:val="InternetLink"/>
                  <w:rFonts w:ascii="times new roman;times" w:hAnsi="times new roman;times"/>
                  <w:sz w:val="20"/>
                </w:rPr>
                <w:t>Consolidated Statements of Operations and Comprehensive Income (Loss) for the years ended December 31, 2020 and 2019</w:t>
              </w:r>
            </w:hyperlink>
          </w:p>
        </w:tc>
        <w:tc>
          <w:tcPr>
            <w:tcW w:w="44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F-4</w:t>
            </w:r>
          </w:p>
        </w:tc>
      </w:tr>
      <w:tr>
        <w:trPr/>
        <w:tc>
          <w:tcPr>
            <w:tcW w:w="9765" w:type="dxa"/>
            <w:tcBorders/>
            <w:shd w:fill="auto" w:val="clear"/>
            <w:vAlign w:val="center"/>
          </w:tcPr>
          <w:p>
            <w:pPr>
              <w:pStyle w:val="TableContents"/>
              <w:spacing w:before="0" w:after="283"/>
              <w:rPr/>
            </w:pPr>
            <w:r>
              <w:rPr/>
            </w:r>
          </w:p>
        </w:tc>
        <w:tc>
          <w:tcPr>
            <w:tcW w:w="440" w:type="dxa"/>
            <w:tcBorders/>
            <w:shd w:fill="auto" w:val="clear"/>
            <w:vAlign w:val="center"/>
          </w:tcPr>
          <w:p>
            <w:pPr>
              <w:pStyle w:val="TableContents"/>
              <w:spacing w:before="0" w:after="283"/>
              <w:rPr/>
            </w:pPr>
            <w:r>
              <w:rPr/>
            </w:r>
          </w:p>
        </w:tc>
      </w:tr>
      <w:tr>
        <w:trPr/>
        <w:tc>
          <w:tcPr>
            <w:tcW w:w="9765" w:type="dxa"/>
            <w:tcBorders/>
            <w:shd w:fill="auto" w:val="clear"/>
            <w:vAlign w:val="center"/>
          </w:tcPr>
          <w:p>
            <w:pPr>
              <w:pStyle w:val="TableContents"/>
              <w:spacing w:before="0" w:after="283"/>
              <w:rPr/>
            </w:pPr>
            <w:hyperlink w:anchor="BEQUITY_VYFYECGK8G00000000000000000000">
              <w:r>
                <w:rPr>
                  <w:rStyle w:val="InternetLink"/>
                  <w:rFonts w:ascii="times new roman;times" w:hAnsi="times new roman;times"/>
                  <w:sz w:val="20"/>
                </w:rPr>
                <w:t>Consolidated Statements of Shareholders’ Equity for the years ended December 31, 2020 and 2019</w:t>
              </w:r>
            </w:hyperlink>
          </w:p>
        </w:tc>
        <w:tc>
          <w:tcPr>
            <w:tcW w:w="44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F-5</w:t>
            </w:r>
          </w:p>
        </w:tc>
      </w:tr>
      <w:tr>
        <w:trPr/>
        <w:tc>
          <w:tcPr>
            <w:tcW w:w="9765" w:type="dxa"/>
            <w:tcBorders/>
            <w:shd w:fill="auto" w:val="clear"/>
            <w:vAlign w:val="center"/>
          </w:tcPr>
          <w:p>
            <w:pPr>
              <w:pStyle w:val="TableContents"/>
              <w:spacing w:before="0" w:after="283"/>
              <w:rPr/>
            </w:pPr>
            <w:r>
              <w:rPr/>
            </w:r>
          </w:p>
        </w:tc>
        <w:tc>
          <w:tcPr>
            <w:tcW w:w="440" w:type="dxa"/>
            <w:tcBorders/>
            <w:shd w:fill="auto" w:val="clear"/>
            <w:vAlign w:val="center"/>
          </w:tcPr>
          <w:p>
            <w:pPr>
              <w:pStyle w:val="TableContents"/>
              <w:spacing w:before="0" w:after="283"/>
              <w:rPr/>
            </w:pPr>
            <w:r>
              <w:rPr/>
            </w:r>
          </w:p>
        </w:tc>
      </w:tr>
      <w:tr>
        <w:trPr/>
        <w:tc>
          <w:tcPr>
            <w:tcW w:w="9765" w:type="dxa"/>
            <w:tcBorders/>
            <w:shd w:fill="auto" w:val="clear"/>
            <w:vAlign w:val="center"/>
          </w:tcPr>
          <w:p>
            <w:pPr>
              <w:pStyle w:val="TableContents"/>
              <w:spacing w:before="0" w:after="283"/>
              <w:rPr/>
            </w:pPr>
            <w:hyperlink w:anchor="BCF_GMWSK9YHGG00000000000000000000">
              <w:r>
                <w:rPr>
                  <w:rStyle w:val="InternetLink"/>
                  <w:rFonts w:ascii="times new roman;times" w:hAnsi="times new roman;times"/>
                  <w:sz w:val="20"/>
                </w:rPr>
                <w:t>Consolidated Statements of Cash Flows for the years ended December 31, 2020 and 2019</w:t>
              </w:r>
            </w:hyperlink>
          </w:p>
        </w:tc>
        <w:tc>
          <w:tcPr>
            <w:tcW w:w="44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F-6</w:t>
            </w:r>
          </w:p>
        </w:tc>
      </w:tr>
      <w:tr>
        <w:trPr/>
        <w:tc>
          <w:tcPr>
            <w:tcW w:w="9765" w:type="dxa"/>
            <w:tcBorders/>
            <w:shd w:fill="auto" w:val="clear"/>
            <w:vAlign w:val="center"/>
          </w:tcPr>
          <w:p>
            <w:pPr>
              <w:pStyle w:val="TableContents"/>
              <w:spacing w:before="0" w:after="283"/>
              <w:rPr/>
            </w:pPr>
            <w:r>
              <w:rPr/>
            </w:r>
          </w:p>
        </w:tc>
        <w:tc>
          <w:tcPr>
            <w:tcW w:w="440" w:type="dxa"/>
            <w:tcBorders/>
            <w:shd w:fill="auto" w:val="clear"/>
            <w:vAlign w:val="center"/>
          </w:tcPr>
          <w:p>
            <w:pPr>
              <w:pStyle w:val="TableContents"/>
              <w:spacing w:before="0" w:after="283"/>
              <w:rPr/>
            </w:pPr>
            <w:r>
              <w:rPr/>
            </w:r>
          </w:p>
        </w:tc>
      </w:tr>
      <w:tr>
        <w:trPr/>
        <w:tc>
          <w:tcPr>
            <w:tcW w:w="9765" w:type="dxa"/>
            <w:tcBorders/>
            <w:shd w:fill="auto" w:val="clear"/>
            <w:vAlign w:val="center"/>
          </w:tcPr>
          <w:p>
            <w:pPr>
              <w:pStyle w:val="TableContents"/>
              <w:spacing w:before="0" w:after="283"/>
              <w:rPr/>
            </w:pPr>
            <w:hyperlink w:anchor="BNOTES_LWOO6XQXPC00000000000000000000">
              <w:r>
                <w:rPr>
                  <w:rStyle w:val="InternetLink"/>
                  <w:rFonts w:ascii="times new roman;times" w:hAnsi="times new roman;times"/>
                  <w:sz w:val="20"/>
                </w:rPr>
                <w:t>Notes to Consolidated Financial Statements</w:t>
              </w:r>
            </w:hyperlink>
          </w:p>
        </w:tc>
        <w:tc>
          <w:tcPr>
            <w:tcW w:w="44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F-8</w:t>
            </w:r>
          </w:p>
        </w:tc>
      </w:tr>
    </w:tbl>
    <w:p>
      <w:pPr>
        <w:pStyle w:val="TextBody"/>
        <w:spacing w:before="0" w:after="0"/>
        <w:ind w:left="0" w:right="0" w:hanging="0"/>
        <w:jc w:val="center"/>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47</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r>
    </w:p>
    <w:p>
      <w:pPr>
        <w:pStyle w:val="TextBody"/>
        <w:ind w:left="0" w:right="0" w:hanging="0"/>
        <w:jc w:val="center"/>
        <w:rPr/>
      </w:pPr>
      <w:hyperlink r:id="rId41">
        <w:r>
          <w:rPr>
            <w:rStyle w:val="VisitedInternetLink"/>
            <w:rFonts w:ascii="Times New Roman" w:hAnsi="Times New Roman"/>
            <w:b/>
            <w:strike w:val="false"/>
            <w:dstrike w:val="false"/>
            <w:color w:val="000000"/>
            <w:sz w:val="20"/>
            <w:u w:val="none"/>
            <w:effect w:val="none"/>
          </w:rPr>
          <w:t>REPORT OF INDEPENDENT REGISTERED PUBLIC ACCOUNTING FIRM</w:t>
        </w:r>
      </w:hyperlink>
    </w:p>
    <w:p>
      <w:pPr>
        <w:pStyle w:val="TextBody"/>
        <w:spacing w:before="0" w:after="0"/>
        <w:ind w:left="0" w:right="0" w:hanging="0"/>
        <w:jc w:val="center"/>
        <w:rPr/>
      </w:pPr>
      <w:r>
        <w:rPr/>
        <w:t> </w:t>
      </w:r>
    </w:p>
    <w:p>
      <w:pPr>
        <w:pStyle w:val="TextBody"/>
        <w:spacing w:before="0" w:after="0"/>
        <w:ind w:left="0" w:right="0" w:hanging="0"/>
        <w:rPr>
          <w:rFonts w:ascii="times new roman;times" w:hAnsi="times new roman;times"/>
          <w:color w:val="000000"/>
          <w:sz w:val="20"/>
        </w:rPr>
      </w:pPr>
      <w:r>
        <w:rPr>
          <w:rFonts w:ascii="times new roman;times" w:hAnsi="times new roman;times"/>
          <w:color w:val="000000"/>
          <w:sz w:val="20"/>
        </w:rPr>
        <w:t>To the Board of Directors and  </w:t>
        <w:br/>
        <w:t>Stockholders of ClearOne, Inc.:</w:t>
      </w:r>
    </w:p>
    <w:p>
      <w:pPr>
        <w:pStyle w:val="TextBody"/>
        <w:spacing w:before="0" w:after="0"/>
        <w:ind w:left="0" w:right="0" w:hanging="0"/>
        <w:rPr>
          <w:color w:val="000000"/>
        </w:rPr>
      </w:pPr>
      <w:r>
        <w:rPr>
          <w:color w:val="000000"/>
        </w:rPr>
        <w:t> </w:t>
      </w:r>
    </w:p>
    <w:p>
      <w:pPr>
        <w:pStyle w:val="TextBody"/>
        <w:spacing w:before="0" w:after="0"/>
        <w:ind w:left="0" w:right="0" w:hanging="0"/>
        <w:rPr>
          <w:rFonts w:ascii="times new roman;times" w:hAnsi="times new roman;times"/>
          <w:b/>
          <w:i/>
          <w:sz w:val="20"/>
        </w:rPr>
      </w:pPr>
      <w:r>
        <w:rPr>
          <w:rFonts w:ascii="times new roman;times" w:hAnsi="times new roman;times"/>
          <w:b/>
          <w:i/>
          <w:sz w:val="20"/>
        </w:rPr>
        <w:t>Opinion on the Consolidated Financial Statements</w:t>
      </w:r>
    </w:p>
    <w:p>
      <w:pPr>
        <w:pStyle w:val="TextBody"/>
        <w:spacing w:lineRule="auto" w:line="240"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times" w:hAnsi="times new roman;times"/>
          <w:sz w:val="22"/>
        </w:rPr>
      </w:pPr>
      <w:r>
        <w:rPr>
          <w:rFonts w:ascii="times new roman;times" w:hAnsi="times new roman;times"/>
          <w:color w:val="000000"/>
          <w:sz w:val="20"/>
        </w:rPr>
        <w:t>We have audited the accompanying consolidated balance sheets of ClearOne, Inc. and subsidiaries (collectively, the Company) as of December 31, 2020</w:t>
      </w:r>
      <w:r>
        <w:rPr>
          <w:rFonts w:ascii="times new roman;times" w:hAnsi="times new roman;times"/>
          <w:color w:val="000000"/>
          <w:sz w:val="22"/>
        </w:rPr>
        <w:t> </w:t>
      </w:r>
      <w:r>
        <w:rPr>
          <w:rFonts w:ascii="times new roman;times" w:hAnsi="times new roman;times"/>
          <w:color w:val="000000"/>
          <w:sz w:val="20"/>
        </w:rPr>
        <w:t>and 2019, and the related consolidated statements of operations and comprehensive loss, shareholders’ equity, and cash flows for each of the years in the two-year period ended December 31, 2020, and the related notes (collectively referred to as the consolidated financial statements).  In our opinion, the consolidated financial statements present fairly, in all material aspects, the financial position of ClearOne as of December 31, 2020</w:t>
      </w:r>
      <w:r>
        <w:rPr>
          <w:rFonts w:ascii="times new roman;times" w:hAnsi="times new roman;times"/>
          <w:color w:val="000000"/>
          <w:sz w:val="22"/>
        </w:rPr>
        <w:t> </w:t>
      </w:r>
      <w:r>
        <w:rPr>
          <w:rFonts w:ascii="times new roman;times" w:hAnsi="times new roman;times"/>
          <w:color w:val="000000"/>
          <w:sz w:val="20"/>
        </w:rPr>
        <w:t xml:space="preserve">and 2019, and the results of its operations and its cash flows for each of the years in the two-year period ended December 31, 2020, in conformity with accounting principles generally accepted in the United States of America. </w:t>
      </w:r>
    </w:p>
    <w:p>
      <w:pPr>
        <w:pStyle w:val="TextBody"/>
        <w:spacing w:before="0" w:after="0"/>
        <w:ind w:left="0" w:right="0" w:hanging="0"/>
        <w:jc w:val="both"/>
        <w:rPr>
          <w:color w:val="000000"/>
        </w:rPr>
      </w:pPr>
      <w:r>
        <w:rPr>
          <w:color w:val="000000"/>
        </w:rPr>
        <w:t> </w:t>
      </w:r>
    </w:p>
    <w:p>
      <w:pPr>
        <w:pStyle w:val="TextBody"/>
        <w:spacing w:before="0" w:after="0"/>
        <w:ind w:left="0" w:right="0" w:hanging="0"/>
        <w:rPr>
          <w:rFonts w:ascii="times new roman;times" w:hAnsi="times new roman;times"/>
          <w:b/>
          <w:i/>
          <w:sz w:val="20"/>
        </w:rPr>
      </w:pPr>
      <w:r>
        <w:rPr>
          <w:rFonts w:ascii="times new roman;times" w:hAnsi="times new roman;times"/>
          <w:b/>
          <w:i/>
          <w:sz w:val="20"/>
        </w:rPr>
        <w:t>Basis for Opinion</w:t>
      </w:r>
    </w:p>
    <w:p>
      <w:pPr>
        <w:pStyle w:val="TextBody"/>
        <w:spacing w:lineRule="auto" w:line="240"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and the PCAOB. </w:t>
      </w:r>
    </w:p>
    <w:p>
      <w:pPr>
        <w:pStyle w:val="TextBody"/>
        <w:spacing w:before="0" w:after="0"/>
        <w:ind w:left="0" w:right="0" w:hanging="0"/>
        <w:jc w:val="both"/>
        <w:rPr/>
      </w:pPr>
      <w:r>
        <w:rPr/>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64"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t>Critical Audit Matters</w:t>
      </w:r>
    </w:p>
    <w:p>
      <w:pPr>
        <w:pStyle w:val="TextBody"/>
        <w:spacing w:lineRule="auto" w:line="240"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spacing w:lineRule="auto" w:line="264"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times" w:hAnsi="times new roman;times"/>
          <w:i/>
          <w:color w:val="000000"/>
          <w:sz w:val="20"/>
        </w:rPr>
      </w:pPr>
      <w:r>
        <w:rPr>
          <w:rFonts w:ascii="times new roman;times" w:hAnsi="times new roman;times"/>
          <w:i/>
          <w:color w:val="000000"/>
          <w:sz w:val="20"/>
        </w:rPr>
        <w:t>Capitalized patent defense costs</w:t>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As described in Notes 3 and 8 to the consolidated financial statements, the Company is involved in litigation against a competitor related to intellectual property rights. The Company has capitalized legal expenses related to the defense of certain patents as intangible assets on the balance sheet based on the satisfaction of two conditions: (i) a determination being made that a successful defense is probable, and (ii) that the monetary benefits arising out of such a successful defense will be in excess of the costs for the defense. </w:t>
      </w:r>
    </w:p>
    <w:p>
      <w:pPr>
        <w:pStyle w:val="TextBody"/>
        <w:spacing w:lineRule="auto" w:line="264" w:before="0" w:after="0"/>
        <w:ind w:left="0" w:right="0" w:hanging="0"/>
        <w:jc w:val="both"/>
        <w:rPr/>
      </w:pPr>
      <w:r>
        <w:rPr/>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identified the capitalization of patent defense costs as a critical audit matter because evaluating the likelihood of potential outcomes of the litigation as well as determining the expected monetary benefit involves significant judgment by management. This required a high degree of auditor judgement and subjectivity in performing procedures and evaluating audit evidence related to management’s assertions that a successful defense is probable and that the monetary benefits will be in excess of the costs.</w:t>
      </w:r>
    </w:p>
    <w:p>
      <w:pPr>
        <w:pStyle w:val="TextBody"/>
        <w:spacing w:lineRule="auto" w:line="264"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64" w:before="0" w:after="0"/>
        <w:ind w:left="0" w:right="0" w:hanging="0"/>
        <w:jc w:val="both"/>
        <w:rPr>
          <w:rFonts w:ascii="times new roman;times" w:hAnsi="times new roman;times"/>
          <w:sz w:val="20"/>
        </w:rPr>
      </w:pPr>
      <w:r>
        <w:rPr>
          <w:rFonts w:ascii="times new roman;times" w:hAnsi="times new roman;times"/>
          <w:sz w:val="20"/>
        </w:rPr>
        <w:t>Addressing this critical audit matter involved performing procedures and evaluating audit evidence in connection with forming our overall opinion on the financial statements. These procedures included, among others: (1) testing of legal expenses related to the litigation, (2) obtaining and evaluating a legal confirmation obtained from the Company’s lead counsel in the case (3) obtaining and evaluating a legal opinion letter from another third party intellectual property law firm related to their evaluation of the likelihood of potential outcomes of the litigation based on their review of the case, (4) reviewing and evaluating management’s cost analysis, (5) obtaining and evaluating an expert witness damages report and, (6) evaluating the reasonableness of management’s assumptions.</w:t>
      </w:r>
    </w:p>
    <w:p>
      <w:pPr>
        <w:pStyle w:val="TextBody"/>
        <w:spacing w:lineRule="auto" w:line="240"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times" w:hAnsi="times new roman;times"/>
          <w:i/>
          <w:color w:val="000000"/>
          <w:sz w:val="20"/>
        </w:rPr>
      </w:pPr>
      <w:r>
        <w:rPr>
          <w:rFonts w:ascii="times new roman;times" w:hAnsi="times new roman;times"/>
          <w:i/>
          <w:color w:val="000000"/>
          <w:sz w:val="20"/>
        </w:rPr>
        <w:t>Assessment of lower of cost or net realizable value of inventories</w:t>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t>As described in Notes 1 and 4 to the consolidated financial statements, inventories totaling $15,053,000 as of December 31, 2020 are stated at the lower of cost or market.  The Company performs analyses to identify and estimate the net realizable value of excess or slow-moving inventories based on forecasted future product demand.</w:t>
      </w:r>
    </w:p>
    <w:p>
      <w:pPr>
        <w:pStyle w:val="TextBody"/>
        <w:spacing w:lineRule="auto" w:line="240"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t>We identified the inventory valuation as a critical audit matter because of the significant balance of inventory held by the Company and because forecasting future product demand involves significant judgement by management. This required a high degree of auditor judgement, subjectivity and effort in performing procedures and evaluating audit evidence to evaluate management’s assumptions related to estimating the reserve of obsolete and slow-moving inventory.</w:t>
      </w:r>
    </w:p>
    <w:p>
      <w:pPr>
        <w:pStyle w:val="TextBody"/>
        <w:spacing w:lineRule="auto" w:line="240"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t>Addressing this critical audit matter involved performing procedures and evaluating audit evidence in connection with forming our overall opinion on the financial statements. These procedures included, among others: (1) evaluating management’s process for estimating obsolete and slow moving inventory levels, (2) comparing historical sales trends and inventory consumption reports for selected products to quantities on hand in order to evaluate potential excess or obsolete inventory, (3) evaluating and discussing forecasts and expectations with management as well as assumptions regarding alternative uses, and (4) evaluating the reasonableness of management’s assumptions.</w:t>
      </w:r>
    </w:p>
    <w:p>
      <w:pPr>
        <w:pStyle w:val="TextBody"/>
        <w:spacing w:lineRule="auto" w:line="240" w:before="0" w:after="0"/>
        <w:ind w:left="0" w:right="0" w:hanging="0"/>
        <w:jc w:val="both"/>
        <w:rPr>
          <w:color w:val="000000"/>
        </w:rPr>
      </w:pPr>
      <w:r>
        <w:rPr>
          <w:color w:val="000000"/>
        </w:rPr>
        <w:t> </w:t>
      </w:r>
    </w:p>
    <w:p>
      <w:pPr>
        <w:pStyle w:val="TextBody"/>
        <w:spacing w:lineRule="auto" w:line="264" w:before="0" w:after="0"/>
        <w:ind w:left="0" w:right="0" w:hanging="0"/>
        <w:jc w:val="both"/>
        <w:rPr>
          <w:rFonts w:ascii="times new roman;times" w:hAnsi="times new roman;times"/>
          <w:color w:val="000000"/>
          <w:sz w:val="20"/>
        </w:rPr>
      </w:pPr>
      <w:r>
        <w:rPr>
          <w:rFonts w:ascii="times new roman;times" w:hAnsi="times new roman;times"/>
          <w:color w:val="000000"/>
          <w:sz w:val="20"/>
        </w:rPr>
        <w:t>We have served as the Company’s auditor since October 14, 2015.</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770"/>
        <w:gridCol w:w="435"/>
      </w:tblGrid>
      <w:tr>
        <w:trPr/>
        <w:tc>
          <w:tcPr>
            <w:tcW w:w="9770" w:type="dxa"/>
            <w:tcBorders/>
            <w:shd w:fill="auto" w:val="clear"/>
            <w:vAlign w:val="center"/>
          </w:tcPr>
          <w:p>
            <w:pPr>
              <w:pStyle w:val="TableContents"/>
              <w:spacing w:before="0" w:after="0"/>
              <w:ind w:left="0" w:right="0" w:hanging="0"/>
              <w:rPr>
                <w:rFonts w:ascii="Times New Roman" w:hAnsi="Times New Roman"/>
                <w:i/>
                <w:sz w:val="20"/>
              </w:rPr>
            </w:pPr>
            <w:r>
              <w:rPr>
                <w:rFonts w:ascii="Times New Roman" w:hAnsi="Times New Roman"/>
                <w:i/>
                <w:sz w:val="20"/>
              </w:rPr>
              <w:t>/s/ TANNER LLC</w:t>
            </w:r>
          </w:p>
        </w:tc>
        <w:tc>
          <w:tcPr>
            <w:tcW w:w="435" w:type="dxa"/>
            <w:tcBorders/>
            <w:shd w:fill="auto" w:val="clear"/>
            <w:vAlign w:val="center"/>
          </w:tcPr>
          <w:p>
            <w:pPr>
              <w:pStyle w:val="TableContents"/>
              <w:spacing w:before="0" w:after="0"/>
              <w:ind w:left="0" w:right="0" w:hanging="0"/>
              <w:rPr/>
            </w:pPr>
            <w:r>
              <w:rPr/>
              <w:t> </w:t>
            </w:r>
          </w:p>
        </w:tc>
      </w:tr>
      <w:tr>
        <w:trPr/>
        <w:tc>
          <w:tcPr>
            <w:tcW w:w="9770"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rPr/>
            </w:pPr>
            <w:r>
              <w:rPr/>
              <w:t> </w:t>
            </w:r>
          </w:p>
        </w:tc>
      </w:tr>
      <w:tr>
        <w:trPr/>
        <w:tc>
          <w:tcPr>
            <w:tcW w:w="97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Salt Lake City, Utah</w:t>
            </w:r>
          </w:p>
        </w:tc>
        <w:tc>
          <w:tcPr>
            <w:tcW w:w="435" w:type="dxa"/>
            <w:tcBorders/>
            <w:shd w:fill="auto" w:val="clear"/>
            <w:vAlign w:val="center"/>
          </w:tcPr>
          <w:p>
            <w:pPr>
              <w:pStyle w:val="TableContents"/>
              <w:spacing w:before="0" w:after="0"/>
              <w:ind w:left="0" w:right="0" w:hanging="0"/>
              <w:rPr/>
            </w:pPr>
            <w:r>
              <w:rPr/>
              <w:t> </w:t>
            </w:r>
          </w:p>
        </w:tc>
      </w:tr>
      <w:tr>
        <w:trPr/>
        <w:tc>
          <w:tcPr>
            <w:tcW w:w="97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March 31, 2021</w:t>
            </w:r>
          </w:p>
        </w:tc>
        <w:tc>
          <w:tcPr>
            <w:tcW w:w="4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center"/>
        <w:rPr>
          <w:rFonts w:ascii="Times New Roman" w:hAnsi="Times New Roman"/>
          <w:sz w:val="20"/>
        </w:rPr>
      </w:pPr>
      <w:r>
        <w:rPr>
          <w:rFonts w:ascii="Times New Roman" w:hAnsi="Times New Roman"/>
          <w:sz w:val="20"/>
        </w:rPr>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ind w:left="0" w:right="0" w:hanging="0"/>
        <w:jc w:val="center"/>
        <w:rPr/>
      </w:pPr>
      <w:hyperlink r:id="rId42">
        <w:r>
          <w:rPr>
            <w:rStyle w:val="VisitedInternetLink"/>
            <w:rFonts w:ascii="Times New Roman" w:hAnsi="Times New Roman"/>
            <w:b/>
            <w:strike w:val="false"/>
            <w:dstrike w:val="false"/>
            <w:color w:val="000000"/>
            <w:sz w:val="20"/>
            <w:u w:val="none"/>
            <w:effect w:val="none"/>
          </w:rPr>
          <w:t>CONSOLIDATED BALANCE SHEETS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par value)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936"/>
        <w:gridCol w:w="182"/>
        <w:gridCol w:w="780"/>
        <w:gridCol w:w="111"/>
        <w:gridCol w:w="99"/>
        <w:gridCol w:w="182"/>
        <w:gridCol w:w="780"/>
        <w:gridCol w:w="135"/>
      </w:tblGrid>
      <w:tr>
        <w:trPr/>
        <w:tc>
          <w:tcPr>
            <w:tcW w:w="7936" w:type="dxa"/>
            <w:tcBorders/>
            <w:shd w:fill="auto" w:val="clear"/>
            <w:vAlign w:val="center"/>
          </w:tcPr>
          <w:p>
            <w:pPr>
              <w:pStyle w:val="TableContents"/>
              <w:spacing w:before="0" w:after="0"/>
              <w:ind w:left="0" w:right="0" w:hanging="0"/>
              <w:rPr/>
            </w:pPr>
            <w:r>
              <w:rPr/>
              <w:t xml:space="preserve">  </w:t>
            </w:r>
          </w:p>
        </w:tc>
        <w:tc>
          <w:tcPr>
            <w:tcW w:w="96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sz w:val="18"/>
              </w:rPr>
            </w:pPr>
            <w:r>
              <w:rPr>
                <w:rFonts w:ascii="Times New Roman" w:hAnsi="Times New Roman"/>
                <w:b/>
                <w:sz w:val="18"/>
              </w:rPr>
              <w:t>December 31,</w:t>
            </w:r>
            <w:r>
              <w:rPr>
                <w:sz w:val="18"/>
              </w:rPr>
              <w:br/>
            </w:r>
            <w:r>
              <w:rPr>
                <w:rFonts w:ascii="Times New Roman" w:hAnsi="Times New Roman"/>
                <w:b/>
                <w:sz w:val="18"/>
              </w:rPr>
              <w:t>2020</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96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sz w:val="18"/>
              </w:rPr>
            </w:pPr>
            <w:r>
              <w:rPr>
                <w:rFonts w:ascii="Times New Roman" w:hAnsi="Times New Roman"/>
                <w:b/>
                <w:sz w:val="18"/>
              </w:rPr>
              <w:t>December 31,</w:t>
            </w:r>
            <w:r>
              <w:rPr>
                <w:sz w:val="18"/>
              </w:rPr>
              <w:br/>
            </w:r>
            <w:r>
              <w:rPr>
                <w:rFonts w:ascii="Times New Roman" w:hAnsi="Times New Roman"/>
                <w:b/>
                <w:sz w:val="18"/>
              </w:rPr>
              <w:t>2019</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center"/>
              <w:rPr/>
            </w:pPr>
            <w:r>
              <w:rPr/>
              <w:t xml:space="preserve">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center"/>
              <w:rPr/>
            </w:pPr>
            <w:r>
              <w:rPr/>
              <w:t xml:space="preserve">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assets: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rPr/>
            </w:pPr>
            <w:r>
              <w:rPr/>
              <w:t xml:space="preserve">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rPr/>
            </w:pPr>
            <w:r>
              <w:rPr/>
              <w:t xml:space="preserve">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and cash equivalents </w:t>
            </w:r>
          </w:p>
        </w:tc>
        <w:tc>
          <w:tcPr>
            <w:tcW w:w="1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3,803</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4,064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Marketable securities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1,117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3,026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Receivables, net of allowance for doubtful accounts of $506 and $424, respectively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5,194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5,468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Inventories, net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10,463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11,441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283"/>
              <w:rPr/>
            </w:pPr>
            <w:r>
              <w:rPr/>
              <w:t>Income tax receivable</w:t>
            </w:r>
          </w:p>
        </w:tc>
        <w:tc>
          <w:tcPr>
            <w:tcW w:w="182" w:type="dxa"/>
            <w:tcBorders/>
            <w:shd w:fill="CCEEFF" w:val="clear"/>
            <w:vAlign w:val="center"/>
          </w:tcPr>
          <w:p>
            <w:pPr>
              <w:pStyle w:val="TableContents"/>
              <w:spacing w:before="0" w:after="283"/>
              <w:rPr/>
            </w:pPr>
            <w:r>
              <w:rPr/>
            </w:r>
          </w:p>
        </w:tc>
        <w:tc>
          <w:tcPr>
            <w:tcW w:w="780" w:type="dxa"/>
            <w:tcBorders/>
            <w:shd w:fill="CCEEFF" w:val="clear"/>
            <w:vAlign w:val="center"/>
          </w:tcPr>
          <w:p>
            <w:pPr>
              <w:pStyle w:val="TableContents"/>
              <w:spacing w:before="0" w:after="283"/>
              <w:jc w:val="right"/>
              <w:rPr/>
            </w:pPr>
            <w:r>
              <w:rPr/>
              <w:t>7,169</w:t>
            </w:r>
          </w:p>
        </w:tc>
        <w:tc>
          <w:tcPr>
            <w:tcW w:w="111" w:type="dxa"/>
            <w:tcBorders/>
            <w:shd w:fill="CCEEFF" w:val="clear"/>
            <w:vAlign w:val="center"/>
          </w:tcPr>
          <w:p>
            <w:pPr>
              <w:pStyle w:val="TableContents"/>
              <w:spacing w:before="0" w:after="283"/>
              <w:rPr/>
            </w:pPr>
            <w:r>
              <w:rPr/>
            </w:r>
          </w:p>
        </w:tc>
        <w:tc>
          <w:tcPr>
            <w:tcW w:w="99" w:type="dxa"/>
            <w:tcBorders/>
            <w:shd w:fill="CCEEFF" w:val="clear"/>
            <w:vAlign w:val="center"/>
          </w:tcPr>
          <w:p>
            <w:pPr>
              <w:pStyle w:val="TableContents"/>
              <w:spacing w:before="0" w:after="283"/>
              <w:rPr/>
            </w:pPr>
            <w:r>
              <w:rPr/>
            </w:r>
          </w:p>
        </w:tc>
        <w:tc>
          <w:tcPr>
            <w:tcW w:w="182" w:type="dxa"/>
            <w:tcBorders/>
            <w:shd w:fill="CCEEFF" w:val="clear"/>
            <w:vAlign w:val="center"/>
          </w:tcPr>
          <w:p>
            <w:pPr>
              <w:pStyle w:val="TableContents"/>
              <w:spacing w:before="0" w:after="283"/>
              <w:rPr/>
            </w:pPr>
            <w:r>
              <w:rPr/>
            </w:r>
          </w:p>
        </w:tc>
        <w:tc>
          <w:tcPr>
            <w:tcW w:w="780" w:type="dxa"/>
            <w:tcBorders/>
            <w:shd w:fill="CCEEFF" w:val="clear"/>
            <w:vAlign w:val="center"/>
          </w:tcPr>
          <w:p>
            <w:pPr>
              <w:pStyle w:val="TableContents"/>
              <w:spacing w:before="0" w:after="283"/>
              <w:jc w:val="right"/>
              <w:rPr/>
            </w:pPr>
            <w:r>
              <w:rPr/>
              <w:t>110</w:t>
            </w:r>
          </w:p>
        </w:tc>
        <w:tc>
          <w:tcPr>
            <w:tcW w:w="135" w:type="dxa"/>
            <w:tcBorders/>
            <w:shd w:fill="CCEEFF" w:val="clear"/>
            <w:vAlign w:val="center"/>
          </w:tcPr>
          <w:p>
            <w:pPr>
              <w:pStyle w:val="TableContents"/>
              <w:spacing w:before="0" w:after="283"/>
              <w:rPr/>
            </w:pPr>
            <w:r>
              <w:rPr/>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Prepaid expenses and other assets </w:t>
            </w:r>
          </w:p>
        </w:tc>
        <w:tc>
          <w:tcPr>
            <w:tcW w:w="18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8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1,536</w:t>
            </w:r>
          </w:p>
        </w:tc>
        <w:tc>
          <w:tcPr>
            <w:tcW w:w="111" w:type="dxa"/>
            <w:tcBorders/>
            <w:shd w:fill="auto" w:val="clear"/>
            <w:vAlign w:val="center"/>
          </w:tcPr>
          <w:p>
            <w:pPr>
              <w:pStyle w:val="TableContents"/>
              <w:spacing w:before="0" w:after="0"/>
              <w:ind w:left="0" w:right="0" w:hanging="0"/>
              <w:jc w:val="right"/>
              <w:rPr/>
            </w:pPr>
            <w:r>
              <w:rPr/>
              <w:t xml:space="preserve">  </w:t>
            </w:r>
          </w:p>
        </w:tc>
        <w:tc>
          <w:tcPr>
            <w:tcW w:w="99" w:type="dxa"/>
            <w:tcBorders/>
            <w:shd w:fill="auto" w:val="clear"/>
            <w:vAlign w:val="center"/>
          </w:tcPr>
          <w:p>
            <w:pPr>
              <w:pStyle w:val="TableContents"/>
              <w:spacing w:before="0" w:after="0"/>
              <w:ind w:left="0" w:right="0" w:hanging="0"/>
              <w:jc w:val="right"/>
              <w:rPr/>
            </w:pPr>
            <w:r>
              <w:rPr/>
              <w:t xml:space="preserve">  </w:t>
            </w:r>
          </w:p>
        </w:tc>
        <w:tc>
          <w:tcPr>
            <w:tcW w:w="182"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 xml:space="preserve">  </w:t>
            </w:r>
          </w:p>
        </w:tc>
        <w:tc>
          <w:tcPr>
            <w:tcW w:w="78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1,074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current assets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29,282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25,183 </w:t>
            </w:r>
          </w:p>
        </w:tc>
        <w:tc>
          <w:tcPr>
            <w:tcW w:w="135" w:type="dxa"/>
            <w:tcBorders>
              <w:bottom w:val="single" w:sz="2" w:space="0" w:color="000000"/>
            </w:tcBorders>
            <w:shd w:fill="CCEEFF" w:val="clear"/>
            <w:tcMar>
              <w:bottom w:w="28" w:type="dxa"/>
            </w:tcM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Long-term marketable securities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1,762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1,517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Long-term inventories, net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4,590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6,284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Property and equipment, net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906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1,044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lease – right of use assets, net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1,936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2,459</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Intangibles, net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19,248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14,009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assets </w:t>
            </w:r>
          </w:p>
        </w:tc>
        <w:tc>
          <w:tcPr>
            <w:tcW w:w="182"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8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4,599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8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4,614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assets </w:t>
            </w:r>
          </w:p>
        </w:tc>
        <w:tc>
          <w:tcPr>
            <w:tcW w:w="18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62,323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55,110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LIABILITIES AND SHAREHOLDERS’ EQUITY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center"/>
              <w:rPr/>
            </w:pPr>
            <w:r>
              <w:rPr/>
              <w:t xml:space="preserve">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center"/>
              <w:rPr/>
            </w:pPr>
            <w:r>
              <w:rPr/>
              <w:t xml:space="preserve">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liabilities: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rPr/>
            </w:pPr>
            <w:r>
              <w:rPr/>
              <w:t xml:space="preserve">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rPr/>
            </w:pPr>
            <w:r>
              <w:rPr/>
              <w:t xml:space="preserve">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Accounts payable </w:t>
            </w:r>
          </w:p>
        </w:tc>
        <w:tc>
          <w:tcPr>
            <w:tcW w:w="1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3,950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2,871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Accrued liabilities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2,352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3,205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product revenue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123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173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283"/>
              <w:rPr/>
            </w:pPr>
            <w:r>
              <w:rPr/>
              <w:t>Short-term debt</w:t>
            </w:r>
          </w:p>
        </w:tc>
        <w:tc>
          <w:tcPr>
            <w:tcW w:w="182" w:type="dxa"/>
            <w:tcBorders>
              <w:bottom w:val="single" w:sz="8" w:space="0" w:color="000000"/>
            </w:tcBorders>
            <w:shd w:fill="auto" w:val="clear"/>
            <w:tcMar>
              <w:bottom w:w="28" w:type="dxa"/>
            </w:tcMar>
            <w:vAlign w:val="center"/>
          </w:tcPr>
          <w:p>
            <w:pPr>
              <w:pStyle w:val="TableContents"/>
              <w:spacing w:before="0" w:after="283"/>
              <w:rPr/>
            </w:pPr>
            <w:r>
              <w:rPr/>
            </w:r>
          </w:p>
        </w:tc>
        <w:tc>
          <w:tcPr>
            <w:tcW w:w="780" w:type="dxa"/>
            <w:tcBorders>
              <w:bottom w:val="single" w:sz="8" w:space="0" w:color="000000"/>
            </w:tcBorders>
            <w:shd w:fill="auto" w:val="clear"/>
            <w:tcMar>
              <w:bottom w:w="28" w:type="dxa"/>
            </w:tcMar>
            <w:vAlign w:val="center"/>
          </w:tcPr>
          <w:p>
            <w:pPr>
              <w:pStyle w:val="TableContents"/>
              <w:spacing w:before="0" w:after="283"/>
              <w:jc w:val="right"/>
              <w:rPr/>
            </w:pPr>
            <w:r>
              <w:rPr/>
              <w:t>672</w:t>
            </w:r>
          </w:p>
        </w:tc>
        <w:tc>
          <w:tcPr>
            <w:tcW w:w="111" w:type="dxa"/>
            <w:tcBorders/>
            <w:shd w:fill="auto" w:val="clear"/>
            <w:vAlign w:val="center"/>
          </w:tcPr>
          <w:p>
            <w:pPr>
              <w:pStyle w:val="TableContents"/>
              <w:spacing w:before="0" w:after="283"/>
              <w:rPr/>
            </w:pPr>
            <w:r>
              <w:rPr/>
            </w:r>
          </w:p>
        </w:tc>
        <w:tc>
          <w:tcPr>
            <w:tcW w:w="99" w:type="dxa"/>
            <w:tcBorders/>
            <w:shd w:fill="auto" w:val="clear"/>
            <w:vAlign w:val="center"/>
          </w:tcPr>
          <w:p>
            <w:pPr>
              <w:pStyle w:val="TableContents"/>
              <w:spacing w:before="0" w:after="283"/>
              <w:rPr/>
            </w:pPr>
            <w:r>
              <w:rPr/>
            </w:r>
          </w:p>
        </w:tc>
        <w:tc>
          <w:tcPr>
            <w:tcW w:w="182" w:type="dxa"/>
            <w:tcBorders>
              <w:bottom w:val="single" w:sz="8" w:space="0" w:color="000000"/>
            </w:tcBorders>
            <w:shd w:fill="auto" w:val="clear"/>
            <w:tcMar>
              <w:bottom w:w="28" w:type="dxa"/>
            </w:tcMar>
            <w:vAlign w:val="center"/>
          </w:tcPr>
          <w:p>
            <w:pPr>
              <w:pStyle w:val="TableContents"/>
              <w:spacing w:before="0" w:after="283"/>
              <w:rPr/>
            </w:pPr>
            <w:r>
              <w:rPr/>
            </w:r>
          </w:p>
        </w:tc>
        <w:tc>
          <w:tcPr>
            <w:tcW w:w="78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35" w:type="dxa"/>
            <w:tcBorders/>
            <w:shd w:fill="auto" w:val="clear"/>
            <w:vAlign w:val="center"/>
          </w:tcPr>
          <w:p>
            <w:pPr>
              <w:pStyle w:val="TableContents"/>
              <w:spacing w:before="0" w:after="283"/>
              <w:rPr/>
            </w:pPr>
            <w:r>
              <w:rPr/>
            </w:r>
          </w:p>
        </w:tc>
      </w:tr>
      <w:tr>
        <w:trPr/>
        <w:tc>
          <w:tcPr>
            <w:tcW w:w="7936"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current liabilities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7,097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6,249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283"/>
              <w:rPr/>
            </w:pPr>
            <w:r>
              <w:rPr/>
              <w:t>Long-term debt</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3,245</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2,222</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283"/>
              <w:rPr/>
            </w:pPr>
            <w:r>
              <w:rPr/>
              <w:t>Operating lease liability, net of current</w:t>
            </w:r>
          </w:p>
        </w:tc>
        <w:tc>
          <w:tcPr>
            <w:tcW w:w="182" w:type="dxa"/>
            <w:tcBorders/>
            <w:shd w:fill="CCEEFF" w:val="clear"/>
            <w:vAlign w:val="center"/>
          </w:tcPr>
          <w:p>
            <w:pPr>
              <w:pStyle w:val="TableContents"/>
              <w:spacing w:before="0" w:after="283"/>
              <w:rPr/>
            </w:pPr>
            <w:r>
              <w:rPr/>
            </w:r>
          </w:p>
        </w:tc>
        <w:tc>
          <w:tcPr>
            <w:tcW w:w="780" w:type="dxa"/>
            <w:tcBorders/>
            <w:shd w:fill="CCEEFF" w:val="clear"/>
            <w:vAlign w:val="center"/>
          </w:tcPr>
          <w:p>
            <w:pPr>
              <w:pStyle w:val="TableContents"/>
              <w:spacing w:before="0" w:after="283"/>
              <w:jc w:val="right"/>
              <w:rPr/>
            </w:pPr>
            <w:r>
              <w:rPr/>
              <w:t>1,489</w:t>
            </w:r>
          </w:p>
        </w:tc>
        <w:tc>
          <w:tcPr>
            <w:tcW w:w="111" w:type="dxa"/>
            <w:tcBorders/>
            <w:shd w:fill="CCEEFF" w:val="clear"/>
            <w:vAlign w:val="center"/>
          </w:tcPr>
          <w:p>
            <w:pPr>
              <w:pStyle w:val="TableContents"/>
              <w:spacing w:before="0" w:after="283"/>
              <w:rPr/>
            </w:pPr>
            <w:r>
              <w:rPr/>
            </w:r>
          </w:p>
        </w:tc>
        <w:tc>
          <w:tcPr>
            <w:tcW w:w="99" w:type="dxa"/>
            <w:tcBorders/>
            <w:shd w:fill="CCEEFF" w:val="clear"/>
            <w:vAlign w:val="center"/>
          </w:tcPr>
          <w:p>
            <w:pPr>
              <w:pStyle w:val="TableContents"/>
              <w:spacing w:before="0" w:after="283"/>
              <w:rPr/>
            </w:pPr>
            <w:r>
              <w:rPr/>
            </w:r>
          </w:p>
        </w:tc>
        <w:tc>
          <w:tcPr>
            <w:tcW w:w="182" w:type="dxa"/>
            <w:tcBorders/>
            <w:shd w:fill="CCEEFF" w:val="clear"/>
            <w:vAlign w:val="center"/>
          </w:tcPr>
          <w:p>
            <w:pPr>
              <w:pStyle w:val="TableContents"/>
              <w:spacing w:before="0" w:after="283"/>
              <w:rPr/>
            </w:pPr>
            <w:r>
              <w:rPr/>
            </w:r>
          </w:p>
        </w:tc>
        <w:tc>
          <w:tcPr>
            <w:tcW w:w="780" w:type="dxa"/>
            <w:tcBorders/>
            <w:shd w:fill="CCEEFF" w:val="clear"/>
            <w:vAlign w:val="center"/>
          </w:tcPr>
          <w:p>
            <w:pPr>
              <w:pStyle w:val="TableContents"/>
              <w:spacing w:before="0" w:after="283"/>
              <w:jc w:val="right"/>
              <w:rPr/>
            </w:pPr>
            <w:r>
              <w:rPr/>
              <w:t>2,021</w:t>
            </w:r>
          </w:p>
        </w:tc>
        <w:tc>
          <w:tcPr>
            <w:tcW w:w="135" w:type="dxa"/>
            <w:tcBorders/>
            <w:shd w:fill="CCEEFF" w:val="clear"/>
            <w:vAlign w:val="center"/>
          </w:tcPr>
          <w:p>
            <w:pPr>
              <w:pStyle w:val="TableContents"/>
              <w:spacing w:before="0" w:after="283"/>
              <w:rPr/>
            </w:pPr>
            <w:r>
              <w:rPr/>
            </w:r>
          </w:p>
        </w:tc>
      </w:tr>
      <w:tr>
        <w:trPr/>
        <w:tc>
          <w:tcPr>
            <w:tcW w:w="7936" w:type="dxa"/>
            <w:tcBorders/>
            <w:shd w:fill="auto" w:val="clear"/>
            <w:vAlign w:val="center"/>
          </w:tcPr>
          <w:p>
            <w:pPr>
              <w:pStyle w:val="TableContents"/>
              <w:spacing w:before="0" w:after="0"/>
              <w:ind w:left="0" w:right="0" w:hanging="0"/>
              <w:rPr/>
            </w:pPr>
            <w:r>
              <w:rPr/>
              <w:t xml:space="preserve">Other long-term liabilities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678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140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liabilities </w:t>
            </w:r>
          </w:p>
        </w:tc>
        <w:tc>
          <w:tcPr>
            <w:tcW w:w="182" w:type="dxa"/>
            <w:tcBorders>
              <w:top w:val="single" w:sz="4" w:space="0" w:color="000000"/>
              <w:bottom w:val="single" w:sz="6" w:space="0" w:color="000000"/>
            </w:tcBorders>
            <w:shd w:fill="CCEEFF" w:val="clear"/>
            <w:tcMar>
              <w:top w:w="28" w:type="dxa"/>
              <w:bottom w:w="28" w:type="dxa"/>
            </w:tcMar>
            <w:vAlign w:val="center"/>
          </w:tcPr>
          <w:p>
            <w:pPr>
              <w:pStyle w:val="TableContents"/>
              <w:spacing w:before="0" w:after="0"/>
              <w:ind w:left="0" w:right="0" w:hanging="0"/>
              <w:rPr/>
            </w:pPr>
            <w:r>
              <w:rPr/>
              <w:t xml:space="preserve">  </w:t>
            </w:r>
          </w:p>
        </w:tc>
        <w:tc>
          <w:tcPr>
            <w:tcW w:w="780" w:type="dxa"/>
            <w:tcBorders>
              <w:top w:val="single" w:sz="4" w:space="0" w:color="000000"/>
              <w:bottom w:val="sing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12,509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80" w:type="dxa"/>
            <w:tcBorders>
              <w:top w:val="single" w:sz="4" w:space="0" w:color="000000"/>
              <w:bottom w:val="sing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10,632 </w:t>
            </w:r>
          </w:p>
        </w:tc>
        <w:tc>
          <w:tcPr>
            <w:tcW w:w="135" w:type="dxa"/>
            <w:tcBorders>
              <w:top w:val="single" w:sz="4" w:space="0" w:color="000000"/>
            </w:tcBorders>
            <w:shd w:fill="CCEEFF" w:val="clear"/>
            <w:tcMar>
              <w:top w:w="28" w:type="dxa"/>
            </w:tcM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Shareholders’ equity: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rPr/>
            </w:pPr>
            <w:r>
              <w:rPr/>
              <w:t xml:space="preserve">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rPr/>
            </w:pPr>
            <w:r>
              <w:rPr/>
              <w:t xml:space="preserve">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widowControl/>
              <w:spacing w:before="0" w:after="0"/>
              <w:ind w:left="0" w:right="0" w:hanging="0"/>
              <w:rPr>
                <w:rFonts w:ascii="Times New Roman" w:hAnsi="Times New Roman"/>
                <w:sz w:val="20"/>
              </w:rPr>
            </w:pPr>
            <w:r>
              <w:rPr>
                <w:rFonts w:ascii="Times New Roman" w:hAnsi="Times New Roman"/>
                <w:sz w:val="20"/>
              </w:rPr>
              <w:t>Common stock, par value $0.001, 50,000,000 shares authorized, 18,775,773 and 16,650,725 s</w:t>
            </w:r>
            <w:r>
              <w:rPr>
                <w:rFonts w:ascii="Times New Roman" w:hAnsi="Times New Roman"/>
                <w:b w:val="false"/>
                <w:i w:val="false"/>
                <w:caps w:val="false"/>
                <w:smallCaps w:val="false"/>
                <w:color w:val="000000"/>
                <w:spacing w:val="0"/>
                <w:sz w:val="20"/>
              </w:rPr>
              <w:t>hares issued</w:t>
            </w:r>
            <w:r>
              <w:rPr>
                <w:rFonts w:ascii="Times New Roman" w:hAnsi="Times New Roman"/>
                <w:sz w:val="20"/>
              </w:rPr>
              <w:t xml:space="preserve"> and </w:t>
            </w:r>
            <w:r>
              <w:rPr>
                <w:rFonts w:ascii="Times New Roman" w:hAnsi="Times New Roman"/>
                <w:b w:val="false"/>
                <w:i w:val="false"/>
                <w:caps w:val="false"/>
                <w:smallCaps w:val="false"/>
                <w:color w:val="000000"/>
                <w:spacing w:val="0"/>
                <w:sz w:val="20"/>
              </w:rPr>
              <w:t>outstanding</w:t>
            </w:r>
            <w:r>
              <w:rPr>
                <w:rFonts w:ascii="Times New Roman" w:hAnsi="Times New Roman"/>
                <w:sz w:val="20"/>
              </w:rPr>
              <w:t xml:space="preserve">, respectively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 </w:t>
            </w:r>
          </w:p>
        </w:tc>
        <w:tc>
          <w:tcPr>
            <w:tcW w:w="111" w:type="dxa"/>
            <w:tcBorders/>
            <w:shd w:fill="CCEEFF" w:val="clear"/>
            <w:vAlign w:val="center"/>
          </w:tcPr>
          <w:p>
            <w:pPr>
              <w:pStyle w:val="TableContents"/>
              <w:spacing w:before="0" w:after="0"/>
              <w:ind w:left="0" w:right="0" w:hanging="0"/>
              <w:rPr/>
            </w:pPr>
            <w:r>
              <w:rPr/>
              <w:t xml:space="preserve">  </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17 </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0" w:right="0" w:hanging="0"/>
              <w:rPr/>
            </w:pPr>
            <w:r>
              <w:rPr/>
              <w:t xml:space="preserve">Additional paid-in capital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63,359 </w:t>
            </w:r>
          </w:p>
        </w:tc>
        <w:tc>
          <w:tcPr>
            <w:tcW w:w="111" w:type="dxa"/>
            <w:tcBorders/>
            <w:shd w:fill="auto" w:val="clear"/>
            <w:vAlign w:val="center"/>
          </w:tcPr>
          <w:p>
            <w:pPr>
              <w:pStyle w:val="TableContents"/>
              <w:spacing w:before="0" w:after="0"/>
              <w:ind w:left="0" w:right="0" w:hanging="0"/>
              <w:rPr/>
            </w:pPr>
            <w:r>
              <w:rPr/>
              <w:t xml:space="preserve">  </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7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58,520 </w:t>
            </w:r>
          </w:p>
        </w:tc>
        <w:tc>
          <w:tcPr>
            <w:tcW w:w="135" w:type="dxa"/>
            <w:tcBorders/>
            <w:shd w:fill="auto" w:val="clear"/>
            <w:vAlign w:val="center"/>
          </w:tcPr>
          <w:p>
            <w:pPr>
              <w:pStyle w:val="TableContents"/>
              <w:spacing w:before="0" w:after="0"/>
              <w:ind w:left="0" w:right="0" w:hanging="0"/>
              <w:rPr/>
            </w:pPr>
            <w:r>
              <w:rPr/>
              <w:t xml:space="preserve">  </w:t>
            </w:r>
          </w:p>
        </w:tc>
      </w:tr>
      <w:tr>
        <w:trPr/>
        <w:tc>
          <w:tcPr>
            <w:tcW w:w="79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Accumulated other comprehensive loss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(186</w:t>
            </w:r>
          </w:p>
        </w:tc>
        <w:tc>
          <w:tcPr>
            <w:tcW w:w="111" w:type="dxa"/>
            <w:tcBorders/>
            <w:shd w:fill="CCEEFF" w:val="clear"/>
            <w:vAlign w:val="center"/>
          </w:tcPr>
          <w:p>
            <w:pPr>
              <w:pStyle w:val="TableContents"/>
              <w:spacing w:before="0" w:after="283"/>
              <w:rPr/>
            </w:pPr>
            <w:r>
              <w:rPr/>
              <w:t>)</w:t>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shd w:fill="CCEEFF" w:val="clear"/>
            <w:vAlign w:val="center"/>
          </w:tcPr>
          <w:p>
            <w:pPr>
              <w:pStyle w:val="TableContents"/>
              <w:spacing w:before="0" w:after="0"/>
              <w:ind w:left="0" w:right="0" w:hanging="0"/>
              <w:rPr/>
            </w:pPr>
            <w:r>
              <w:rPr/>
              <w:t xml:space="preserve">  </w:t>
            </w:r>
          </w:p>
        </w:tc>
        <w:tc>
          <w:tcPr>
            <w:tcW w:w="7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(176</w:t>
            </w:r>
          </w:p>
        </w:tc>
        <w:tc>
          <w:tcPr>
            <w:tcW w:w="135" w:type="dxa"/>
            <w:tcBorders/>
            <w:shd w:fill="CCEEFF" w:val="clear"/>
            <w:vAlign w:val="center"/>
          </w:tcPr>
          <w:p>
            <w:pPr>
              <w:pStyle w:val="TableContents"/>
              <w:spacing w:before="0" w:after="283"/>
              <w:rPr/>
            </w:pPr>
            <w:r>
              <w:rPr/>
              <w:t>)</w:t>
            </w:r>
          </w:p>
        </w:tc>
      </w:tr>
      <w:tr>
        <w:trPr/>
        <w:tc>
          <w:tcPr>
            <w:tcW w:w="79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Accumulated deficit </w:t>
            </w:r>
          </w:p>
        </w:tc>
        <w:tc>
          <w:tcPr>
            <w:tcW w:w="18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8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(13,378 </w:t>
            </w:r>
          </w:p>
        </w:tc>
        <w:tc>
          <w:tcPr>
            <w:tcW w:w="111" w:type="dxa"/>
            <w:tcBorders/>
            <w:shd w:fill="auto" w:val="clear"/>
            <w:vAlign w:val="center"/>
          </w:tcPr>
          <w:p>
            <w:pPr>
              <w:pStyle w:val="TableContents"/>
              <w:spacing w:before="0" w:after="283"/>
              <w:rPr/>
            </w:pPr>
            <w:r>
              <w:rPr/>
              <w:t>)</w:t>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8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(13,883 </w:t>
            </w:r>
          </w:p>
        </w:tc>
        <w:tc>
          <w:tcPr>
            <w:tcW w:w="1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936"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shareholders’ equity </w:t>
            </w:r>
          </w:p>
        </w:tc>
        <w:tc>
          <w:tcPr>
            <w:tcW w:w="182"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8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49,814</w:t>
            </w:r>
          </w:p>
        </w:tc>
        <w:tc>
          <w:tcPr>
            <w:tcW w:w="111" w:type="dxa"/>
            <w:tcBorders/>
            <w:shd w:fill="CCEEFF" w:val="clear"/>
            <w:vAlign w:val="center"/>
          </w:tcPr>
          <w:p>
            <w:pPr>
              <w:pStyle w:val="TableContents"/>
              <w:spacing w:before="0" w:after="283"/>
              <w:rPr>
                <w:sz w:val="4"/>
                <w:szCs w:val="4"/>
              </w:rPr>
            </w:pPr>
            <w:r>
              <w:rPr>
                <w:sz w:val="4"/>
                <w:szCs w:val="4"/>
              </w:rPr>
            </w:r>
          </w:p>
        </w:tc>
        <w:tc>
          <w:tcPr>
            <w:tcW w:w="99" w:type="dxa"/>
            <w:tcBorders/>
            <w:shd w:fill="CCEEFF" w:val="clear"/>
            <w:vAlign w:val="center"/>
          </w:tcPr>
          <w:p>
            <w:pPr>
              <w:pStyle w:val="TableContents"/>
              <w:spacing w:before="0" w:after="0"/>
              <w:ind w:left="0" w:right="0" w:hanging="0"/>
              <w:rPr/>
            </w:pPr>
            <w:r>
              <w:rPr/>
              <w:t xml:space="preserve">  </w:t>
            </w:r>
          </w:p>
        </w:tc>
        <w:tc>
          <w:tcPr>
            <w:tcW w:w="182"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8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44,478</w:t>
            </w:r>
          </w:p>
        </w:tc>
        <w:tc>
          <w:tcPr>
            <w:tcW w:w="135" w:type="dxa"/>
            <w:tcBorders/>
            <w:shd w:fill="CCEEFF" w:val="clear"/>
            <w:vAlign w:val="center"/>
          </w:tcPr>
          <w:p>
            <w:pPr>
              <w:pStyle w:val="TableContents"/>
              <w:spacing w:before="0" w:after="0"/>
              <w:ind w:left="0" w:right="0" w:hanging="0"/>
              <w:rPr/>
            </w:pPr>
            <w:r>
              <w:rPr/>
              <w:t xml:space="preserve">  </w:t>
            </w:r>
          </w:p>
        </w:tc>
      </w:tr>
      <w:tr>
        <w:trPr/>
        <w:tc>
          <w:tcPr>
            <w:tcW w:w="7936"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liabilities and shareholders’ equity </w:t>
            </w:r>
          </w:p>
        </w:tc>
        <w:tc>
          <w:tcPr>
            <w:tcW w:w="18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62,323</w:t>
            </w:r>
          </w:p>
        </w:tc>
        <w:tc>
          <w:tcPr>
            <w:tcW w:w="111"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0"/>
              <w:ind w:left="0" w:right="0" w:hanging="0"/>
              <w:rPr/>
            </w:pPr>
            <w:r>
              <w:rPr/>
              <w:t xml:space="preserve">  </w:t>
            </w:r>
          </w:p>
        </w:tc>
        <w:tc>
          <w:tcPr>
            <w:tcW w:w="18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55,110 </w:t>
            </w:r>
          </w:p>
        </w:tc>
        <w:tc>
          <w:tcPr>
            <w:tcW w:w="135" w:type="dxa"/>
            <w:tcBorders/>
            <w:shd w:fill="auto" w:val="clear"/>
            <w:vAlign w:val="center"/>
          </w:tcPr>
          <w:p>
            <w:pPr>
              <w:pStyle w:val="TableContents"/>
              <w:spacing w:before="0" w:after="0"/>
              <w:ind w:left="0" w:right="0" w:hanging="0"/>
              <w:rPr/>
            </w:pPr>
            <w:r>
              <w:rPr/>
              <w:t xml:space="preserve">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See accompanying notes</w:t>
      </w:r>
    </w:p>
    <w:p>
      <w:pPr>
        <w:pStyle w:val="TextBody"/>
        <w:spacing w:before="0" w:after="0"/>
        <w:ind w:left="0" w:right="0" w:hanging="0"/>
        <w:jc w:val="center"/>
        <w:rPr/>
      </w:pPr>
      <w:r>
        <w:rPr/>
        <w:t> </w:t>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F-3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ind w:left="0" w:right="0" w:hanging="0"/>
        <w:jc w:val="center"/>
        <w:rPr/>
      </w:pPr>
      <w:hyperlink r:id="rId43">
        <w:r>
          <w:rPr>
            <w:rStyle w:val="VisitedInternetLink"/>
            <w:rFonts w:ascii="times new roman;times" w:hAnsi="times new roman;times"/>
            <w:b/>
            <w:strike w:val="false"/>
            <w:dstrike w:val="false"/>
            <w:color w:val="000000"/>
            <w:sz w:val="20"/>
            <w:u w:val="none"/>
            <w:effect w:val="none"/>
          </w:rPr>
          <w:t>CONSOLIDATED STATEMENTS OF OPERATIONS AND COMPREHENSIVE INCOME (LOSS)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per share amounts)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392"/>
        <w:gridCol w:w="162"/>
        <w:gridCol w:w="229"/>
        <w:gridCol w:w="1340"/>
        <w:gridCol w:w="162"/>
        <w:gridCol w:w="162"/>
        <w:gridCol w:w="228"/>
        <w:gridCol w:w="1341"/>
        <w:gridCol w:w="189"/>
      </w:tblGrid>
      <w:tr>
        <w:trPr/>
        <w:tc>
          <w:tcPr>
            <w:tcW w:w="639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3462" w:type="dxa"/>
            <w:gridSpan w:val="6"/>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156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156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Revenue</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29,069 </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25,042 </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Cost of goods sold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34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16,510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341"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13,849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Gross profit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34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12,559 </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341"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11,193 </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1340"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shd w:fill="auto" w:val="clear"/>
            <w:vAlign w:val="center"/>
          </w:tcPr>
          <w:p>
            <w:pPr>
              <w:pStyle w:val="TableContents"/>
              <w:spacing w:before="0" w:after="0"/>
              <w:ind w:left="0" w:right="0" w:hanging="0"/>
              <w:rPr/>
            </w:pPr>
            <w:r>
              <w:rPr/>
              <w:t xml:space="preserve">  </w:t>
            </w:r>
          </w:p>
        </w:tc>
        <w:tc>
          <w:tcPr>
            <w:tcW w:w="1341" w:type="dxa"/>
            <w:tcBorders/>
            <w:shd w:fill="auto" w:val="clear"/>
            <w:vAlign w:val="cente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expenses: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pPr>
            <w:r>
              <w:rPr/>
              <w:t xml:space="preserve">  </w:t>
            </w:r>
          </w:p>
        </w:tc>
        <w:tc>
          <w:tcPr>
            <w:tcW w:w="1340"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pPr>
            <w:r>
              <w:rPr/>
              <w:t xml:space="preserve">  </w:t>
            </w:r>
          </w:p>
        </w:tc>
        <w:tc>
          <w:tcPr>
            <w:tcW w:w="1341" w:type="dxa"/>
            <w:tcBorders/>
            <w:shd w:fill="CCEEFF" w:val="clear"/>
            <w:vAlign w:val="center"/>
          </w:tcPr>
          <w:p>
            <w:pPr>
              <w:pStyle w:val="TableContents"/>
              <w:spacing w:before="0" w:after="0"/>
              <w:ind w:left="0" w:right="0" w:hanging="0"/>
              <w:rPr/>
            </w:pPr>
            <w:r>
              <w:rPr/>
              <w:t xml:space="preserve">  </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Sales and marketing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13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6,728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shd w:fill="auto" w:val="clear"/>
            <w:vAlign w:val="center"/>
          </w:tcPr>
          <w:p>
            <w:pPr>
              <w:pStyle w:val="TableContents"/>
              <w:spacing w:before="0" w:after="0"/>
              <w:ind w:left="0" w:right="0" w:hanging="0"/>
              <w:rPr/>
            </w:pPr>
            <w:r>
              <w:rPr/>
              <w:t xml:space="preserve">  </w:t>
            </w:r>
          </w:p>
        </w:tc>
        <w:tc>
          <w:tcPr>
            <w:tcW w:w="134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7,935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Research and product development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pPr>
            <w:r>
              <w:rPr/>
              <w:t xml:space="preserve">  </w:t>
            </w:r>
          </w:p>
        </w:tc>
        <w:tc>
          <w:tcPr>
            <w:tcW w:w="134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5,512 </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pPr>
            <w:r>
              <w:rPr/>
              <w:t xml:space="preserve">  </w:t>
            </w:r>
          </w:p>
        </w:tc>
        <w:tc>
          <w:tcPr>
            <w:tcW w:w="134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5,775 </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General and administrative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bottom w:val="single" w:sz="4" w:space="0" w:color="000000"/>
            </w:tcBorders>
            <w:shd w:fill="auto" w:val="clear"/>
            <w:tcMar>
              <w:bottom w:w="28" w:type="dxa"/>
            </w:tcMar>
            <w:vAlign w:val="center"/>
          </w:tcPr>
          <w:p>
            <w:pPr>
              <w:pStyle w:val="TableContents"/>
              <w:spacing w:before="0" w:after="0"/>
              <w:ind w:left="0" w:right="0" w:hanging="0"/>
              <w:rPr/>
            </w:pPr>
            <w:r>
              <w:rPr/>
              <w:t xml:space="preserve">  </w:t>
            </w:r>
          </w:p>
        </w:tc>
        <w:tc>
          <w:tcPr>
            <w:tcW w:w="1340" w:type="dxa"/>
            <w:tcBorders>
              <w:bottom w:val="single" w:sz="4"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5,886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bottom w:val="single" w:sz="4" w:space="0" w:color="000000"/>
            </w:tcBorders>
            <w:shd w:fill="auto" w:val="clear"/>
            <w:tcMar>
              <w:bottom w:w="28" w:type="dxa"/>
            </w:tcMar>
            <w:vAlign w:val="center"/>
          </w:tcPr>
          <w:p>
            <w:pPr>
              <w:pStyle w:val="TableContents"/>
              <w:spacing w:before="0" w:after="0"/>
              <w:ind w:left="0" w:right="0" w:hanging="0"/>
              <w:rPr/>
            </w:pPr>
            <w:r>
              <w:rPr/>
              <w:t xml:space="preserve">  </w:t>
            </w:r>
          </w:p>
        </w:tc>
        <w:tc>
          <w:tcPr>
            <w:tcW w:w="1341" w:type="dxa"/>
            <w:tcBorders>
              <w:bottom w:val="single" w:sz="4"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6,045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operating expenses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top w:val="single" w:sz="4" w:space="0" w:color="000000"/>
              <w:bottom w:val="single" w:sz="6" w:space="0" w:color="000000"/>
            </w:tcBorders>
            <w:shd w:fill="CCEEFF" w:val="clear"/>
            <w:tcMar>
              <w:top w:w="28" w:type="dxa"/>
              <w:bottom w:w="28" w:type="dxa"/>
            </w:tcMar>
            <w:vAlign w:val="center"/>
          </w:tcPr>
          <w:p>
            <w:pPr>
              <w:pStyle w:val="TableContents"/>
              <w:spacing w:before="0" w:after="0"/>
              <w:ind w:left="0" w:right="0" w:hanging="0"/>
              <w:rPr/>
            </w:pPr>
            <w:r>
              <w:rPr/>
              <w:t xml:space="preserve">  </w:t>
            </w:r>
          </w:p>
        </w:tc>
        <w:tc>
          <w:tcPr>
            <w:tcW w:w="1340" w:type="dxa"/>
            <w:tcBorders>
              <w:top w:val="single" w:sz="4" w:space="0" w:color="000000"/>
              <w:bottom w:val="sing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18,126 </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top w:val="single" w:sz="4" w:space="0" w:color="000000"/>
              <w:bottom w:val="single" w:sz="6" w:space="0" w:color="000000"/>
            </w:tcBorders>
            <w:shd w:fill="CCEEFF" w:val="clear"/>
            <w:tcMar>
              <w:top w:w="28" w:type="dxa"/>
              <w:bottom w:w="28" w:type="dxa"/>
            </w:tcMar>
            <w:vAlign w:val="center"/>
          </w:tcPr>
          <w:p>
            <w:pPr>
              <w:pStyle w:val="TableContents"/>
              <w:spacing w:before="0" w:after="0"/>
              <w:ind w:left="0" w:right="0" w:hanging="0"/>
              <w:rPr/>
            </w:pPr>
            <w:r>
              <w:rPr/>
              <w:t xml:space="preserve">  </w:t>
            </w:r>
          </w:p>
        </w:tc>
        <w:tc>
          <w:tcPr>
            <w:tcW w:w="1341" w:type="dxa"/>
            <w:tcBorders>
              <w:top w:val="single" w:sz="4" w:space="0" w:color="000000"/>
              <w:bottom w:val="sing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19,755 </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1340"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shd w:fill="auto" w:val="clear"/>
            <w:vAlign w:val="center"/>
          </w:tcPr>
          <w:p>
            <w:pPr>
              <w:pStyle w:val="TableContents"/>
              <w:spacing w:before="0" w:after="0"/>
              <w:ind w:left="0" w:right="0" w:hanging="0"/>
              <w:rPr/>
            </w:pPr>
            <w:r>
              <w:rPr/>
              <w:t xml:space="preserve">  </w:t>
            </w:r>
          </w:p>
        </w:tc>
        <w:tc>
          <w:tcPr>
            <w:tcW w:w="1341" w:type="dxa"/>
            <w:tcBorders/>
            <w:shd w:fill="auto" w:val="clear"/>
            <w:vAlign w:val="cente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loss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pPr>
            <w:r>
              <w:rPr/>
              <w:t xml:space="preserve">  </w:t>
            </w:r>
          </w:p>
        </w:tc>
        <w:tc>
          <w:tcPr>
            <w:tcW w:w="134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(5,567</w:t>
            </w:r>
          </w:p>
        </w:tc>
        <w:tc>
          <w:tcPr>
            <w:tcW w:w="162" w:type="dxa"/>
            <w:tcBorders/>
            <w:shd w:fill="CCEEFF" w:val="clear"/>
            <w:vAlign w:val="center"/>
          </w:tcPr>
          <w:p>
            <w:pPr>
              <w:pStyle w:val="TableContents"/>
              <w:spacing w:before="0" w:after="283"/>
              <w:rPr/>
            </w:pPr>
            <w:r>
              <w:rPr/>
              <w:t>)</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pPr>
            <w:r>
              <w:rPr/>
              <w:t xml:space="preserve">  </w:t>
            </w:r>
          </w:p>
        </w:tc>
        <w:tc>
          <w:tcPr>
            <w:tcW w:w="134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(8,562 </w:t>
            </w:r>
          </w:p>
        </w:tc>
        <w:tc>
          <w:tcPr>
            <w:tcW w:w="18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6392" w:type="dxa"/>
            <w:tcBorders/>
            <w:shd w:fill="auto" w:val="clear"/>
            <w:vAlign w:val="center"/>
          </w:tcPr>
          <w:p>
            <w:pPr>
              <w:pStyle w:val="TableContents"/>
              <w:spacing w:before="0" w:after="283"/>
              <w:rPr/>
            </w:pPr>
            <w:r>
              <w:rPr/>
              <w:t>Interest expense</w:t>
            </w:r>
          </w:p>
        </w:tc>
        <w:tc>
          <w:tcPr>
            <w:tcW w:w="162" w:type="dxa"/>
            <w:tcBorders/>
            <w:shd w:fill="auto" w:val="clear"/>
            <w:vAlign w:val="center"/>
          </w:tcPr>
          <w:p>
            <w:pPr>
              <w:pStyle w:val="TableContents"/>
              <w:spacing w:before="0" w:after="283"/>
              <w:rPr/>
            </w:pPr>
            <w:r>
              <w:rPr/>
            </w:r>
          </w:p>
        </w:tc>
        <w:tc>
          <w:tcPr>
            <w:tcW w:w="229" w:type="dxa"/>
            <w:tcBorders/>
            <w:shd w:fill="auto" w:val="clear"/>
            <w:vAlign w:val="center"/>
          </w:tcPr>
          <w:p>
            <w:pPr>
              <w:pStyle w:val="TableContents"/>
              <w:spacing w:before="0" w:after="283"/>
              <w:rPr/>
            </w:pPr>
            <w:r>
              <w:rPr/>
            </w:r>
          </w:p>
        </w:tc>
        <w:tc>
          <w:tcPr>
            <w:tcW w:w="1340" w:type="dxa"/>
            <w:tcBorders/>
            <w:shd w:fill="auto" w:val="clear"/>
            <w:vAlign w:val="center"/>
          </w:tcPr>
          <w:p>
            <w:pPr>
              <w:pStyle w:val="TableContents"/>
              <w:spacing w:before="0" w:after="283"/>
              <w:jc w:val="right"/>
              <w:rPr/>
            </w:pPr>
            <w:r>
              <w:rPr/>
              <w:t>(436</w:t>
            </w:r>
          </w:p>
        </w:tc>
        <w:tc>
          <w:tcPr>
            <w:tcW w:w="162" w:type="dxa"/>
            <w:tcBorders/>
            <w:shd w:fill="auto" w:val="clear"/>
            <w:vAlign w:val="center"/>
          </w:tcPr>
          <w:p>
            <w:pPr>
              <w:pStyle w:val="TableContents"/>
              <w:spacing w:before="0" w:after="283"/>
              <w:rPr/>
            </w:pPr>
            <w:r>
              <w:rPr/>
              <w:t>)</w:t>
            </w:r>
          </w:p>
        </w:tc>
        <w:tc>
          <w:tcPr>
            <w:tcW w:w="162" w:type="dxa"/>
            <w:tcBorders/>
            <w:shd w:fill="auto" w:val="clear"/>
            <w:vAlign w:val="center"/>
          </w:tcPr>
          <w:p>
            <w:pPr>
              <w:pStyle w:val="TableContents"/>
              <w:spacing w:before="0" w:after="283"/>
              <w:rPr/>
            </w:pPr>
            <w:r>
              <w:rPr/>
            </w:r>
          </w:p>
        </w:tc>
        <w:tc>
          <w:tcPr>
            <w:tcW w:w="228" w:type="dxa"/>
            <w:tcBorders/>
            <w:shd w:fill="auto" w:val="clear"/>
            <w:vAlign w:val="center"/>
          </w:tcPr>
          <w:p>
            <w:pPr>
              <w:pStyle w:val="TableContents"/>
              <w:spacing w:before="0" w:after="283"/>
              <w:rPr/>
            </w:pPr>
            <w:r>
              <w:rPr/>
            </w:r>
          </w:p>
        </w:tc>
        <w:tc>
          <w:tcPr>
            <w:tcW w:w="1341" w:type="dxa"/>
            <w:tcBorders/>
            <w:shd w:fill="auto" w:val="clear"/>
            <w:vAlign w:val="center"/>
          </w:tcPr>
          <w:p>
            <w:pPr>
              <w:pStyle w:val="TableContents"/>
              <w:spacing w:before="0" w:after="283"/>
              <w:jc w:val="right"/>
              <w:rPr/>
            </w:pPr>
            <w:r>
              <w:rPr/>
              <w:t>(26</w:t>
            </w:r>
          </w:p>
        </w:tc>
        <w:tc>
          <w:tcPr>
            <w:tcW w:w="189" w:type="dxa"/>
            <w:tcBorders/>
            <w:shd w:fill="auto" w:val="clear"/>
            <w:vAlign w:val="center"/>
          </w:tcPr>
          <w:p>
            <w:pPr>
              <w:pStyle w:val="TableContents"/>
              <w:spacing w:before="0" w:after="283"/>
              <w:rPr/>
            </w:pPr>
            <w:r>
              <w:rPr/>
              <w:t>)</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income, net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pPr>
            <w:r>
              <w:rPr/>
              <w:t xml:space="preserve">  </w:t>
            </w:r>
          </w:p>
        </w:tc>
        <w:tc>
          <w:tcPr>
            <w:tcW w:w="134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79</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pPr>
            <w:r>
              <w:rPr/>
              <w:t xml:space="preserve">  </w:t>
            </w:r>
          </w:p>
        </w:tc>
        <w:tc>
          <w:tcPr>
            <w:tcW w:w="134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236</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Loss before income taxes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13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(5,924</w:t>
            </w:r>
          </w:p>
        </w:tc>
        <w:tc>
          <w:tcPr>
            <w:tcW w:w="162" w:type="dxa"/>
            <w:tcBorders/>
            <w:shd w:fill="auto" w:val="clear"/>
            <w:vAlign w:val="center"/>
          </w:tcPr>
          <w:p>
            <w:pPr>
              <w:pStyle w:val="TableContents"/>
              <w:spacing w:before="0" w:after="283"/>
              <w:rPr/>
            </w:pPr>
            <w:r>
              <w:rPr/>
              <w:t>)</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shd w:fill="auto" w:val="clear"/>
            <w:vAlign w:val="center"/>
          </w:tcPr>
          <w:p>
            <w:pPr>
              <w:pStyle w:val="TableContents"/>
              <w:spacing w:before="0" w:after="0"/>
              <w:ind w:left="0" w:right="0" w:hanging="0"/>
              <w:rPr/>
            </w:pPr>
            <w:r>
              <w:rPr/>
              <w:t xml:space="preserve">  </w:t>
            </w:r>
          </w:p>
        </w:tc>
        <w:tc>
          <w:tcPr>
            <w:tcW w:w="134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(8,352</w:t>
            </w:r>
          </w:p>
        </w:tc>
        <w:tc>
          <w:tcPr>
            <w:tcW w:w="189" w:type="dxa"/>
            <w:tcBorders/>
            <w:shd w:fill="auto" w:val="clear"/>
            <w:vAlign w:val="center"/>
          </w:tcPr>
          <w:p>
            <w:pPr>
              <w:pStyle w:val="TableContents"/>
              <w:spacing w:before="0" w:after="283"/>
              <w:rPr/>
            </w:pPr>
            <w:r>
              <w:rPr/>
              <w:t>)</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Provision for (benefit from) income taxes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34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(6,429</w:t>
            </w:r>
          </w:p>
        </w:tc>
        <w:tc>
          <w:tcPr>
            <w:tcW w:w="162" w:type="dxa"/>
            <w:tcBorders/>
            <w:shd w:fill="CCEEFF" w:val="clear"/>
            <w:vAlign w:val="center"/>
          </w:tcPr>
          <w:p>
            <w:pPr>
              <w:pStyle w:val="TableContents"/>
              <w:spacing w:before="0" w:after="283"/>
              <w:rPr/>
            </w:pPr>
            <w:r>
              <w:rPr/>
              <w:t>)</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341"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56</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Net income (loss)</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505</w:t>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(8,408</w:t>
            </w:r>
          </w:p>
        </w:tc>
        <w:tc>
          <w:tcPr>
            <w:tcW w:w="189" w:type="dxa"/>
            <w:tcBorders/>
            <w:shd w:fill="auto" w:val="clear"/>
            <w:vAlign w:val="center"/>
          </w:tcPr>
          <w:p>
            <w:pPr>
              <w:pStyle w:val="TableContents"/>
              <w:spacing w:before="0" w:after="283"/>
              <w:rPr/>
            </w:pPr>
            <w:r>
              <w:rPr/>
              <w:t>)</w:t>
            </w:r>
          </w:p>
        </w:tc>
      </w:tr>
      <w:tr>
        <w:trPr/>
        <w:tc>
          <w:tcPr>
            <w:tcW w:w="639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pPr>
            <w:r>
              <w:rPr/>
              <w:t xml:space="preserve">  </w:t>
            </w:r>
          </w:p>
        </w:tc>
        <w:tc>
          <w:tcPr>
            <w:tcW w:w="1340"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pPr>
            <w:r>
              <w:rPr/>
              <w:t xml:space="preserve">  </w:t>
            </w:r>
          </w:p>
        </w:tc>
        <w:tc>
          <w:tcPr>
            <w:tcW w:w="1341" w:type="dxa"/>
            <w:tcBorders/>
            <w:shd w:fill="CCEEFF" w:val="clear"/>
            <w:vAlign w:val="center"/>
          </w:tcPr>
          <w:p>
            <w:pPr>
              <w:pStyle w:val="TableContents"/>
              <w:spacing w:before="0" w:after="0"/>
              <w:ind w:left="0" w:right="0" w:hanging="0"/>
              <w:rPr/>
            </w:pPr>
            <w:r>
              <w:rPr/>
              <w:t xml:space="preserve">  </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Basic income (loss) per common share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0.03</w:t>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(0.51</w:t>
            </w:r>
          </w:p>
        </w:tc>
        <w:tc>
          <w:tcPr>
            <w:tcW w:w="189" w:type="dxa"/>
            <w:tcBorders/>
            <w:shd w:fill="auto" w:val="clear"/>
            <w:vAlign w:val="center"/>
          </w:tcPr>
          <w:p>
            <w:pPr>
              <w:pStyle w:val="TableContents"/>
              <w:spacing w:before="0" w:after="283"/>
              <w:rPr/>
            </w:pPr>
            <w:r>
              <w:rPr/>
              <w:t>)</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Diluted income (loss) per common share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0.03</w:t>
            </w:r>
          </w:p>
        </w:tc>
        <w:tc>
          <w:tcPr>
            <w:tcW w:w="162" w:type="dxa"/>
            <w:tcBorders/>
            <w:shd w:fill="CCEEFF" w:val="clear"/>
            <w:vAlign w:val="center"/>
          </w:tcPr>
          <w:p>
            <w:pPr>
              <w:pStyle w:val="TableContents"/>
              <w:spacing w:before="0" w:after="283"/>
              <w:rPr>
                <w:sz w:val="4"/>
                <w:szCs w:val="4"/>
              </w:rPr>
            </w:pPr>
            <w:r>
              <w:rPr>
                <w:sz w:val="4"/>
                <w:szCs w:val="4"/>
              </w:rPr>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(0.51 </w:t>
            </w:r>
          </w:p>
        </w:tc>
        <w:tc>
          <w:tcPr>
            <w:tcW w:w="18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639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1340"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shd w:fill="auto" w:val="clear"/>
            <w:vAlign w:val="center"/>
          </w:tcPr>
          <w:p>
            <w:pPr>
              <w:pStyle w:val="TableContents"/>
              <w:spacing w:before="0" w:after="0"/>
              <w:ind w:left="0" w:right="0" w:hanging="0"/>
              <w:rPr/>
            </w:pPr>
            <w:r>
              <w:rPr/>
              <w:t xml:space="preserve">  </w:t>
            </w:r>
          </w:p>
        </w:tc>
        <w:tc>
          <w:tcPr>
            <w:tcW w:w="1341" w:type="dxa"/>
            <w:tcBorders/>
            <w:shd w:fill="auto" w:val="clear"/>
            <w:vAlign w:val="cente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Basic weighted average shares outstanding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pPr>
            <w:r>
              <w:rPr/>
              <w:t xml:space="preserve">  </w:t>
            </w:r>
          </w:p>
        </w:tc>
        <w:tc>
          <w:tcPr>
            <w:tcW w:w="134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17,271,629 </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pPr>
            <w:r>
              <w:rPr/>
              <w:t xml:space="preserve">  </w:t>
            </w:r>
          </w:p>
        </w:tc>
        <w:tc>
          <w:tcPr>
            <w:tcW w:w="134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16,638,580 </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Diluted weighted average shares outstanding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134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17,325,351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shd w:fill="auto" w:val="clear"/>
            <w:vAlign w:val="center"/>
          </w:tcPr>
          <w:p>
            <w:pPr>
              <w:pStyle w:val="TableContents"/>
              <w:spacing w:before="0" w:after="0"/>
              <w:ind w:left="0" w:right="0" w:hanging="0"/>
              <w:rPr/>
            </w:pPr>
            <w:r>
              <w:rPr/>
              <w:t xml:space="preserve">  </w:t>
            </w:r>
          </w:p>
        </w:tc>
        <w:tc>
          <w:tcPr>
            <w:tcW w:w="134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16,638,580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pPr>
            <w:r>
              <w:rPr/>
              <w:t xml:space="preserve">  </w:t>
            </w:r>
          </w:p>
        </w:tc>
        <w:tc>
          <w:tcPr>
            <w:tcW w:w="1340"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pPr>
            <w:r>
              <w:rPr/>
              <w:t xml:space="preserve">  </w:t>
            </w:r>
          </w:p>
        </w:tc>
        <w:tc>
          <w:tcPr>
            <w:tcW w:w="1341" w:type="dxa"/>
            <w:tcBorders/>
            <w:shd w:fill="CCEEFF" w:val="clear"/>
            <w:vAlign w:val="center"/>
          </w:tcPr>
          <w:p>
            <w:pPr>
              <w:pStyle w:val="TableContents"/>
              <w:spacing w:before="0" w:after="0"/>
              <w:ind w:left="0" w:right="0" w:hanging="0"/>
              <w:rPr/>
            </w:pPr>
            <w:r>
              <w:rPr/>
              <w:t xml:space="preserve">  </w:t>
            </w:r>
          </w:p>
        </w:tc>
        <w:tc>
          <w:tcPr>
            <w:tcW w:w="189" w:type="dxa"/>
            <w:tcBorders/>
            <w:shd w:fill="CCEEFF" w:val="clear"/>
            <w:vAlign w:val="center"/>
          </w:tcPr>
          <w:p>
            <w:pPr>
              <w:pStyle w:val="TableContents"/>
              <w:spacing w:before="0" w:after="0"/>
              <w:ind w:left="0" w:right="0" w:hanging="0"/>
              <w:rPr/>
            </w:pPr>
            <w:r>
              <w:rPr/>
              <w:t xml:space="preserve">  </w:t>
            </w:r>
          </w:p>
        </w:tc>
      </w:tr>
      <w:tr>
        <w:trPr/>
        <w:tc>
          <w:tcPr>
            <w:tcW w:w="639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Comprehensive income (loss):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1340"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shd w:fill="auto" w:val="clear"/>
            <w:vAlign w:val="center"/>
          </w:tcPr>
          <w:p>
            <w:pPr>
              <w:pStyle w:val="TableContents"/>
              <w:spacing w:before="0" w:after="0"/>
              <w:ind w:left="0" w:right="0" w:hanging="0"/>
              <w:rPr/>
            </w:pPr>
            <w:r>
              <w:rPr/>
              <w:t xml:space="preserve">  </w:t>
            </w:r>
          </w:p>
        </w:tc>
        <w:tc>
          <w:tcPr>
            <w:tcW w:w="1341" w:type="dxa"/>
            <w:tcBorders/>
            <w:shd w:fill="auto" w:val="clear"/>
            <w:vAlign w:val="cente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income (loss)</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505</w:t>
            </w:r>
          </w:p>
        </w:tc>
        <w:tc>
          <w:tcPr>
            <w:tcW w:w="162" w:type="dxa"/>
            <w:tcBorders/>
            <w:shd w:fill="CCEEFF" w:val="clear"/>
            <w:vAlign w:val="center"/>
          </w:tcPr>
          <w:p>
            <w:pPr>
              <w:pStyle w:val="TableContents"/>
              <w:spacing w:before="0" w:after="283"/>
              <w:rPr>
                <w:sz w:val="4"/>
                <w:szCs w:val="4"/>
              </w:rPr>
            </w:pPr>
            <w:r>
              <w:rPr>
                <w:sz w:val="4"/>
                <w:szCs w:val="4"/>
              </w:rPr>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(8,408</w:t>
            </w:r>
          </w:p>
        </w:tc>
        <w:tc>
          <w:tcPr>
            <w:tcW w:w="189" w:type="dxa"/>
            <w:tcBorders/>
            <w:shd w:fill="CCEEFF" w:val="clear"/>
            <w:vAlign w:val="center"/>
          </w:tcPr>
          <w:p>
            <w:pPr>
              <w:pStyle w:val="TableContents"/>
              <w:spacing w:before="0" w:after="283"/>
              <w:rPr/>
            </w:pPr>
            <w:r>
              <w:rPr/>
              <w:t>)</w:t>
            </w:r>
          </w:p>
        </w:tc>
      </w:tr>
      <w:tr>
        <w:trPr/>
        <w:tc>
          <w:tcPr>
            <w:tcW w:w="639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comprehensive income (loss):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1340"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shd w:fill="auto" w:val="clear"/>
            <w:vAlign w:val="center"/>
          </w:tcPr>
          <w:p>
            <w:pPr>
              <w:pStyle w:val="TableContents"/>
              <w:spacing w:before="0" w:after="0"/>
              <w:ind w:left="0" w:right="0" w:hanging="0"/>
              <w:rPr/>
            </w:pPr>
            <w:r>
              <w:rPr/>
              <w:t xml:space="preserve">  </w:t>
            </w:r>
          </w:p>
        </w:tc>
        <w:tc>
          <w:tcPr>
            <w:tcW w:w="1341" w:type="dxa"/>
            <w:tcBorders/>
            <w:shd w:fill="auto" w:val="clear"/>
            <w:vAlign w:val="cente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0"/>
              <w:ind w:left="0" w:right="0" w:hanging="0"/>
              <w:rPr/>
            </w:pPr>
            <w:r>
              <w:rPr/>
              <w:t xml:space="preserve">  </w:t>
            </w:r>
          </w:p>
        </w:tc>
      </w:tr>
      <w:tr>
        <w:trPr/>
        <w:tc>
          <w:tcPr>
            <w:tcW w:w="6392"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Unrealized gain on available-for-sale securities, net of tax </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shd w:fill="CCEEFF" w:val="clear"/>
            <w:vAlign w:val="center"/>
          </w:tcPr>
          <w:p>
            <w:pPr>
              <w:pStyle w:val="TableContents"/>
              <w:spacing w:before="0" w:after="0"/>
              <w:ind w:left="0" w:right="0" w:hanging="0"/>
              <w:rPr/>
            </w:pPr>
            <w:r>
              <w:rPr/>
              <w:t xml:space="preserve">  </w:t>
            </w:r>
          </w:p>
        </w:tc>
        <w:tc>
          <w:tcPr>
            <w:tcW w:w="134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 </w:t>
            </w:r>
          </w:p>
        </w:tc>
        <w:tc>
          <w:tcPr>
            <w:tcW w:w="162" w:type="dxa"/>
            <w:tcBorders/>
            <w:shd w:fill="CCEEFF" w:val="clear"/>
            <w:vAlign w:val="center"/>
          </w:tcPr>
          <w:p>
            <w:pPr>
              <w:pStyle w:val="TableContents"/>
              <w:spacing w:before="0" w:after="0"/>
              <w:ind w:left="0" w:right="0" w:hanging="0"/>
              <w:rPr/>
            </w:pPr>
            <w:r>
              <w:rPr/>
              <w:t xml:space="preserve">  </w:t>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shd w:fill="CCEEFF" w:val="clear"/>
            <w:vAlign w:val="center"/>
          </w:tcPr>
          <w:p>
            <w:pPr>
              <w:pStyle w:val="TableContents"/>
              <w:spacing w:before="0" w:after="0"/>
              <w:ind w:left="0" w:right="0" w:hanging="0"/>
              <w:rPr/>
            </w:pPr>
            <w:r>
              <w:rPr/>
              <w:t xml:space="preserve">  </w:t>
            </w:r>
          </w:p>
        </w:tc>
        <w:tc>
          <w:tcPr>
            <w:tcW w:w="134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68 </w:t>
            </w:r>
          </w:p>
        </w:tc>
        <w:tc>
          <w:tcPr>
            <w:tcW w:w="189" w:type="dxa"/>
            <w:tcBorders/>
            <w:shd w:fill="CCEEFF" w:val="clear"/>
            <w:vAlign w:val="center"/>
          </w:tcPr>
          <w:p>
            <w:pPr>
              <w:pStyle w:val="TableContents"/>
              <w:spacing w:before="0" w:after="0"/>
              <w:ind w:left="0" w:right="0" w:hanging="0"/>
              <w:rPr/>
            </w:pPr>
            <w:r>
              <w:rPr/>
            </w:r>
          </w:p>
        </w:tc>
      </w:tr>
      <w:tr>
        <w:trPr/>
        <w:tc>
          <w:tcPr>
            <w:tcW w:w="6392"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Change in foreign currency translation adjustment </w:t>
            </w:r>
          </w:p>
        </w:tc>
        <w:tc>
          <w:tcPr>
            <w:tcW w:w="162" w:type="dxa"/>
            <w:tcBorders/>
            <w:shd w:fill="auto" w:val="clear"/>
            <w:vAlign w:val="center"/>
          </w:tcPr>
          <w:p>
            <w:pPr>
              <w:pStyle w:val="TableContents"/>
              <w:spacing w:before="0" w:after="0"/>
              <w:ind w:left="0" w:right="0" w:hanging="0"/>
              <w:rPr/>
            </w:pPr>
            <w:r>
              <w:rPr/>
              <w:t xml:space="preserve">  </w:t>
            </w:r>
          </w:p>
        </w:tc>
        <w:tc>
          <w:tcPr>
            <w:tcW w:w="22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34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w:t>
            </w:r>
          </w:p>
        </w:tc>
        <w:tc>
          <w:tcPr>
            <w:tcW w:w="162" w:type="dxa"/>
            <w:tcBorders/>
            <w:shd w:fill="auto" w:val="clear"/>
            <w:vAlign w:val="center"/>
          </w:tcPr>
          <w:p>
            <w:pPr>
              <w:pStyle w:val="TableContents"/>
              <w:spacing w:before="0" w:after="283"/>
              <w:rPr/>
            </w:pPr>
            <w:r>
              <w:rPr/>
              <w:t>)</w:t>
            </w:r>
          </w:p>
        </w:tc>
        <w:tc>
          <w:tcPr>
            <w:tcW w:w="162" w:type="dxa"/>
            <w:tcBorders/>
            <w:shd w:fill="auto" w:val="clear"/>
            <w:vAlign w:val="center"/>
          </w:tcPr>
          <w:p>
            <w:pPr>
              <w:pStyle w:val="TableContents"/>
              <w:spacing w:before="0" w:after="0"/>
              <w:ind w:left="0" w:right="0" w:hanging="0"/>
              <w:rPr/>
            </w:pPr>
            <w:r>
              <w:rPr/>
              <w:t xml:space="preserve">  </w:t>
            </w:r>
          </w:p>
        </w:tc>
        <w:tc>
          <w:tcPr>
            <w:tcW w:w="22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341"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c>
          <w:tcPr>
            <w:tcW w:w="189" w:type="dxa"/>
            <w:tcBorders/>
            <w:shd w:fill="auto" w:val="clear"/>
            <w:vAlign w:val="center"/>
          </w:tcPr>
          <w:p>
            <w:pPr>
              <w:pStyle w:val="TableContents"/>
              <w:spacing w:before="0" w:after="283"/>
              <w:rPr/>
            </w:pPr>
            <w:r>
              <w:rPr/>
              <w:t>)</w:t>
            </w:r>
          </w:p>
        </w:tc>
      </w:tr>
      <w:tr>
        <w:trPr/>
        <w:tc>
          <w:tcPr>
            <w:tcW w:w="63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Comprehensive income (loss)</w:t>
            </w:r>
          </w:p>
        </w:tc>
        <w:tc>
          <w:tcPr>
            <w:tcW w:w="162" w:type="dxa"/>
            <w:tcBorders/>
            <w:shd w:fill="CCEEFF" w:val="clear"/>
            <w:vAlign w:val="center"/>
          </w:tcPr>
          <w:p>
            <w:pPr>
              <w:pStyle w:val="TableContents"/>
              <w:spacing w:before="0" w:after="0"/>
              <w:ind w:left="0" w:right="0" w:hanging="0"/>
              <w:rPr/>
            </w:pPr>
            <w:r>
              <w:rPr/>
              <w:t xml:space="preserve">  </w:t>
            </w:r>
          </w:p>
        </w:tc>
        <w:tc>
          <w:tcPr>
            <w:tcW w:w="22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495</w:t>
            </w:r>
          </w:p>
        </w:tc>
        <w:tc>
          <w:tcPr>
            <w:tcW w:w="162" w:type="dxa"/>
            <w:tcBorders/>
            <w:shd w:fill="CCEEFF" w:val="clear"/>
            <w:vAlign w:val="center"/>
          </w:tcPr>
          <w:p>
            <w:pPr>
              <w:pStyle w:val="TableContents"/>
              <w:spacing w:before="0" w:after="283"/>
              <w:rPr>
                <w:sz w:val="4"/>
                <w:szCs w:val="4"/>
              </w:rPr>
            </w:pPr>
            <w:r>
              <w:rPr>
                <w:sz w:val="4"/>
                <w:szCs w:val="4"/>
              </w:rPr>
            </w:r>
          </w:p>
        </w:tc>
        <w:tc>
          <w:tcPr>
            <w:tcW w:w="162" w:type="dxa"/>
            <w:tcBorders/>
            <w:shd w:fill="CCEEFF" w:val="clear"/>
            <w:vAlign w:val="center"/>
          </w:tcPr>
          <w:p>
            <w:pPr>
              <w:pStyle w:val="TableContents"/>
              <w:spacing w:before="0" w:after="0"/>
              <w:ind w:left="0" w:right="0" w:hanging="0"/>
              <w:rPr/>
            </w:pPr>
            <w:r>
              <w:rPr/>
              <w:t xml:space="preserve">  </w:t>
            </w:r>
          </w:p>
        </w:tc>
        <w:tc>
          <w:tcPr>
            <w:tcW w:w="2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(8,403 </w:t>
            </w:r>
          </w:p>
        </w:tc>
        <w:tc>
          <w:tcPr>
            <w:tcW w:w="18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See accompanying notes</w:t>
      </w:r>
    </w:p>
    <w:p>
      <w:pPr>
        <w:pStyle w:val="TextBody"/>
        <w:spacing w:before="0" w:after="0"/>
        <w:ind w:left="0" w:right="0" w:hanging="0"/>
        <w:jc w:val="both"/>
        <w:rPr/>
      </w:pPr>
      <w:r>
        <w:rPr/>
        <w:t> </w:t>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F-4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144" w:right="144" w:hanging="0"/>
        <w:jc w:val="center"/>
        <w:rPr>
          <w:rFonts w:ascii="Times New Roman" w:hAnsi="Times New Roman"/>
          <w:b/>
          <w:sz w:val="20"/>
        </w:rPr>
      </w:pPr>
      <w:r>
        <w:rPr>
          <w:rFonts w:ascii="Times New Roman" w:hAnsi="Times New Roman"/>
          <w:b/>
          <w:sz w:val="20"/>
        </w:rPr>
        <w:t>CLEARONE, INC.</w:t>
      </w:r>
    </w:p>
    <w:p>
      <w:pPr>
        <w:pStyle w:val="TextBody"/>
        <w:ind w:left="144" w:right="144" w:hanging="0"/>
        <w:jc w:val="center"/>
        <w:rPr/>
      </w:pPr>
      <w:hyperlink r:id="rId44">
        <w:r>
          <w:rPr>
            <w:rStyle w:val="VisitedInternetLink"/>
            <w:rFonts w:ascii="Times New Roman" w:hAnsi="Times New Roman"/>
            <w:b/>
            <w:strike w:val="false"/>
            <w:dstrike w:val="false"/>
            <w:color w:val="000000"/>
            <w:sz w:val="20"/>
            <w:u w:val="none"/>
            <w:effect w:val="none"/>
          </w:rPr>
          <w:t>CONSOLIDATED STATEMENTS OF SHAREHOLDERS’ EQUITY</w:t>
        </w:r>
      </w:hyperlink>
    </w:p>
    <w:p>
      <w:pPr>
        <w:pStyle w:val="TextBody"/>
        <w:spacing w:before="0" w:after="0"/>
        <w:ind w:left="144" w:right="144" w:hanging="0"/>
        <w:jc w:val="center"/>
        <w:rPr>
          <w:rFonts w:ascii="Times New Roman" w:hAnsi="Times New Roman"/>
          <w:b/>
          <w:sz w:val="20"/>
        </w:rPr>
      </w:pPr>
      <w:r>
        <w:rPr>
          <w:rFonts w:ascii="Times New Roman" w:hAnsi="Times New Roman"/>
          <w:b/>
          <w:sz w:val="20"/>
        </w:rPr>
        <w:t>(Dollars in thousands)</w:t>
      </w:r>
    </w:p>
    <w:p>
      <w:pPr>
        <w:pStyle w:val="TextBody"/>
        <w:spacing w:before="0" w:after="0"/>
        <w:ind w:left="144" w:right="144" w:hanging="0"/>
        <w:jc w:val="center"/>
        <w:rPr/>
      </w:pPr>
      <w:r>
        <w:rPr/>
        <w:t> </w:t>
      </w:r>
    </w:p>
    <w:tbl>
      <w:tblPr>
        <w:tblW w:w="5000" w:type="pct"/>
        <w:jc w:val="left"/>
        <w:tblInd w:w="0" w:type="dxa"/>
        <w:tblCellMar>
          <w:top w:w="0" w:type="dxa"/>
          <w:left w:w="0" w:type="dxa"/>
          <w:bottom w:w="0" w:type="dxa"/>
          <w:right w:w="0" w:type="dxa"/>
        </w:tblCellMar>
      </w:tblPr>
      <w:tblGrid>
        <w:gridCol w:w="5946"/>
        <w:gridCol w:w="157"/>
        <w:gridCol w:w="1830"/>
        <w:gridCol w:w="118"/>
        <w:gridCol w:w="29"/>
        <w:gridCol w:w="157"/>
        <w:gridCol w:w="1830"/>
        <w:gridCol w:w="138"/>
      </w:tblGrid>
      <w:tr>
        <w:trPr/>
        <w:tc>
          <w:tcPr>
            <w:tcW w:w="5946" w:type="dxa"/>
            <w:tcBorders/>
            <w:shd w:fill="auto" w:val="clear"/>
            <w:vAlign w:val="center"/>
          </w:tcPr>
          <w:p>
            <w:pPr>
              <w:pStyle w:val="TableContents"/>
              <w:spacing w:before="0" w:after="0"/>
              <w:ind w:left="0" w:right="0" w:hanging="0"/>
              <w:rPr/>
            </w:pPr>
            <w:r>
              <w:rPr/>
              <w:t> </w:t>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jc w:val="center"/>
              <w:rPr/>
            </w:pPr>
            <w:r>
              <w:rPr>
                <w:rFonts w:ascii="Times New Roman" w:hAnsi="Times New Roman"/>
                <w:b/>
                <w:sz w:val="18"/>
              </w:rPr>
              <w:t xml:space="preserve">Year ended </w:t>
            </w:r>
            <w:r>
              <w:rPr/>
              <w:br/>
            </w:r>
            <w:r>
              <w:rPr>
                <w:rFonts w:ascii="Times New Roman" w:hAnsi="Times New Roman"/>
                <w:b/>
                <w:sz w:val="18"/>
              </w:rPr>
              <w:t>December 31, 2020</w:t>
            </w:r>
          </w:p>
        </w:tc>
        <w:tc>
          <w:tcPr>
            <w:tcW w:w="118" w:type="dxa"/>
            <w:tcBorders/>
            <w:shd w:fill="auto" w:val="clear"/>
            <w:vAlign w:val="center"/>
          </w:tcPr>
          <w:p>
            <w:pPr>
              <w:pStyle w:val="TableContents"/>
              <w:spacing w:before="0" w:after="283"/>
              <w:ind w:left="0" w:right="0" w:hanging="0"/>
              <w:rPr/>
            </w:pPr>
            <w:r>
              <w:rPr/>
            </w:r>
          </w:p>
        </w:tc>
        <w:tc>
          <w:tcPr>
            <w:tcW w:w="29" w:type="dxa"/>
            <w:tcBorders/>
            <w:shd w:fill="auto" w:val="clear"/>
            <w:vAlign w:val="center"/>
          </w:tcPr>
          <w:p>
            <w:pPr>
              <w:pStyle w:val="TableContents"/>
              <w:spacing w:before="0" w:after="283"/>
              <w:ind w:left="0" w:right="0" w:hanging="0"/>
              <w:rPr/>
            </w:pPr>
            <w:r>
              <w:rPr/>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jc w:val="center"/>
              <w:rPr/>
            </w:pPr>
            <w:r>
              <w:rPr>
                <w:rFonts w:ascii="Times New Roman" w:hAnsi="Times New Roman"/>
                <w:b/>
                <w:sz w:val="18"/>
              </w:rPr>
              <w:t xml:space="preserve">Year ended </w:t>
            </w:r>
            <w:r>
              <w:rPr/>
              <w:br/>
            </w:r>
            <w:r>
              <w:rPr>
                <w:rFonts w:ascii="Times New Roman" w:hAnsi="Times New Roman"/>
                <w:b/>
                <w:sz w:val="18"/>
              </w:rPr>
              <w:t>December 31, 2019</w:t>
            </w:r>
          </w:p>
        </w:tc>
        <w:tc>
          <w:tcPr>
            <w:tcW w:w="138" w:type="dxa"/>
            <w:tcBorders/>
            <w:shd w:fill="auto" w:val="clear"/>
            <w:vAlign w:val="center"/>
          </w:tcPr>
          <w:p>
            <w:pPr>
              <w:pStyle w:val="TableContents"/>
              <w:spacing w:before="0" w:after="283"/>
              <w:rPr/>
            </w:pPr>
            <w:r>
              <w:rPr/>
            </w:r>
          </w:p>
        </w:tc>
      </w:tr>
      <w:tr>
        <w:trPr/>
        <w:tc>
          <w:tcPr>
            <w:tcW w:w="5946" w:type="dxa"/>
            <w:tcBorders/>
            <w:shd w:fill="CCEEFF"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 xml:space="preserve">Common stock and paid-in capital </w:t>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rPr/>
            </w:pPr>
            <w:r>
              <w:rPr/>
            </w:r>
          </w:p>
        </w:tc>
        <w:tc>
          <w:tcPr>
            <w:tcW w:w="118" w:type="dxa"/>
            <w:tcBorders/>
            <w:shd w:fill="CCEEFF" w:val="clear"/>
            <w:vAlign w:val="center"/>
          </w:tcPr>
          <w:p>
            <w:pPr>
              <w:pStyle w:val="TableContents"/>
              <w:spacing w:before="0" w:after="283"/>
              <w:ind w:left="0" w:right="0" w:hanging="0"/>
              <w:rPr/>
            </w:pPr>
            <w:r>
              <w:rPr/>
            </w:r>
          </w:p>
        </w:tc>
        <w:tc>
          <w:tcPr>
            <w:tcW w:w="29" w:type="dxa"/>
            <w:tcBorders/>
            <w:shd w:fill="CCEEFF" w:val="clear"/>
            <w:vAlign w:val="center"/>
          </w:tcPr>
          <w:p>
            <w:pPr>
              <w:pStyle w:val="TableContents"/>
              <w:spacing w:before="0" w:after="283"/>
              <w:ind w:left="0" w:right="0" w:hanging="0"/>
              <w:rPr/>
            </w:pPr>
            <w:r>
              <w:rPr/>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rPr/>
            </w:pPr>
            <w:r>
              <w:rPr/>
            </w:r>
          </w:p>
        </w:tc>
        <w:tc>
          <w:tcPr>
            <w:tcW w:w="138" w:type="dxa"/>
            <w:tcBorders/>
            <w:shd w:fill="CCEEFF" w:val="clear"/>
            <w:vAlign w:val="center"/>
          </w:tcPr>
          <w:p>
            <w:pPr>
              <w:pStyle w:val="TableContents"/>
              <w:spacing w:before="0" w:after="283"/>
              <w:rPr/>
            </w:pPr>
            <w:r>
              <w:rPr/>
            </w:r>
          </w:p>
        </w:tc>
      </w:tr>
      <w:tr>
        <w:trPr/>
        <w:tc>
          <w:tcPr>
            <w:tcW w:w="594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beginning of period </w:t>
            </w:r>
          </w:p>
        </w:tc>
        <w:tc>
          <w:tcPr>
            <w:tcW w:w="157"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58,537 </w:t>
            </w:r>
          </w:p>
        </w:tc>
        <w:tc>
          <w:tcPr>
            <w:tcW w:w="118" w:type="dxa"/>
            <w:tcBorders/>
            <w:shd w:fill="auto" w:val="clear"/>
            <w:vAlign w:val="center"/>
          </w:tcPr>
          <w:p>
            <w:pPr>
              <w:pStyle w:val="TableContents"/>
              <w:spacing w:before="0" w:after="283"/>
              <w:ind w:left="0" w:right="0" w:hanging="0"/>
              <w:rPr/>
            </w:pPr>
            <w:r>
              <w:rPr/>
            </w:r>
          </w:p>
        </w:tc>
        <w:tc>
          <w:tcPr>
            <w:tcW w:w="29" w:type="dxa"/>
            <w:tcBorders/>
            <w:shd w:fill="auto" w:val="clear"/>
            <w:vAlign w:val="center"/>
          </w:tcPr>
          <w:p>
            <w:pPr>
              <w:pStyle w:val="TableContents"/>
              <w:spacing w:before="0" w:after="283"/>
              <w:ind w:left="0" w:right="0" w:hanging="0"/>
              <w:rPr/>
            </w:pPr>
            <w:r>
              <w:rPr/>
            </w:r>
          </w:p>
        </w:tc>
        <w:tc>
          <w:tcPr>
            <w:tcW w:w="157"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57,857 </w:t>
            </w:r>
          </w:p>
        </w:tc>
        <w:tc>
          <w:tcPr>
            <w:tcW w:w="138" w:type="dxa"/>
            <w:tcBorders/>
            <w:shd w:fill="auto" w:val="clear"/>
            <w:vAlign w:val="center"/>
          </w:tcPr>
          <w:p>
            <w:pPr>
              <w:pStyle w:val="TableContents"/>
              <w:spacing w:before="0" w:after="283"/>
              <w:rPr/>
            </w:pPr>
            <w:r>
              <w:rPr/>
            </w:r>
          </w:p>
        </w:tc>
      </w:tr>
      <w:tr>
        <w:trPr/>
        <w:tc>
          <w:tcPr>
            <w:tcW w:w="594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Issuance of common stock </w:t>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4,764</w:t>
            </w:r>
          </w:p>
        </w:tc>
        <w:tc>
          <w:tcPr>
            <w:tcW w:w="118" w:type="dxa"/>
            <w:tcBorders/>
            <w:shd w:fill="CCEEFF" w:val="clear"/>
            <w:vAlign w:val="center"/>
          </w:tcPr>
          <w:p>
            <w:pPr>
              <w:pStyle w:val="TableContents"/>
              <w:spacing w:before="0" w:after="283"/>
              <w:ind w:left="0" w:right="0" w:hanging="0"/>
              <w:rPr/>
            </w:pPr>
            <w:r>
              <w:rPr/>
            </w:r>
          </w:p>
        </w:tc>
        <w:tc>
          <w:tcPr>
            <w:tcW w:w="29" w:type="dxa"/>
            <w:tcBorders/>
            <w:shd w:fill="CCEEFF" w:val="clear"/>
            <w:vAlign w:val="center"/>
          </w:tcPr>
          <w:p>
            <w:pPr>
              <w:pStyle w:val="TableContents"/>
              <w:spacing w:before="0" w:after="283"/>
              <w:ind w:left="0" w:right="0" w:hanging="0"/>
              <w:rPr/>
            </w:pPr>
            <w:r>
              <w:rPr/>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jc w:val="right"/>
              <w:rPr/>
            </w:pPr>
            <w:r>
              <w:rPr/>
              <w:t xml:space="preserve">— </w:t>
            </w:r>
          </w:p>
        </w:tc>
        <w:tc>
          <w:tcPr>
            <w:tcW w:w="138" w:type="dxa"/>
            <w:tcBorders/>
            <w:shd w:fill="CCEEFF" w:val="clear"/>
            <w:vAlign w:val="center"/>
          </w:tcPr>
          <w:p>
            <w:pPr>
              <w:pStyle w:val="TableContents"/>
              <w:spacing w:before="0" w:after="283"/>
              <w:rPr/>
            </w:pPr>
            <w:r>
              <w:rPr/>
            </w:r>
          </w:p>
        </w:tc>
      </w:tr>
      <w:tr>
        <w:trPr/>
        <w:tc>
          <w:tcPr>
            <w:tcW w:w="594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Issuance of warrants and senior convertible notes </w:t>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jc w:val="right"/>
              <w:rPr/>
            </w:pPr>
            <w:r>
              <w:rPr/>
              <w:t xml:space="preserve">— </w:t>
            </w:r>
          </w:p>
        </w:tc>
        <w:tc>
          <w:tcPr>
            <w:tcW w:w="118" w:type="dxa"/>
            <w:tcBorders/>
            <w:shd w:fill="auto" w:val="clear"/>
            <w:vAlign w:val="center"/>
          </w:tcPr>
          <w:p>
            <w:pPr>
              <w:pStyle w:val="TableContents"/>
              <w:spacing w:before="0" w:after="283"/>
              <w:ind w:left="0" w:right="0" w:hanging="0"/>
              <w:rPr/>
            </w:pPr>
            <w:r>
              <w:rPr/>
            </w:r>
          </w:p>
        </w:tc>
        <w:tc>
          <w:tcPr>
            <w:tcW w:w="29" w:type="dxa"/>
            <w:tcBorders/>
            <w:shd w:fill="auto" w:val="clear"/>
            <w:vAlign w:val="center"/>
          </w:tcPr>
          <w:p>
            <w:pPr>
              <w:pStyle w:val="TableContents"/>
              <w:spacing w:before="0" w:after="283"/>
              <w:ind w:left="0" w:right="0" w:hanging="0"/>
              <w:rPr/>
            </w:pPr>
            <w:r>
              <w:rPr/>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440</w:t>
            </w:r>
          </w:p>
        </w:tc>
        <w:tc>
          <w:tcPr>
            <w:tcW w:w="138" w:type="dxa"/>
            <w:tcBorders/>
            <w:shd w:fill="auto" w:val="clear"/>
            <w:vAlign w:val="center"/>
          </w:tcPr>
          <w:p>
            <w:pPr>
              <w:pStyle w:val="TableContents"/>
              <w:spacing w:before="0" w:after="283"/>
              <w:rPr/>
            </w:pPr>
            <w:r>
              <w:rPr/>
            </w:r>
          </w:p>
        </w:tc>
      </w:tr>
      <w:tr>
        <w:trPr/>
        <w:tc>
          <w:tcPr>
            <w:tcW w:w="594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Share-based compensation expense </w:t>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63 </w:t>
            </w:r>
          </w:p>
        </w:tc>
        <w:tc>
          <w:tcPr>
            <w:tcW w:w="118" w:type="dxa"/>
            <w:tcBorders/>
            <w:shd w:fill="CCEEFF" w:val="clear"/>
            <w:vAlign w:val="center"/>
          </w:tcPr>
          <w:p>
            <w:pPr>
              <w:pStyle w:val="TableContents"/>
              <w:spacing w:before="0" w:after="283"/>
              <w:ind w:left="0" w:right="0" w:hanging="0"/>
              <w:rPr/>
            </w:pPr>
            <w:r>
              <w:rPr/>
            </w:r>
          </w:p>
        </w:tc>
        <w:tc>
          <w:tcPr>
            <w:tcW w:w="29" w:type="dxa"/>
            <w:tcBorders/>
            <w:shd w:fill="CCEEFF" w:val="clear"/>
            <w:vAlign w:val="center"/>
          </w:tcPr>
          <w:p>
            <w:pPr>
              <w:pStyle w:val="TableContents"/>
              <w:spacing w:before="0" w:after="283"/>
              <w:ind w:left="0" w:right="0" w:hanging="0"/>
              <w:rPr/>
            </w:pPr>
            <w:r>
              <w:rPr/>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217 </w:t>
            </w:r>
          </w:p>
        </w:tc>
        <w:tc>
          <w:tcPr>
            <w:tcW w:w="138" w:type="dxa"/>
            <w:tcBorders/>
            <w:shd w:fill="CCEEFF" w:val="clear"/>
            <w:vAlign w:val="center"/>
          </w:tcPr>
          <w:p>
            <w:pPr>
              <w:pStyle w:val="TableContents"/>
              <w:spacing w:before="0" w:after="283"/>
              <w:rPr/>
            </w:pPr>
            <w:r>
              <w:rPr/>
            </w:r>
          </w:p>
        </w:tc>
      </w:tr>
      <w:tr>
        <w:trPr/>
        <w:tc>
          <w:tcPr>
            <w:tcW w:w="594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Proceeds from employee stock purchase plan </w:t>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14 </w:t>
            </w:r>
          </w:p>
        </w:tc>
        <w:tc>
          <w:tcPr>
            <w:tcW w:w="118" w:type="dxa"/>
            <w:tcBorders/>
            <w:shd w:fill="auto" w:val="clear"/>
            <w:vAlign w:val="center"/>
          </w:tcPr>
          <w:p>
            <w:pPr>
              <w:pStyle w:val="TableContents"/>
              <w:spacing w:before="0" w:after="283"/>
              <w:ind w:left="0" w:right="0" w:hanging="0"/>
              <w:rPr/>
            </w:pPr>
            <w:r>
              <w:rPr/>
            </w:r>
          </w:p>
        </w:tc>
        <w:tc>
          <w:tcPr>
            <w:tcW w:w="29" w:type="dxa"/>
            <w:tcBorders/>
            <w:shd w:fill="auto" w:val="clear"/>
            <w:vAlign w:val="center"/>
          </w:tcPr>
          <w:p>
            <w:pPr>
              <w:pStyle w:val="TableContents"/>
              <w:spacing w:before="0" w:after="283"/>
              <w:ind w:left="0" w:right="0" w:hanging="0"/>
              <w:rPr/>
            </w:pPr>
            <w:r>
              <w:rPr/>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23 </w:t>
            </w:r>
          </w:p>
        </w:tc>
        <w:tc>
          <w:tcPr>
            <w:tcW w:w="138" w:type="dxa"/>
            <w:tcBorders/>
            <w:shd w:fill="auto" w:val="clear"/>
            <w:vAlign w:val="center"/>
          </w:tcPr>
          <w:p>
            <w:pPr>
              <w:pStyle w:val="TableContents"/>
              <w:spacing w:before="0" w:after="283"/>
              <w:rPr/>
            </w:pPr>
            <w:r>
              <w:rPr/>
            </w:r>
          </w:p>
        </w:tc>
      </w:tr>
      <w:tr>
        <w:trPr/>
        <w:tc>
          <w:tcPr>
            <w:tcW w:w="594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end of period </w:t>
            </w:r>
          </w:p>
        </w:tc>
        <w:tc>
          <w:tcPr>
            <w:tcW w:w="157" w:type="dxa"/>
            <w:tcBorders>
              <w:top w:val="single" w:sz="8" w:space="0" w:color="000000"/>
              <w:bottom w:val="single" w:sz="8" w:space="0" w:color="000000"/>
            </w:tcBorders>
            <w:shd w:fill="CCEEFF"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top w:val="single" w:sz="8" w:space="0" w:color="000000"/>
              <w:bottom w:val="single" w:sz="8" w:space="0" w:color="000000"/>
            </w:tcBorders>
            <w:shd w:fill="CCEEFF"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63,378 </w:t>
            </w:r>
          </w:p>
        </w:tc>
        <w:tc>
          <w:tcPr>
            <w:tcW w:w="118" w:type="dxa"/>
            <w:tcBorders/>
            <w:shd w:fill="CCEEFF" w:val="clear"/>
            <w:vAlign w:val="center"/>
          </w:tcPr>
          <w:p>
            <w:pPr>
              <w:pStyle w:val="TableContents"/>
              <w:spacing w:before="0" w:after="283"/>
              <w:ind w:left="0" w:right="0" w:hanging="0"/>
              <w:rPr/>
            </w:pPr>
            <w:r>
              <w:rPr/>
            </w:r>
          </w:p>
        </w:tc>
        <w:tc>
          <w:tcPr>
            <w:tcW w:w="29" w:type="dxa"/>
            <w:tcBorders/>
            <w:shd w:fill="CCEEFF" w:val="clear"/>
            <w:vAlign w:val="center"/>
          </w:tcPr>
          <w:p>
            <w:pPr>
              <w:pStyle w:val="TableContents"/>
              <w:spacing w:before="0" w:after="283"/>
              <w:ind w:left="0" w:right="0" w:hanging="0"/>
              <w:rPr/>
            </w:pPr>
            <w:r>
              <w:rPr/>
            </w:r>
          </w:p>
        </w:tc>
        <w:tc>
          <w:tcPr>
            <w:tcW w:w="157" w:type="dxa"/>
            <w:tcBorders>
              <w:top w:val="single" w:sz="8" w:space="0" w:color="000000"/>
              <w:bottom w:val="single" w:sz="8" w:space="0" w:color="000000"/>
            </w:tcBorders>
            <w:shd w:fill="CCEEFF"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top w:val="single" w:sz="8" w:space="0" w:color="000000"/>
              <w:bottom w:val="single" w:sz="8" w:space="0" w:color="000000"/>
            </w:tcBorders>
            <w:shd w:fill="CCEEFF"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58,537 </w:t>
            </w:r>
          </w:p>
        </w:tc>
        <w:tc>
          <w:tcPr>
            <w:tcW w:w="138" w:type="dxa"/>
            <w:tcBorders/>
            <w:shd w:fill="CCEEFF" w:val="clear"/>
            <w:vAlign w:val="center"/>
          </w:tcPr>
          <w:p>
            <w:pPr>
              <w:pStyle w:val="TableContents"/>
              <w:spacing w:before="0" w:after="283"/>
              <w:rPr/>
            </w:pPr>
            <w:r>
              <w:rPr/>
            </w:r>
          </w:p>
        </w:tc>
      </w:tr>
      <w:tr>
        <w:trPr/>
        <w:tc>
          <w:tcPr>
            <w:tcW w:w="5946" w:type="dxa"/>
            <w:tcBorders/>
            <w:shd w:fill="auto" w:val="clear"/>
            <w:vAlign w:val="center"/>
          </w:tcPr>
          <w:p>
            <w:pPr>
              <w:pStyle w:val="TableContents"/>
              <w:spacing w:before="0" w:after="0"/>
              <w:ind w:left="0" w:right="0" w:hanging="0"/>
              <w:rPr/>
            </w:pPr>
            <w:r>
              <w:rPr/>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rPr/>
            </w:pPr>
            <w:r>
              <w:rPr/>
            </w:r>
          </w:p>
        </w:tc>
        <w:tc>
          <w:tcPr>
            <w:tcW w:w="118" w:type="dxa"/>
            <w:tcBorders/>
            <w:shd w:fill="auto" w:val="clear"/>
            <w:vAlign w:val="center"/>
          </w:tcPr>
          <w:p>
            <w:pPr>
              <w:pStyle w:val="TableContents"/>
              <w:spacing w:before="0" w:after="283"/>
              <w:ind w:left="0" w:right="0" w:hanging="0"/>
              <w:rPr/>
            </w:pPr>
            <w:r>
              <w:rPr/>
            </w:r>
          </w:p>
        </w:tc>
        <w:tc>
          <w:tcPr>
            <w:tcW w:w="29" w:type="dxa"/>
            <w:tcBorders/>
            <w:shd w:fill="auto" w:val="clear"/>
            <w:vAlign w:val="center"/>
          </w:tcPr>
          <w:p>
            <w:pPr>
              <w:pStyle w:val="TableContents"/>
              <w:spacing w:before="0" w:after="283"/>
              <w:ind w:left="0" w:right="0" w:hanging="0"/>
              <w:rPr/>
            </w:pPr>
            <w:r>
              <w:rPr/>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rPr/>
            </w:pPr>
            <w:r>
              <w:rPr/>
            </w:r>
          </w:p>
        </w:tc>
        <w:tc>
          <w:tcPr>
            <w:tcW w:w="138" w:type="dxa"/>
            <w:tcBorders/>
            <w:shd w:fill="auto" w:val="clear"/>
            <w:vAlign w:val="center"/>
          </w:tcPr>
          <w:p>
            <w:pPr>
              <w:pStyle w:val="TableContents"/>
              <w:spacing w:before="0" w:after="283"/>
              <w:rPr/>
            </w:pPr>
            <w:r>
              <w:rPr/>
            </w:r>
          </w:p>
        </w:tc>
      </w:tr>
      <w:tr>
        <w:trPr/>
        <w:tc>
          <w:tcPr>
            <w:tcW w:w="5946" w:type="dxa"/>
            <w:tcBorders/>
            <w:shd w:fill="CCEEFF"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 xml:space="preserve">Accumulated other comprehensive loss </w:t>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rPr/>
            </w:pPr>
            <w:r>
              <w:rPr/>
            </w:r>
          </w:p>
        </w:tc>
        <w:tc>
          <w:tcPr>
            <w:tcW w:w="118" w:type="dxa"/>
            <w:tcBorders/>
            <w:shd w:fill="CCEEFF" w:val="clear"/>
            <w:vAlign w:val="center"/>
          </w:tcPr>
          <w:p>
            <w:pPr>
              <w:pStyle w:val="TableContents"/>
              <w:spacing w:before="0" w:after="283"/>
              <w:ind w:left="0" w:right="0" w:hanging="0"/>
              <w:rPr/>
            </w:pPr>
            <w:r>
              <w:rPr/>
            </w:r>
          </w:p>
        </w:tc>
        <w:tc>
          <w:tcPr>
            <w:tcW w:w="29" w:type="dxa"/>
            <w:tcBorders/>
            <w:shd w:fill="CCEEFF" w:val="clear"/>
            <w:vAlign w:val="center"/>
          </w:tcPr>
          <w:p>
            <w:pPr>
              <w:pStyle w:val="TableContents"/>
              <w:spacing w:before="0" w:after="283"/>
              <w:ind w:left="0" w:right="0" w:hanging="0"/>
              <w:rPr/>
            </w:pPr>
            <w:r>
              <w:rPr/>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rPr/>
            </w:pPr>
            <w:r>
              <w:rPr/>
            </w:r>
          </w:p>
        </w:tc>
        <w:tc>
          <w:tcPr>
            <w:tcW w:w="138" w:type="dxa"/>
            <w:tcBorders/>
            <w:shd w:fill="CCEEFF" w:val="clear"/>
            <w:vAlign w:val="center"/>
          </w:tcPr>
          <w:p>
            <w:pPr>
              <w:pStyle w:val="TableContents"/>
              <w:spacing w:before="0" w:after="283"/>
              <w:rPr/>
            </w:pPr>
            <w:r>
              <w:rPr/>
            </w:r>
          </w:p>
        </w:tc>
      </w:tr>
      <w:tr>
        <w:trPr/>
        <w:tc>
          <w:tcPr>
            <w:tcW w:w="594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beginning of period </w:t>
            </w:r>
          </w:p>
        </w:tc>
        <w:tc>
          <w:tcPr>
            <w:tcW w:w="157"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(176 </w:t>
            </w:r>
          </w:p>
        </w:tc>
        <w:tc>
          <w:tcPr>
            <w:tcW w:w="118" w:type="dxa"/>
            <w:tcBorders/>
            <w:shd w:fill="auto" w:val="clear"/>
            <w:vAlign w:val="center"/>
          </w:tcPr>
          <w:p>
            <w:pPr>
              <w:pStyle w:val="TableContents"/>
              <w:spacing w:before="0" w:after="0"/>
              <w:ind w:left="0" w:right="0" w:hanging="0"/>
              <w:jc w:val="left"/>
              <w:rPr/>
            </w:pPr>
            <w:r>
              <w:rPr/>
              <w:t>)</w:t>
            </w:r>
          </w:p>
        </w:tc>
        <w:tc>
          <w:tcPr>
            <w:tcW w:w="29" w:type="dxa"/>
            <w:tcBorders/>
            <w:shd w:fill="auto" w:val="clear"/>
            <w:vAlign w:val="center"/>
          </w:tcPr>
          <w:p>
            <w:pPr>
              <w:pStyle w:val="TableContents"/>
              <w:spacing w:before="0" w:after="283"/>
              <w:ind w:left="0" w:right="0" w:hanging="0"/>
              <w:rPr/>
            </w:pPr>
            <w:r>
              <w:rPr/>
            </w:r>
          </w:p>
        </w:tc>
        <w:tc>
          <w:tcPr>
            <w:tcW w:w="157"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(181 </w:t>
            </w:r>
          </w:p>
        </w:tc>
        <w:tc>
          <w:tcPr>
            <w:tcW w:w="138" w:type="dxa"/>
            <w:tcBorders/>
            <w:shd w:fill="auto" w:val="clear"/>
            <w:vAlign w:val="center"/>
          </w:tcPr>
          <w:p>
            <w:pPr>
              <w:pStyle w:val="TableContents"/>
              <w:spacing w:before="0" w:after="0"/>
              <w:jc w:val="left"/>
              <w:rPr/>
            </w:pPr>
            <w:r>
              <w:rPr/>
              <w:t>)</w:t>
            </w:r>
          </w:p>
        </w:tc>
      </w:tr>
      <w:tr>
        <w:trPr/>
        <w:tc>
          <w:tcPr>
            <w:tcW w:w="594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Unrealized gain on available-for-sale securities, net of tax </w:t>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8 </w:t>
            </w:r>
          </w:p>
        </w:tc>
        <w:tc>
          <w:tcPr>
            <w:tcW w:w="118" w:type="dxa"/>
            <w:tcBorders/>
            <w:shd w:fill="CCEEFF" w:val="clear"/>
            <w:vAlign w:val="center"/>
          </w:tcPr>
          <w:p>
            <w:pPr>
              <w:pStyle w:val="TableContents"/>
              <w:spacing w:before="0" w:after="283"/>
              <w:ind w:left="0" w:right="0" w:hanging="0"/>
              <w:rPr/>
            </w:pPr>
            <w:r>
              <w:rPr/>
            </w:r>
          </w:p>
        </w:tc>
        <w:tc>
          <w:tcPr>
            <w:tcW w:w="29" w:type="dxa"/>
            <w:tcBorders/>
            <w:shd w:fill="CCEEFF" w:val="clear"/>
            <w:vAlign w:val="center"/>
          </w:tcPr>
          <w:p>
            <w:pPr>
              <w:pStyle w:val="TableContents"/>
              <w:spacing w:before="0" w:after="283"/>
              <w:ind w:left="0" w:right="0" w:hanging="0"/>
              <w:rPr/>
            </w:pPr>
            <w:r>
              <w:rPr/>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68</w:t>
            </w:r>
          </w:p>
        </w:tc>
        <w:tc>
          <w:tcPr>
            <w:tcW w:w="138" w:type="dxa"/>
            <w:tcBorders/>
            <w:shd w:fill="CCEEFF" w:val="clear"/>
            <w:vAlign w:val="center"/>
          </w:tcPr>
          <w:p>
            <w:pPr>
              <w:pStyle w:val="TableContents"/>
              <w:spacing w:before="0" w:after="283"/>
              <w:rPr>
                <w:sz w:val="4"/>
                <w:szCs w:val="4"/>
              </w:rPr>
            </w:pPr>
            <w:r>
              <w:rPr>
                <w:sz w:val="4"/>
                <w:szCs w:val="4"/>
              </w:rPr>
            </w:r>
          </w:p>
        </w:tc>
      </w:tr>
      <w:tr>
        <w:trPr/>
        <w:tc>
          <w:tcPr>
            <w:tcW w:w="594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Foreign currency translation adjustment </w:t>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(18</w:t>
            </w:r>
          </w:p>
        </w:tc>
        <w:tc>
          <w:tcPr>
            <w:tcW w:w="118" w:type="dxa"/>
            <w:tcBorders/>
            <w:shd w:fill="auto" w:val="clear"/>
            <w:vAlign w:val="center"/>
          </w:tcPr>
          <w:p>
            <w:pPr>
              <w:pStyle w:val="TableContents"/>
              <w:spacing w:before="0" w:after="0"/>
              <w:ind w:left="0" w:right="0" w:hanging="0"/>
              <w:jc w:val="left"/>
              <w:rPr/>
            </w:pPr>
            <w:r>
              <w:rPr/>
              <w:t>)</w:t>
            </w:r>
          </w:p>
        </w:tc>
        <w:tc>
          <w:tcPr>
            <w:tcW w:w="29" w:type="dxa"/>
            <w:tcBorders/>
            <w:shd w:fill="auto" w:val="clear"/>
            <w:vAlign w:val="center"/>
          </w:tcPr>
          <w:p>
            <w:pPr>
              <w:pStyle w:val="TableContents"/>
              <w:spacing w:before="0" w:after="283"/>
              <w:ind w:left="0" w:right="0" w:hanging="0"/>
              <w:rPr/>
            </w:pPr>
            <w:r>
              <w:rPr/>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(63 </w:t>
            </w:r>
          </w:p>
        </w:tc>
        <w:tc>
          <w:tcPr>
            <w:tcW w:w="138" w:type="dxa"/>
            <w:tcBorders/>
            <w:shd w:fill="auto" w:val="clear"/>
            <w:vAlign w:val="center"/>
          </w:tcPr>
          <w:p>
            <w:pPr>
              <w:pStyle w:val="TableContents"/>
              <w:spacing w:before="0" w:after="0"/>
              <w:jc w:val="left"/>
              <w:rPr/>
            </w:pPr>
            <w:r>
              <w:rPr/>
              <w:t>)</w:t>
            </w:r>
          </w:p>
        </w:tc>
      </w:tr>
      <w:tr>
        <w:trPr/>
        <w:tc>
          <w:tcPr>
            <w:tcW w:w="594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end of period </w:t>
            </w:r>
          </w:p>
        </w:tc>
        <w:tc>
          <w:tcPr>
            <w:tcW w:w="157" w:type="dxa"/>
            <w:tcBorders>
              <w:top w:val="single" w:sz="8" w:space="0" w:color="000000"/>
              <w:bottom w:val="single" w:sz="8" w:space="0" w:color="000000"/>
            </w:tcBorders>
            <w:shd w:fill="CCEEFF"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top w:val="single" w:sz="8" w:space="0" w:color="000000"/>
              <w:bottom w:val="single" w:sz="8" w:space="0" w:color="000000"/>
            </w:tcBorders>
            <w:shd w:fill="CCEEFF"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(186 </w:t>
            </w:r>
          </w:p>
        </w:tc>
        <w:tc>
          <w:tcPr>
            <w:tcW w:w="118" w:type="dxa"/>
            <w:tcBorders/>
            <w:shd w:fill="CCEEFF" w:val="clear"/>
            <w:vAlign w:val="center"/>
          </w:tcPr>
          <w:p>
            <w:pPr>
              <w:pStyle w:val="TableContents"/>
              <w:spacing w:before="0" w:after="0"/>
              <w:ind w:left="0" w:right="0" w:hanging="0"/>
              <w:jc w:val="left"/>
              <w:rPr/>
            </w:pPr>
            <w:r>
              <w:rPr/>
              <w:t>)</w:t>
            </w:r>
          </w:p>
        </w:tc>
        <w:tc>
          <w:tcPr>
            <w:tcW w:w="29" w:type="dxa"/>
            <w:tcBorders/>
            <w:shd w:fill="CCEEFF" w:val="clear"/>
            <w:vAlign w:val="center"/>
          </w:tcPr>
          <w:p>
            <w:pPr>
              <w:pStyle w:val="TableContents"/>
              <w:spacing w:before="0" w:after="283"/>
              <w:ind w:left="0" w:right="0" w:hanging="0"/>
              <w:rPr/>
            </w:pPr>
            <w:r>
              <w:rPr/>
            </w:r>
          </w:p>
        </w:tc>
        <w:tc>
          <w:tcPr>
            <w:tcW w:w="157" w:type="dxa"/>
            <w:tcBorders>
              <w:top w:val="single" w:sz="8" w:space="0" w:color="000000"/>
              <w:bottom w:val="single" w:sz="8" w:space="0" w:color="000000"/>
            </w:tcBorders>
            <w:shd w:fill="CCEEFF"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top w:val="single" w:sz="8" w:space="0" w:color="000000"/>
              <w:bottom w:val="single" w:sz="8" w:space="0" w:color="000000"/>
            </w:tcBorders>
            <w:shd w:fill="CCEEFF"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(176 </w:t>
            </w:r>
          </w:p>
        </w:tc>
        <w:tc>
          <w:tcPr>
            <w:tcW w:w="138" w:type="dxa"/>
            <w:tcBorders/>
            <w:shd w:fill="CCEEFF" w:val="clear"/>
            <w:vAlign w:val="center"/>
          </w:tcPr>
          <w:p>
            <w:pPr>
              <w:pStyle w:val="TableContents"/>
              <w:spacing w:before="0" w:after="0"/>
              <w:jc w:val="left"/>
              <w:rPr/>
            </w:pPr>
            <w:r>
              <w:rPr/>
              <w:t>)</w:t>
            </w:r>
          </w:p>
        </w:tc>
      </w:tr>
      <w:tr>
        <w:trPr/>
        <w:tc>
          <w:tcPr>
            <w:tcW w:w="5946" w:type="dxa"/>
            <w:tcBorders/>
            <w:shd w:fill="auto" w:val="clear"/>
            <w:vAlign w:val="center"/>
          </w:tcPr>
          <w:p>
            <w:pPr>
              <w:pStyle w:val="TableContents"/>
              <w:spacing w:before="0" w:after="0"/>
              <w:ind w:left="0" w:right="0" w:hanging="0"/>
              <w:rPr/>
            </w:pPr>
            <w:r>
              <w:rPr/>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rPr/>
            </w:pPr>
            <w:r>
              <w:rPr/>
            </w:r>
          </w:p>
        </w:tc>
        <w:tc>
          <w:tcPr>
            <w:tcW w:w="118" w:type="dxa"/>
            <w:tcBorders/>
            <w:shd w:fill="auto" w:val="clear"/>
            <w:vAlign w:val="center"/>
          </w:tcPr>
          <w:p>
            <w:pPr>
              <w:pStyle w:val="TableContents"/>
              <w:spacing w:before="0" w:after="283"/>
              <w:ind w:left="0" w:right="0" w:hanging="0"/>
              <w:rPr/>
            </w:pPr>
            <w:r>
              <w:rPr/>
            </w:r>
          </w:p>
        </w:tc>
        <w:tc>
          <w:tcPr>
            <w:tcW w:w="29" w:type="dxa"/>
            <w:tcBorders/>
            <w:shd w:fill="auto" w:val="clear"/>
            <w:vAlign w:val="center"/>
          </w:tcPr>
          <w:p>
            <w:pPr>
              <w:pStyle w:val="TableContents"/>
              <w:spacing w:before="0" w:after="283"/>
              <w:ind w:left="0" w:right="0" w:hanging="0"/>
              <w:rPr/>
            </w:pPr>
            <w:r>
              <w:rPr/>
            </w:r>
          </w:p>
        </w:tc>
        <w:tc>
          <w:tcPr>
            <w:tcW w:w="157" w:type="dxa"/>
            <w:tcBorders/>
            <w:shd w:fill="auto" w:val="clear"/>
            <w:vAlign w:val="center"/>
          </w:tcPr>
          <w:p>
            <w:pPr>
              <w:pStyle w:val="TableContents"/>
              <w:spacing w:before="0" w:after="283"/>
              <w:ind w:left="0" w:right="0" w:hanging="0"/>
              <w:rPr/>
            </w:pPr>
            <w:r>
              <w:rPr/>
            </w:r>
          </w:p>
        </w:tc>
        <w:tc>
          <w:tcPr>
            <w:tcW w:w="1830" w:type="dxa"/>
            <w:tcBorders/>
            <w:shd w:fill="auto" w:val="clear"/>
            <w:vAlign w:val="center"/>
          </w:tcPr>
          <w:p>
            <w:pPr>
              <w:pStyle w:val="TableContents"/>
              <w:pBdr/>
              <w:spacing w:before="0" w:after="0"/>
              <w:ind w:left="0" w:right="0" w:hanging="0"/>
              <w:rPr/>
            </w:pPr>
            <w:r>
              <w:rPr/>
            </w:r>
          </w:p>
        </w:tc>
        <w:tc>
          <w:tcPr>
            <w:tcW w:w="138" w:type="dxa"/>
            <w:tcBorders/>
            <w:shd w:fill="auto" w:val="clear"/>
            <w:vAlign w:val="center"/>
          </w:tcPr>
          <w:p>
            <w:pPr>
              <w:pStyle w:val="TableContents"/>
              <w:spacing w:before="0" w:after="283"/>
              <w:rPr/>
            </w:pPr>
            <w:r>
              <w:rPr/>
            </w:r>
          </w:p>
        </w:tc>
      </w:tr>
      <w:tr>
        <w:trPr/>
        <w:tc>
          <w:tcPr>
            <w:tcW w:w="5946" w:type="dxa"/>
            <w:tcBorders/>
            <w:shd w:fill="CCEEFF"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Accumulated deficit</w:t>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rPr/>
            </w:pPr>
            <w:r>
              <w:rPr/>
            </w:r>
          </w:p>
        </w:tc>
        <w:tc>
          <w:tcPr>
            <w:tcW w:w="118" w:type="dxa"/>
            <w:tcBorders/>
            <w:shd w:fill="CCEEFF" w:val="clear"/>
            <w:vAlign w:val="center"/>
          </w:tcPr>
          <w:p>
            <w:pPr>
              <w:pStyle w:val="TableContents"/>
              <w:spacing w:before="0" w:after="283"/>
              <w:ind w:left="0" w:right="0" w:hanging="0"/>
              <w:rPr/>
            </w:pPr>
            <w:r>
              <w:rPr/>
            </w:r>
          </w:p>
        </w:tc>
        <w:tc>
          <w:tcPr>
            <w:tcW w:w="29" w:type="dxa"/>
            <w:tcBorders/>
            <w:shd w:fill="CCEEFF" w:val="clear"/>
            <w:vAlign w:val="center"/>
          </w:tcPr>
          <w:p>
            <w:pPr>
              <w:pStyle w:val="TableContents"/>
              <w:spacing w:before="0" w:after="283"/>
              <w:ind w:left="0" w:right="0" w:hanging="0"/>
              <w:rPr/>
            </w:pPr>
            <w:r>
              <w:rPr/>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rPr/>
            </w:pPr>
            <w:r>
              <w:rPr/>
            </w:r>
          </w:p>
        </w:tc>
        <w:tc>
          <w:tcPr>
            <w:tcW w:w="138" w:type="dxa"/>
            <w:tcBorders/>
            <w:shd w:fill="CCEEFF" w:val="clear"/>
            <w:vAlign w:val="center"/>
          </w:tcPr>
          <w:p>
            <w:pPr>
              <w:pStyle w:val="TableContents"/>
              <w:spacing w:before="0" w:after="283"/>
              <w:rPr/>
            </w:pPr>
            <w:r>
              <w:rPr/>
            </w:r>
          </w:p>
        </w:tc>
      </w:tr>
      <w:tr>
        <w:trPr/>
        <w:tc>
          <w:tcPr>
            <w:tcW w:w="594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beginning of period </w:t>
            </w:r>
          </w:p>
        </w:tc>
        <w:tc>
          <w:tcPr>
            <w:tcW w:w="157"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(13,883 </w:t>
            </w:r>
          </w:p>
        </w:tc>
        <w:tc>
          <w:tcPr>
            <w:tcW w:w="118" w:type="dxa"/>
            <w:tcBorders/>
            <w:shd w:fill="auto" w:val="clear"/>
            <w:vAlign w:val="center"/>
          </w:tcPr>
          <w:p>
            <w:pPr>
              <w:pStyle w:val="TableContents"/>
              <w:spacing w:before="0" w:after="0"/>
              <w:ind w:left="0" w:right="0" w:hanging="0"/>
              <w:jc w:val="left"/>
              <w:rPr/>
            </w:pPr>
            <w:r>
              <w:rPr/>
              <w:t>)</w:t>
            </w:r>
          </w:p>
        </w:tc>
        <w:tc>
          <w:tcPr>
            <w:tcW w:w="29" w:type="dxa"/>
            <w:tcBorders/>
            <w:shd w:fill="auto" w:val="clear"/>
            <w:vAlign w:val="center"/>
          </w:tcPr>
          <w:p>
            <w:pPr>
              <w:pStyle w:val="TableContents"/>
              <w:spacing w:before="0" w:after="283"/>
              <w:ind w:left="0" w:right="0" w:hanging="0"/>
              <w:rPr/>
            </w:pPr>
            <w:r>
              <w:rPr/>
            </w:r>
          </w:p>
        </w:tc>
        <w:tc>
          <w:tcPr>
            <w:tcW w:w="157"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(5,475</w:t>
            </w:r>
          </w:p>
        </w:tc>
        <w:tc>
          <w:tcPr>
            <w:tcW w:w="138" w:type="dxa"/>
            <w:tcBorders/>
            <w:shd w:fill="auto" w:val="clear"/>
            <w:vAlign w:val="center"/>
          </w:tcPr>
          <w:p>
            <w:pPr>
              <w:pStyle w:val="TableContents"/>
              <w:spacing w:before="0" w:after="0"/>
              <w:jc w:val="left"/>
              <w:rPr/>
            </w:pPr>
            <w:r>
              <w:rPr/>
              <w:t>)</w:t>
            </w:r>
          </w:p>
        </w:tc>
      </w:tr>
      <w:tr>
        <w:trPr/>
        <w:tc>
          <w:tcPr>
            <w:tcW w:w="594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income (loss)</w:t>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505</w:t>
            </w:r>
          </w:p>
        </w:tc>
        <w:tc>
          <w:tcPr>
            <w:tcW w:w="118" w:type="dxa"/>
            <w:tcBorders/>
            <w:shd w:fill="CCEEFF" w:val="clear"/>
            <w:vAlign w:val="center"/>
          </w:tcPr>
          <w:p>
            <w:pPr>
              <w:pStyle w:val="TableContents"/>
              <w:spacing w:before="0" w:after="283"/>
              <w:ind w:left="0" w:right="0" w:hanging="0"/>
              <w:rPr>
                <w:sz w:val="4"/>
                <w:szCs w:val="4"/>
              </w:rPr>
            </w:pPr>
            <w:r>
              <w:rPr>
                <w:sz w:val="4"/>
                <w:szCs w:val="4"/>
              </w:rPr>
            </w:r>
          </w:p>
        </w:tc>
        <w:tc>
          <w:tcPr>
            <w:tcW w:w="29" w:type="dxa"/>
            <w:tcBorders/>
            <w:shd w:fill="CCEEFF" w:val="clear"/>
            <w:vAlign w:val="center"/>
          </w:tcPr>
          <w:p>
            <w:pPr>
              <w:pStyle w:val="TableContents"/>
              <w:spacing w:before="0" w:after="283"/>
              <w:ind w:left="0" w:right="0" w:hanging="0"/>
              <w:rPr/>
            </w:pPr>
            <w:r>
              <w:rPr/>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(8,408 </w:t>
            </w:r>
          </w:p>
        </w:tc>
        <w:tc>
          <w:tcPr>
            <w:tcW w:w="138" w:type="dxa"/>
            <w:tcBorders/>
            <w:shd w:fill="CCEEFF" w:val="clear"/>
            <w:vAlign w:val="center"/>
          </w:tcPr>
          <w:p>
            <w:pPr>
              <w:pStyle w:val="TableContents"/>
              <w:spacing w:before="0" w:after="0"/>
              <w:jc w:val="left"/>
              <w:rPr/>
            </w:pPr>
            <w:r>
              <w:rPr/>
              <w:t>)</w:t>
            </w:r>
          </w:p>
        </w:tc>
      </w:tr>
      <w:tr>
        <w:trPr/>
        <w:tc>
          <w:tcPr>
            <w:tcW w:w="594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end of period </w:t>
            </w:r>
          </w:p>
        </w:tc>
        <w:tc>
          <w:tcPr>
            <w:tcW w:w="157" w:type="dxa"/>
            <w:tcBorders>
              <w:top w:val="single" w:sz="8" w:space="0" w:color="000000"/>
              <w:bottom w:val="single" w:sz="8" w:space="0" w:color="000000"/>
            </w:tcBorders>
            <w:shd w:fill="auto"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top w:val="single" w:sz="8" w:space="0" w:color="000000"/>
              <w:bottom w:val="single" w:sz="8" w:space="0" w:color="000000"/>
            </w:tcBorders>
            <w:shd w:fill="auto"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(13,378 </w:t>
            </w:r>
          </w:p>
        </w:tc>
        <w:tc>
          <w:tcPr>
            <w:tcW w:w="118" w:type="dxa"/>
            <w:tcBorders/>
            <w:shd w:fill="auto" w:val="clear"/>
            <w:vAlign w:val="center"/>
          </w:tcPr>
          <w:p>
            <w:pPr>
              <w:pStyle w:val="TableContents"/>
              <w:spacing w:before="0" w:after="0"/>
              <w:ind w:left="0" w:right="0" w:hanging="0"/>
              <w:jc w:val="left"/>
              <w:rPr/>
            </w:pPr>
            <w:r>
              <w:rPr/>
              <w:t>)</w:t>
            </w:r>
          </w:p>
        </w:tc>
        <w:tc>
          <w:tcPr>
            <w:tcW w:w="29" w:type="dxa"/>
            <w:tcBorders/>
            <w:shd w:fill="auto" w:val="clear"/>
            <w:vAlign w:val="center"/>
          </w:tcPr>
          <w:p>
            <w:pPr>
              <w:pStyle w:val="TableContents"/>
              <w:spacing w:before="0" w:after="283"/>
              <w:ind w:left="0" w:right="0" w:hanging="0"/>
              <w:rPr/>
            </w:pPr>
            <w:r>
              <w:rPr/>
            </w:r>
          </w:p>
        </w:tc>
        <w:tc>
          <w:tcPr>
            <w:tcW w:w="157" w:type="dxa"/>
            <w:tcBorders>
              <w:top w:val="single" w:sz="8" w:space="0" w:color="000000"/>
              <w:bottom w:val="single" w:sz="8" w:space="0" w:color="000000"/>
            </w:tcBorders>
            <w:shd w:fill="auto"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top w:val="single" w:sz="8" w:space="0" w:color="000000"/>
              <w:bottom w:val="single" w:sz="8" w:space="0" w:color="000000"/>
            </w:tcBorders>
            <w:shd w:fill="auto"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(13,883 </w:t>
            </w:r>
          </w:p>
        </w:tc>
        <w:tc>
          <w:tcPr>
            <w:tcW w:w="138" w:type="dxa"/>
            <w:tcBorders/>
            <w:shd w:fill="auto" w:val="clear"/>
            <w:vAlign w:val="center"/>
          </w:tcPr>
          <w:p>
            <w:pPr>
              <w:pStyle w:val="TableContents"/>
              <w:spacing w:before="0" w:after="0"/>
              <w:jc w:val="left"/>
              <w:rPr/>
            </w:pPr>
            <w:r>
              <w:rPr/>
              <w:t>)</w:t>
            </w:r>
          </w:p>
        </w:tc>
      </w:tr>
      <w:tr>
        <w:trPr/>
        <w:tc>
          <w:tcPr>
            <w:tcW w:w="5946" w:type="dxa"/>
            <w:tcBorders/>
            <w:shd w:fill="CCEEFF" w:val="clear"/>
            <w:vAlign w:val="center"/>
          </w:tcPr>
          <w:p>
            <w:pPr>
              <w:pStyle w:val="TableContents"/>
              <w:spacing w:before="0" w:after="0"/>
              <w:ind w:left="0" w:right="0" w:hanging="0"/>
              <w:rPr/>
            </w:pPr>
            <w:r>
              <w:rPr/>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rPr/>
            </w:pPr>
            <w:r>
              <w:rPr/>
            </w:r>
          </w:p>
        </w:tc>
        <w:tc>
          <w:tcPr>
            <w:tcW w:w="118" w:type="dxa"/>
            <w:tcBorders/>
            <w:shd w:fill="CCEEFF" w:val="clear"/>
            <w:vAlign w:val="center"/>
          </w:tcPr>
          <w:p>
            <w:pPr>
              <w:pStyle w:val="TableContents"/>
              <w:spacing w:before="0" w:after="283"/>
              <w:ind w:left="0" w:right="0" w:hanging="0"/>
              <w:rPr/>
            </w:pPr>
            <w:r>
              <w:rPr/>
            </w:r>
          </w:p>
        </w:tc>
        <w:tc>
          <w:tcPr>
            <w:tcW w:w="29" w:type="dxa"/>
            <w:tcBorders/>
            <w:shd w:fill="CCEEFF" w:val="clear"/>
            <w:vAlign w:val="center"/>
          </w:tcPr>
          <w:p>
            <w:pPr>
              <w:pStyle w:val="TableContents"/>
              <w:spacing w:before="0" w:after="283"/>
              <w:ind w:left="0" w:right="0" w:hanging="0"/>
              <w:rPr/>
            </w:pPr>
            <w:r>
              <w:rPr/>
            </w:r>
          </w:p>
        </w:tc>
        <w:tc>
          <w:tcPr>
            <w:tcW w:w="157" w:type="dxa"/>
            <w:tcBorders/>
            <w:shd w:fill="CCEEFF" w:val="clear"/>
            <w:vAlign w:val="center"/>
          </w:tcPr>
          <w:p>
            <w:pPr>
              <w:pStyle w:val="TableContents"/>
              <w:spacing w:before="0" w:after="283"/>
              <w:ind w:left="0" w:right="0" w:hanging="0"/>
              <w:rPr/>
            </w:pPr>
            <w:r>
              <w:rPr/>
            </w:r>
          </w:p>
        </w:tc>
        <w:tc>
          <w:tcPr>
            <w:tcW w:w="1830" w:type="dxa"/>
            <w:tcBorders/>
            <w:shd w:fill="CCEEFF" w:val="clear"/>
            <w:vAlign w:val="center"/>
          </w:tcPr>
          <w:p>
            <w:pPr>
              <w:pStyle w:val="TableContents"/>
              <w:pBdr/>
              <w:spacing w:before="0" w:after="0"/>
              <w:ind w:left="0" w:right="0" w:hanging="0"/>
              <w:rPr/>
            </w:pPr>
            <w:r>
              <w:rPr/>
            </w:r>
          </w:p>
        </w:tc>
        <w:tc>
          <w:tcPr>
            <w:tcW w:w="138" w:type="dxa"/>
            <w:tcBorders/>
            <w:shd w:fill="CCEEFF" w:val="clear"/>
            <w:vAlign w:val="center"/>
          </w:tcPr>
          <w:p>
            <w:pPr>
              <w:pStyle w:val="TableContents"/>
              <w:spacing w:before="0" w:after="283"/>
              <w:ind w:left="0" w:right="0" w:hanging="0"/>
              <w:rPr/>
            </w:pPr>
            <w:r>
              <w:rPr/>
            </w:r>
          </w:p>
        </w:tc>
      </w:tr>
      <w:tr>
        <w:trPr/>
        <w:tc>
          <w:tcPr>
            <w:tcW w:w="594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shareholders' equity </w:t>
            </w:r>
          </w:p>
        </w:tc>
        <w:tc>
          <w:tcPr>
            <w:tcW w:w="157" w:type="dxa"/>
            <w:tcBorders>
              <w:bottom w:val="double" w:sz="7" w:space="0" w:color="000000"/>
            </w:tcBorders>
            <w:shd w:fill="auto" w:val="clear"/>
            <w:tcMar>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bottom w:val="double" w:sz="7"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49,814 </w:t>
            </w:r>
          </w:p>
        </w:tc>
        <w:tc>
          <w:tcPr>
            <w:tcW w:w="118" w:type="dxa"/>
            <w:tcBorders/>
            <w:shd w:fill="auto" w:val="clear"/>
            <w:vAlign w:val="center"/>
          </w:tcPr>
          <w:p>
            <w:pPr>
              <w:pStyle w:val="TableContents"/>
              <w:spacing w:before="0" w:after="283"/>
              <w:ind w:left="0" w:right="0" w:hanging="0"/>
              <w:rPr/>
            </w:pPr>
            <w:r>
              <w:rPr/>
            </w:r>
          </w:p>
        </w:tc>
        <w:tc>
          <w:tcPr>
            <w:tcW w:w="29" w:type="dxa"/>
            <w:tcBorders/>
            <w:shd w:fill="auto" w:val="clear"/>
            <w:vAlign w:val="center"/>
          </w:tcPr>
          <w:p>
            <w:pPr>
              <w:pStyle w:val="TableContents"/>
              <w:spacing w:before="0" w:after="283"/>
              <w:ind w:left="0" w:right="0" w:hanging="0"/>
              <w:rPr/>
            </w:pPr>
            <w:r>
              <w:rPr/>
            </w:r>
          </w:p>
        </w:tc>
        <w:tc>
          <w:tcPr>
            <w:tcW w:w="157" w:type="dxa"/>
            <w:tcBorders>
              <w:bottom w:val="double" w:sz="7" w:space="0" w:color="000000"/>
            </w:tcBorders>
            <w:shd w:fill="auto" w:val="clear"/>
            <w:tcMar>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30" w:type="dxa"/>
            <w:tcBorders>
              <w:bottom w:val="double" w:sz="7"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 xml:space="preserve">44,478 </w:t>
            </w:r>
          </w:p>
        </w:tc>
        <w:tc>
          <w:tcPr>
            <w:tcW w:w="138" w:type="dxa"/>
            <w:tcBorders/>
            <w:shd w:fill="auto" w:val="clear"/>
            <w:vAlign w:val="center"/>
          </w:tcPr>
          <w:p>
            <w:pPr>
              <w:pStyle w:val="TableContents"/>
              <w:spacing w:before="0" w:after="283"/>
              <w:rPr/>
            </w:pPr>
            <w:r>
              <w:rPr/>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See accompanying notes</w:t>
      </w:r>
    </w:p>
    <w:p>
      <w:pPr>
        <w:pStyle w:val="TextBody"/>
        <w:spacing w:before="0" w:after="0"/>
        <w:ind w:left="0" w:right="0" w:hanging="0"/>
        <w:jc w:val="center"/>
        <w:rPr/>
      </w:pPr>
      <w:r>
        <w:rPr/>
        <w:t> </w:t>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F-5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rFonts w:ascii="Times New Roman" w:hAnsi="Times New Roman"/>
          <w:b/>
          <w:sz w:val="20"/>
        </w:rPr>
      </w:pPr>
      <w:r>
        <w:rPr>
          <w:rFonts w:ascii="Times New Roman" w:hAnsi="Times New Roman"/>
          <w:b/>
          <w:sz w:val="20"/>
        </w:rPr>
        <w:t>CLEARONE, INC.</w:t>
      </w:r>
    </w:p>
    <w:p>
      <w:pPr>
        <w:pStyle w:val="TextBody"/>
        <w:ind w:left="0" w:right="0" w:hanging="0"/>
        <w:jc w:val="center"/>
        <w:rPr/>
      </w:pPr>
      <w:hyperlink r:id="rId45">
        <w:r>
          <w:rPr>
            <w:rStyle w:val="VisitedInternetLink"/>
            <w:rFonts w:ascii="Times New Roman" w:hAnsi="Times New Roman"/>
            <w:b/>
            <w:strike w:val="false"/>
            <w:dstrike w:val="false"/>
            <w:color w:val="000000"/>
            <w:sz w:val="20"/>
            <w:u w:val="none"/>
            <w:effect w:val="none"/>
          </w:rPr>
          <w:t>CONSOLIDATED STATEMENTS OF CASH FLOWS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623"/>
        <w:gridCol w:w="135"/>
        <w:gridCol w:w="219"/>
        <w:gridCol w:w="723"/>
        <w:gridCol w:w="154"/>
        <w:gridCol w:w="154"/>
        <w:gridCol w:w="219"/>
        <w:gridCol w:w="820"/>
        <w:gridCol w:w="158"/>
      </w:tblGrid>
      <w:tr>
        <w:trPr/>
        <w:tc>
          <w:tcPr>
            <w:tcW w:w="7623" w:type="dxa"/>
            <w:tcBorders/>
            <w:shd w:fill="auto" w:val="clear"/>
            <w:vAlign w:val="center"/>
          </w:tcPr>
          <w:p>
            <w:pPr>
              <w:pStyle w:val="TableContents"/>
              <w:spacing w:before="0" w:after="0"/>
              <w:ind w:left="0" w:right="0" w:hanging="0"/>
              <w:rPr/>
            </w:pPr>
            <w:r>
              <w:rPr/>
              <w:t xml:space="preserve">  </w:t>
            </w:r>
          </w:p>
        </w:tc>
        <w:tc>
          <w:tcPr>
            <w:tcW w:w="135" w:type="dxa"/>
            <w:tcBorders/>
            <w:shd w:fill="auto" w:val="clear"/>
            <w:vAlign w:val="center"/>
          </w:tcPr>
          <w:p>
            <w:pPr>
              <w:pStyle w:val="TableContents"/>
              <w:spacing w:before="0" w:after="0"/>
              <w:ind w:left="0" w:right="0" w:hanging="0"/>
              <w:rPr/>
            </w:pPr>
            <w:r>
              <w:rPr/>
              <w:t xml:space="preserve">  </w:t>
            </w:r>
          </w:p>
        </w:tc>
        <w:tc>
          <w:tcPr>
            <w:tcW w:w="2289"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0" w:right="0" w:hanging="0"/>
              <w:rPr/>
            </w:pPr>
            <w:r>
              <w:rPr/>
              <w:t xml:space="preserve">  </w:t>
            </w:r>
          </w:p>
        </w:tc>
        <w:tc>
          <w:tcPr>
            <w:tcW w:w="135" w:type="dxa"/>
            <w:tcBorders/>
            <w:shd w:fill="auto" w:val="clear"/>
            <w:vAlign w:val="center"/>
          </w:tcPr>
          <w:p>
            <w:pPr>
              <w:pStyle w:val="TableContents"/>
              <w:spacing w:before="0" w:after="0"/>
              <w:ind w:left="0" w:right="0" w:hanging="0"/>
              <w:rPr/>
            </w:pPr>
            <w:r>
              <w:rPr/>
              <w:t xml:space="preserve">  </w:t>
            </w:r>
          </w:p>
        </w:tc>
        <w:tc>
          <w:tcPr>
            <w:tcW w:w="94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103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flows from operating activities: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rPr/>
            </w:pPr>
            <w:r>
              <w:rPr/>
              <w:t xml:space="preserve">  </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income (loss)</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505</w:t>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(8,408 </w:t>
            </w:r>
          </w:p>
        </w:tc>
        <w:tc>
          <w:tcPr>
            <w:tcW w:w="15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Adjustments to reconcile net income (loss) to net cash used in operating activities: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rPr/>
            </w:pPr>
            <w:r>
              <w:rPr/>
              <w:t xml:space="preserve">  </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Depreciation and amortization expense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2,313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1,914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Amortization of right of use of assets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563 </w:t>
            </w:r>
          </w:p>
        </w:tc>
        <w:tc>
          <w:tcPr>
            <w:tcW w:w="154"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561</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Share-based compensation expense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63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217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Provision for doubtful accounts, net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82 </w:t>
            </w:r>
          </w:p>
        </w:tc>
        <w:tc>
          <w:tcPr>
            <w:tcW w:w="154" w:type="dxa"/>
            <w:tcBorders/>
            <w:shd w:fill="CCEEFF" w:val="clear"/>
            <w:vAlign w:val="center"/>
          </w:tcPr>
          <w:p>
            <w:pPr>
              <w:pStyle w:val="TableContents"/>
              <w:spacing w:before="0" w:after="283"/>
              <w:rPr>
                <w:sz w:val="4"/>
                <w:szCs w:val="4"/>
              </w:rPr>
            </w:pPr>
            <w:r>
              <w:rPr>
                <w:sz w:val="4"/>
                <w:szCs w:val="4"/>
              </w:rPr>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(207</w:t>
            </w:r>
          </w:p>
        </w:tc>
        <w:tc>
          <w:tcPr>
            <w:tcW w:w="158" w:type="dxa"/>
            <w:tcBorders/>
            <w:shd w:fill="CCEEFF" w:val="clear"/>
            <w:vAlign w:val="center"/>
          </w:tcPr>
          <w:p>
            <w:pPr>
              <w:pStyle w:val="TableContents"/>
              <w:spacing w:before="0" w:after="283"/>
              <w:rPr/>
            </w:pPr>
            <w:r>
              <w:rPr/>
              <w:t>)</w:t>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Write-down of inventory to net realizable value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1,517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891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Loss on disposal of assets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34 </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Changes in operating assets and liabilities: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rPr/>
            </w:pPr>
            <w:r>
              <w:rPr/>
              <w:t xml:space="preserve">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Receivables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192</w:t>
            </w:r>
          </w:p>
        </w:tc>
        <w:tc>
          <w:tcPr>
            <w:tcW w:w="154" w:type="dxa"/>
            <w:tcBorders/>
            <w:shd w:fill="CCEEFF" w:val="clear"/>
            <w:vAlign w:val="center"/>
          </w:tcPr>
          <w:p>
            <w:pPr>
              <w:pStyle w:val="TableContents"/>
              <w:spacing w:before="0" w:after="283"/>
              <w:rPr>
                <w:sz w:val="4"/>
                <w:szCs w:val="4"/>
              </w:rPr>
            </w:pPr>
            <w:r>
              <w:rPr>
                <w:sz w:val="4"/>
                <w:szCs w:val="4"/>
              </w:rPr>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1,511 </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Inventories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1,155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3,565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Prepaid expenses and other assets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(417</w:t>
            </w:r>
          </w:p>
        </w:tc>
        <w:tc>
          <w:tcPr>
            <w:tcW w:w="154"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(4,148</w:t>
            </w:r>
          </w:p>
        </w:tc>
        <w:tc>
          <w:tcPr>
            <w:tcW w:w="158" w:type="dxa"/>
            <w:tcBorders/>
            <w:shd w:fill="CCEEFF" w:val="clear"/>
            <w:vAlign w:val="center"/>
          </w:tcPr>
          <w:p>
            <w:pPr>
              <w:pStyle w:val="TableContents"/>
              <w:spacing w:before="0" w:after="283"/>
              <w:rPr/>
            </w:pPr>
            <w:r>
              <w:rPr/>
              <w:t>)</w:t>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Accounts payable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1,079 </w:t>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(858 </w:t>
            </w:r>
          </w:p>
        </w:tc>
        <w:tc>
          <w:tcPr>
            <w:tcW w:w="15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Accrued liabilities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(865</w:t>
            </w:r>
          </w:p>
        </w:tc>
        <w:tc>
          <w:tcPr>
            <w:tcW w:w="154"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627 </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Income taxes receivable</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(7,087</w:t>
            </w:r>
          </w:p>
        </w:tc>
        <w:tc>
          <w:tcPr>
            <w:tcW w:w="154"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368 </w:t>
            </w:r>
          </w:p>
        </w:tc>
        <w:tc>
          <w:tcPr>
            <w:tcW w:w="158" w:type="dxa"/>
            <w:tcBorders/>
            <w:shd w:fill="auto" w:val="clear"/>
            <w:vAlign w:val="center"/>
          </w:tcPr>
          <w:p>
            <w:pPr>
              <w:pStyle w:val="TableContents"/>
              <w:spacing w:before="0" w:after="0"/>
              <w:ind w:left="0" w:right="0" w:hanging="0"/>
              <w:rPr/>
            </w:pPr>
            <w:r>
              <w:rPr/>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Deferred product revenue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w:t>
            </w:r>
          </w:p>
        </w:tc>
        <w:tc>
          <w:tcPr>
            <w:tcW w:w="154"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(110 </w:t>
            </w:r>
          </w:p>
        </w:tc>
        <w:tc>
          <w:tcPr>
            <w:tcW w:w="1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Operating lease liabilities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(570</w:t>
            </w:r>
          </w:p>
        </w:tc>
        <w:tc>
          <w:tcPr>
            <w:tcW w:w="154"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(557</w:t>
            </w:r>
          </w:p>
        </w:tc>
        <w:tc>
          <w:tcPr>
            <w:tcW w:w="158" w:type="dxa"/>
            <w:tcBorders/>
            <w:shd w:fill="auto" w:val="clear"/>
            <w:vAlign w:val="center"/>
          </w:tcPr>
          <w:p>
            <w:pPr>
              <w:pStyle w:val="TableContents"/>
              <w:spacing w:before="0" w:after="283"/>
              <w:rPr/>
            </w:pPr>
            <w:r>
              <w:rPr/>
              <w:t>)</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Other long-term liabilities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23"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538</w:t>
            </w:r>
          </w:p>
        </w:tc>
        <w:tc>
          <w:tcPr>
            <w:tcW w:w="154" w:type="dxa"/>
            <w:tcBorders/>
            <w:shd w:fill="CCEEFF" w:val="clear"/>
            <w:vAlign w:val="center"/>
          </w:tcPr>
          <w:p>
            <w:pPr>
              <w:pStyle w:val="TableContents"/>
              <w:spacing w:before="0" w:after="283"/>
              <w:rPr>
                <w:sz w:val="4"/>
                <w:szCs w:val="4"/>
              </w:rPr>
            </w:pPr>
            <w:r>
              <w:rPr>
                <w:sz w:val="4"/>
                <w:szCs w:val="4"/>
              </w:rPr>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82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(56 </w:t>
            </w:r>
          </w:p>
        </w:tc>
        <w:tc>
          <w:tcPr>
            <w:tcW w:w="1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cash used in operating activities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23"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(982</w:t>
            </w:r>
          </w:p>
        </w:tc>
        <w:tc>
          <w:tcPr>
            <w:tcW w:w="154"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2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(4,656 </w:t>
            </w:r>
          </w:p>
        </w:tc>
        <w:tc>
          <w:tcPr>
            <w:tcW w:w="15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CCEEFF" w:val="clear"/>
            <w:vAlign w:val="center"/>
          </w:tcPr>
          <w:p>
            <w:pPr>
              <w:pStyle w:val="TableContents"/>
              <w:spacing w:before="0" w:after="0"/>
              <w:ind w:left="0" w:right="0" w:hanging="0"/>
              <w:rPr/>
            </w:pPr>
            <w:r>
              <w:rPr/>
              <w:t xml:space="preserve">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rPr/>
            </w:pPr>
            <w:r>
              <w:rPr/>
              <w:t xml:space="preserve">  </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flows from investing activities: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rPr/>
            </w:pPr>
            <w:r>
              <w:rPr/>
              <w:t xml:space="preserve">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Capitalized patent defense costs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(6,728</w:t>
            </w:r>
          </w:p>
        </w:tc>
        <w:tc>
          <w:tcPr>
            <w:tcW w:w="154"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(5,086 </w:t>
            </w:r>
          </w:p>
        </w:tc>
        <w:tc>
          <w:tcPr>
            <w:tcW w:w="1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Purchase of property and equipment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(284</w:t>
            </w:r>
          </w:p>
        </w:tc>
        <w:tc>
          <w:tcPr>
            <w:tcW w:w="154"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(205 </w:t>
            </w:r>
          </w:p>
        </w:tc>
        <w:tc>
          <w:tcPr>
            <w:tcW w:w="15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Purchase of intangible assets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(205</w:t>
            </w:r>
          </w:p>
        </w:tc>
        <w:tc>
          <w:tcPr>
            <w:tcW w:w="154"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(76 </w:t>
            </w:r>
          </w:p>
        </w:tc>
        <w:tc>
          <w:tcPr>
            <w:tcW w:w="1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Proceeds from maturities and sales of marketable securities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4,605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9,243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Purchase of marketable securities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23"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(2,932</w:t>
            </w:r>
          </w:p>
        </w:tc>
        <w:tc>
          <w:tcPr>
            <w:tcW w:w="154"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82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(9,003 </w:t>
            </w:r>
          </w:p>
        </w:tc>
        <w:tc>
          <w:tcPr>
            <w:tcW w:w="1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cash used in investing activities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23"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(5,544</w:t>
            </w:r>
          </w:p>
        </w:tc>
        <w:tc>
          <w:tcPr>
            <w:tcW w:w="154"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2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(5,127</w:t>
            </w:r>
          </w:p>
        </w:tc>
        <w:tc>
          <w:tcPr>
            <w:tcW w:w="158" w:type="dxa"/>
            <w:tcBorders/>
            <w:shd w:fill="auto" w:val="clear"/>
            <w:vAlign w:val="center"/>
          </w:tcPr>
          <w:p>
            <w:pPr>
              <w:pStyle w:val="TableContents"/>
              <w:spacing w:before="0" w:after="283"/>
              <w:rPr/>
            </w:pPr>
            <w:r>
              <w:rPr/>
              <w:t>)</w:t>
            </w:r>
          </w:p>
        </w:tc>
      </w:tr>
      <w:tr>
        <w:trPr/>
        <w:tc>
          <w:tcPr>
            <w:tcW w:w="7623" w:type="dxa"/>
            <w:tcBorders/>
            <w:shd w:fill="CCEEFF" w:val="clear"/>
            <w:vAlign w:val="center"/>
          </w:tcPr>
          <w:p>
            <w:pPr>
              <w:pStyle w:val="TableContents"/>
              <w:spacing w:before="0" w:after="0"/>
              <w:ind w:left="0" w:right="0" w:hanging="0"/>
              <w:rPr/>
            </w:pPr>
            <w:r>
              <w:rPr/>
              <w:t xml:space="preserve">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rPr/>
            </w:pPr>
            <w:r>
              <w:rPr/>
              <w:t xml:space="preserve">  </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flows from financing activities: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rPr/>
            </w:pPr>
            <w:r>
              <w:rPr/>
              <w:t xml:space="preserve">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Issuance of common stock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7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4,764 </w:t>
            </w:r>
          </w:p>
        </w:tc>
        <w:tc>
          <w:tcPr>
            <w:tcW w:w="154"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shd w:fill="CCEEFF" w:val="clear"/>
            <w:vAlign w:val="center"/>
          </w:tcPr>
          <w:p>
            <w:pPr>
              <w:pStyle w:val="TableContents"/>
              <w:spacing w:before="0" w:after="0"/>
              <w:ind w:left="0" w:right="0" w:hanging="0"/>
              <w:rPr/>
            </w:pPr>
            <w:r>
              <w:rPr/>
              <w:t xml:space="preserve">  </w:t>
            </w:r>
          </w:p>
        </w:tc>
        <w:tc>
          <w:tcPr>
            <w:tcW w:w="820" w:type="dxa"/>
            <w:tcBorders/>
            <w:shd w:fill="CCEEFF" w:val="clear"/>
            <w:vAlign w:val="center"/>
          </w:tcPr>
          <w:p>
            <w:pPr>
              <w:pStyle w:val="TableContents"/>
              <w:spacing w:before="0" w:after="0"/>
              <w:ind w:left="0" w:right="0" w:hanging="0"/>
              <w:jc w:val="right"/>
              <w:rPr/>
            </w:pPr>
            <w:r>
              <w:rPr/>
              <w:t xml:space="preserve">— </w:t>
            </w:r>
          </w:p>
        </w:tc>
        <w:tc>
          <w:tcPr>
            <w:tcW w:w="158" w:type="dxa"/>
            <w:tcBorders/>
            <w:shd w:fill="CCEEFF" w:val="clear"/>
            <w:vAlign w:val="center"/>
          </w:tcPr>
          <w:p>
            <w:pPr>
              <w:pStyle w:val="TableContents"/>
              <w:spacing w:before="0" w:after="0"/>
              <w:ind w:left="180" w:right="0" w:hanging="0"/>
              <w:rPr/>
            </w:pPr>
            <w:r>
              <w:rPr/>
              <w:t xml:space="preserve">  </w:t>
            </w:r>
          </w:p>
        </w:tc>
      </w:tr>
      <w:tr>
        <w:trPr/>
        <w:tc>
          <w:tcPr>
            <w:tcW w:w="7623" w:type="dxa"/>
            <w:tcBorders/>
            <w:shd w:fill="auto" w:val="clear"/>
            <w:vAlign w:val="center"/>
          </w:tcPr>
          <w:p>
            <w:pPr>
              <w:pStyle w:val="TableContents"/>
              <w:spacing w:before="0" w:after="0"/>
              <w:ind w:left="360" w:right="0" w:hanging="0"/>
              <w:rPr>
                <w:rFonts w:ascii="Times New Roman" w:hAnsi="Times New Roman"/>
                <w:color w:val="000000"/>
                <w:sz w:val="20"/>
              </w:rPr>
            </w:pPr>
            <w:r>
              <w:rPr>
                <w:rFonts w:ascii="Times New Roman" w:hAnsi="Times New Roman"/>
                <w:color w:val="000000"/>
                <w:sz w:val="20"/>
              </w:rPr>
              <w:t>Net proceeds from issuance of senior convertible notes</w:t>
            </w:r>
          </w:p>
        </w:tc>
        <w:tc>
          <w:tcPr>
            <w:tcW w:w="135" w:type="dxa"/>
            <w:tcBorders/>
            <w:shd w:fill="auto" w:val="clear"/>
            <w:vAlign w:val="center"/>
          </w:tcPr>
          <w:p>
            <w:pPr>
              <w:pStyle w:val="TableContents"/>
              <w:spacing w:before="0" w:after="283"/>
              <w:rPr/>
            </w:pPr>
            <w:r>
              <w:rPr/>
            </w:r>
          </w:p>
        </w:tc>
        <w:tc>
          <w:tcPr>
            <w:tcW w:w="219" w:type="dxa"/>
            <w:tcBorders/>
            <w:shd w:fill="auto" w:val="clear"/>
            <w:vAlign w:val="center"/>
          </w:tcPr>
          <w:p>
            <w:pPr>
              <w:pStyle w:val="TableContents"/>
              <w:spacing w:before="0" w:after="283"/>
              <w:rPr/>
            </w:pPr>
            <w:r>
              <w:rPr/>
            </w:r>
          </w:p>
        </w:tc>
        <w:tc>
          <w:tcPr>
            <w:tcW w:w="723" w:type="dxa"/>
            <w:tcBorders/>
            <w:shd w:fill="auto" w:val="clear"/>
            <w:vAlign w:val="center"/>
          </w:tcPr>
          <w:p>
            <w:pPr>
              <w:pStyle w:val="TableContents"/>
              <w:spacing w:before="0" w:after="283"/>
              <w:jc w:val="right"/>
              <w:rPr/>
            </w:pPr>
            <w:r>
              <w:rPr/>
              <w:t>—</w:t>
            </w:r>
          </w:p>
        </w:tc>
        <w:tc>
          <w:tcPr>
            <w:tcW w:w="154" w:type="dxa"/>
            <w:tcBorders/>
            <w:shd w:fill="auto" w:val="clear"/>
            <w:vAlign w:val="center"/>
          </w:tcPr>
          <w:p>
            <w:pPr>
              <w:pStyle w:val="TableContents"/>
              <w:spacing w:before="0" w:after="283"/>
              <w:rPr/>
            </w:pPr>
            <w:r>
              <w:rPr/>
            </w:r>
          </w:p>
        </w:tc>
        <w:tc>
          <w:tcPr>
            <w:tcW w:w="154" w:type="dxa"/>
            <w:tcBorders/>
            <w:shd w:fill="auto" w:val="clear"/>
            <w:vAlign w:val="center"/>
          </w:tcPr>
          <w:p>
            <w:pPr>
              <w:pStyle w:val="TableContents"/>
              <w:spacing w:before="0" w:after="283"/>
              <w:rPr/>
            </w:pPr>
            <w:r>
              <w:rPr/>
            </w:r>
          </w:p>
        </w:tc>
        <w:tc>
          <w:tcPr>
            <w:tcW w:w="219" w:type="dxa"/>
            <w:tcBorders/>
            <w:shd w:fill="auto" w:val="clear"/>
            <w:vAlign w:val="center"/>
          </w:tcPr>
          <w:p>
            <w:pPr>
              <w:pStyle w:val="TableContents"/>
              <w:spacing w:before="0" w:after="283"/>
              <w:rPr/>
            </w:pPr>
            <w:r>
              <w:rPr/>
            </w:r>
          </w:p>
        </w:tc>
        <w:tc>
          <w:tcPr>
            <w:tcW w:w="820" w:type="dxa"/>
            <w:tcBorders/>
            <w:shd w:fill="auto" w:val="clear"/>
            <w:vAlign w:val="center"/>
          </w:tcPr>
          <w:p>
            <w:pPr>
              <w:pStyle w:val="TableContents"/>
              <w:spacing w:before="0" w:after="283"/>
              <w:jc w:val="right"/>
              <w:rPr/>
            </w:pPr>
            <w:r>
              <w:rPr/>
              <w:t>2,654</w:t>
            </w:r>
          </w:p>
        </w:tc>
        <w:tc>
          <w:tcPr>
            <w:tcW w:w="158" w:type="dxa"/>
            <w:tcBorders/>
            <w:shd w:fill="auto" w:val="clear"/>
            <w:vAlign w:val="center"/>
          </w:tcPr>
          <w:p>
            <w:pPr>
              <w:pStyle w:val="TableContents"/>
              <w:spacing w:before="0" w:after="283"/>
              <w:rPr/>
            </w:pPr>
            <w:r>
              <w:rPr/>
            </w:r>
          </w:p>
        </w:tc>
      </w:tr>
      <w:tr>
        <w:trPr/>
        <w:tc>
          <w:tcPr>
            <w:tcW w:w="762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Proceeds from Paycheck Protection Program loan</w:t>
            </w:r>
          </w:p>
        </w:tc>
        <w:tc>
          <w:tcPr>
            <w:tcW w:w="135" w:type="dxa"/>
            <w:tcBorders/>
            <w:shd w:fill="CCEEFF" w:val="clear"/>
            <w:vAlign w:val="center"/>
          </w:tcPr>
          <w:p>
            <w:pPr>
              <w:pStyle w:val="TableContents"/>
              <w:spacing w:before="0" w:after="283"/>
              <w:rPr/>
            </w:pPr>
            <w:r>
              <w:rPr/>
            </w:r>
          </w:p>
        </w:tc>
        <w:tc>
          <w:tcPr>
            <w:tcW w:w="219" w:type="dxa"/>
            <w:tcBorders/>
            <w:shd w:fill="CCEEFF" w:val="clear"/>
            <w:vAlign w:val="center"/>
          </w:tcPr>
          <w:p>
            <w:pPr>
              <w:pStyle w:val="TableContents"/>
              <w:spacing w:before="0" w:after="283"/>
              <w:rPr/>
            </w:pPr>
            <w:r>
              <w:rPr/>
            </w:r>
          </w:p>
        </w:tc>
        <w:tc>
          <w:tcPr>
            <w:tcW w:w="723" w:type="dxa"/>
            <w:tcBorders/>
            <w:shd w:fill="CCEEFF" w:val="clear"/>
            <w:vAlign w:val="center"/>
          </w:tcPr>
          <w:p>
            <w:pPr>
              <w:pStyle w:val="TableContents"/>
              <w:spacing w:before="0" w:after="283"/>
              <w:jc w:val="right"/>
              <w:rPr/>
            </w:pPr>
            <w:r>
              <w:rPr/>
              <w:t>1,499</w:t>
            </w:r>
          </w:p>
        </w:tc>
        <w:tc>
          <w:tcPr>
            <w:tcW w:w="154" w:type="dxa"/>
            <w:tcBorders/>
            <w:shd w:fill="CCEEFF" w:val="clear"/>
            <w:vAlign w:val="center"/>
          </w:tcPr>
          <w:p>
            <w:pPr>
              <w:pStyle w:val="TableContents"/>
              <w:spacing w:before="0" w:after="283"/>
              <w:rPr/>
            </w:pPr>
            <w:r>
              <w:rPr/>
            </w:r>
          </w:p>
        </w:tc>
        <w:tc>
          <w:tcPr>
            <w:tcW w:w="154" w:type="dxa"/>
            <w:tcBorders/>
            <w:shd w:fill="CCEEFF" w:val="clear"/>
            <w:vAlign w:val="center"/>
          </w:tcPr>
          <w:p>
            <w:pPr>
              <w:pStyle w:val="TableContents"/>
              <w:spacing w:before="0" w:after="283"/>
              <w:rPr/>
            </w:pPr>
            <w:r>
              <w:rPr/>
            </w:r>
          </w:p>
        </w:tc>
        <w:tc>
          <w:tcPr>
            <w:tcW w:w="219" w:type="dxa"/>
            <w:tcBorders/>
            <w:shd w:fill="CCEEFF" w:val="clear"/>
            <w:vAlign w:val="center"/>
          </w:tcPr>
          <w:p>
            <w:pPr>
              <w:pStyle w:val="TableContents"/>
              <w:spacing w:before="0" w:after="283"/>
              <w:rPr/>
            </w:pPr>
            <w:r>
              <w:rPr/>
            </w:r>
          </w:p>
        </w:tc>
        <w:tc>
          <w:tcPr>
            <w:tcW w:w="820" w:type="dxa"/>
            <w:tcBorders/>
            <w:shd w:fill="CCEEFF" w:val="clear"/>
            <w:vAlign w:val="center"/>
          </w:tcPr>
          <w:p>
            <w:pPr>
              <w:pStyle w:val="TableContents"/>
              <w:spacing w:before="0" w:after="283"/>
              <w:jc w:val="right"/>
              <w:rPr/>
            </w:pPr>
            <w:r>
              <w:rPr/>
              <w:t>—</w:t>
            </w:r>
          </w:p>
        </w:tc>
        <w:tc>
          <w:tcPr>
            <w:tcW w:w="158" w:type="dxa"/>
            <w:tcBorders/>
            <w:shd w:fill="CCEEFF" w:val="clear"/>
            <w:vAlign w:val="center"/>
          </w:tcPr>
          <w:p>
            <w:pPr>
              <w:pStyle w:val="TableContents"/>
              <w:spacing w:before="0" w:after="283"/>
              <w:rPr/>
            </w:pPr>
            <w:r>
              <w:rPr/>
            </w:r>
          </w:p>
        </w:tc>
      </w:tr>
      <w:tr>
        <w:trPr/>
        <w:tc>
          <w:tcPr>
            <w:tcW w:w="7623"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Proceeds from equity-based compensation programs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14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23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cash provided by financing activities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top w:val="single" w:sz="8" w:space="0" w:color="000000"/>
              <w:bottom w:val="single" w:sz="6" w:space="0" w:color="000000"/>
            </w:tcBorders>
            <w:shd w:fill="CCEEFF" w:val="clear"/>
            <w:tcMar>
              <w:top w:w="28" w:type="dxa"/>
              <w:bottom w:w="28" w:type="dxa"/>
            </w:tcMar>
            <w:vAlign w:val="center"/>
          </w:tcPr>
          <w:p>
            <w:pPr>
              <w:pStyle w:val="TableContents"/>
              <w:spacing w:before="0" w:after="0"/>
              <w:ind w:left="0" w:right="0" w:hanging="0"/>
              <w:rPr/>
            </w:pPr>
            <w:r>
              <w:rPr/>
              <w:t xml:space="preserve">  </w:t>
            </w:r>
          </w:p>
        </w:tc>
        <w:tc>
          <w:tcPr>
            <w:tcW w:w="723" w:type="dxa"/>
            <w:tcBorders>
              <w:top w:val="single" w:sz="8" w:space="0" w:color="000000"/>
              <w:bottom w:val="sing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6,277 </w:t>
            </w:r>
          </w:p>
        </w:tc>
        <w:tc>
          <w:tcPr>
            <w:tcW w:w="154"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top w:val="single" w:sz="8" w:space="0" w:color="000000"/>
              <w:bottom w:val="single" w:sz="6" w:space="0" w:color="000000"/>
            </w:tcBorders>
            <w:shd w:fill="CCEEFF" w:val="clear"/>
            <w:tcMar>
              <w:top w:w="28" w:type="dxa"/>
              <w:bottom w:w="28" w:type="dxa"/>
            </w:tcMar>
            <w:vAlign w:val="center"/>
          </w:tcPr>
          <w:p>
            <w:pPr>
              <w:pStyle w:val="TableContents"/>
              <w:spacing w:before="0" w:after="0"/>
              <w:ind w:left="0" w:right="0" w:hanging="0"/>
              <w:rPr/>
            </w:pPr>
            <w:r>
              <w:rPr/>
              <w:t xml:space="preserve">  </w:t>
            </w:r>
          </w:p>
        </w:tc>
        <w:tc>
          <w:tcPr>
            <w:tcW w:w="820" w:type="dxa"/>
            <w:tcBorders>
              <w:top w:val="single" w:sz="8" w:space="0" w:color="000000"/>
              <w:bottom w:val="sing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2,677 </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0" w:right="0" w:hanging="0"/>
              <w:rPr/>
            </w:pPr>
            <w:r>
              <w:rPr/>
              <w:t xml:space="preserve">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rPr/>
            </w:pPr>
            <w:r>
              <w:rPr/>
              <w:t xml:space="preserve">  </w:t>
            </w:r>
          </w:p>
        </w:tc>
        <w:tc>
          <w:tcPr>
            <w:tcW w:w="158" w:type="dxa"/>
            <w:tcBorders/>
            <w:shd w:fill="auto" w:val="clear"/>
            <w:vAlign w:val="center"/>
          </w:tcPr>
          <w:p>
            <w:pPr>
              <w:pStyle w:val="TableContents"/>
              <w:spacing w:before="0" w:after="0"/>
              <w:ind w:left="0" w:right="0" w:hanging="0"/>
              <w:rPr/>
            </w:pPr>
            <w:r>
              <w:rPr/>
              <w:t xml:space="preserve">  </w:t>
            </w:r>
          </w:p>
        </w:tc>
      </w:tr>
      <w:tr>
        <w:trPr/>
        <w:tc>
          <w:tcPr>
            <w:tcW w:w="762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Effect of exchange rate changes on cash and cash equivalents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23"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w:t>
            </w:r>
          </w:p>
        </w:tc>
        <w:tc>
          <w:tcPr>
            <w:tcW w:w="154"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82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(41 </w:t>
            </w:r>
          </w:p>
        </w:tc>
        <w:tc>
          <w:tcPr>
            <w:tcW w:w="1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62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increase (decrease) in cash and cash equivalents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7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(261</w:t>
            </w:r>
          </w:p>
        </w:tc>
        <w:tc>
          <w:tcPr>
            <w:tcW w:w="154"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0"/>
              <w:ind w:left="0" w:right="0" w:hanging="0"/>
              <w:rPr/>
            </w:pPr>
            <w:r>
              <w:rPr/>
              <w:t xml:space="preserve">  </w:t>
            </w:r>
          </w:p>
        </w:tc>
        <w:tc>
          <w:tcPr>
            <w:tcW w:w="82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(7,147</w:t>
            </w:r>
          </w:p>
        </w:tc>
        <w:tc>
          <w:tcPr>
            <w:tcW w:w="158" w:type="dxa"/>
            <w:tcBorders/>
            <w:shd w:fill="auto" w:val="clear"/>
            <w:vAlign w:val="center"/>
          </w:tcPr>
          <w:p>
            <w:pPr>
              <w:pStyle w:val="TableContents"/>
              <w:spacing w:before="0" w:after="283"/>
              <w:rPr/>
            </w:pPr>
            <w:r>
              <w:rPr/>
              <w:t>)</w:t>
            </w:r>
          </w:p>
        </w:tc>
      </w:tr>
      <w:tr>
        <w:trPr/>
        <w:tc>
          <w:tcPr>
            <w:tcW w:w="762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and cash equivalents at the beginning of the year </w:t>
            </w:r>
          </w:p>
        </w:tc>
        <w:tc>
          <w:tcPr>
            <w:tcW w:w="135" w:type="dxa"/>
            <w:tcBorders/>
            <w:shd w:fill="CCEEFF"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23"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4,064 </w:t>
            </w:r>
          </w:p>
        </w:tc>
        <w:tc>
          <w:tcPr>
            <w:tcW w:w="154"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82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11,211 </w:t>
            </w:r>
          </w:p>
        </w:tc>
        <w:tc>
          <w:tcPr>
            <w:tcW w:w="158" w:type="dxa"/>
            <w:tcBorders/>
            <w:shd w:fill="CCEEFF" w:val="clear"/>
            <w:vAlign w:val="center"/>
          </w:tcPr>
          <w:p>
            <w:pPr>
              <w:pStyle w:val="TableContents"/>
              <w:spacing w:before="0" w:after="0"/>
              <w:ind w:left="0" w:right="0" w:hanging="0"/>
              <w:rPr/>
            </w:pPr>
            <w:r>
              <w:rPr/>
              <w:t xml:space="preserve">  </w:t>
            </w:r>
          </w:p>
        </w:tc>
      </w:tr>
      <w:tr>
        <w:trPr/>
        <w:tc>
          <w:tcPr>
            <w:tcW w:w="762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and cash equivalents at the end of the year </w:t>
            </w:r>
          </w:p>
        </w:tc>
        <w:tc>
          <w:tcPr>
            <w:tcW w:w="135" w:type="dxa"/>
            <w:tcBorders/>
            <w:shd w:fill="auto" w:val="clear"/>
            <w:vAlign w:val="center"/>
          </w:tcPr>
          <w:p>
            <w:pPr>
              <w:pStyle w:val="TableContents"/>
              <w:spacing w:before="0" w:after="0"/>
              <w:ind w:left="0" w:right="0" w:hanging="0"/>
              <w:rPr/>
            </w:pPr>
            <w:r>
              <w:rPr/>
              <w:t xml:space="preserve">  </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3,803</w:t>
            </w:r>
          </w:p>
        </w:tc>
        <w:tc>
          <w:tcPr>
            <w:tcW w:w="154"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4,064 </w:t>
            </w:r>
          </w:p>
        </w:tc>
        <w:tc>
          <w:tcPr>
            <w:tcW w:w="158" w:type="dxa"/>
            <w:tcBorders/>
            <w:shd w:fill="auto" w:val="clear"/>
            <w:vAlign w:val="center"/>
          </w:tcPr>
          <w:p>
            <w:pPr>
              <w:pStyle w:val="TableContents"/>
              <w:spacing w:before="0" w:after="0"/>
              <w:ind w:left="0" w:right="0" w:hanging="0"/>
              <w:rPr/>
            </w:pPr>
            <w:r>
              <w:rPr/>
              <w:t xml:space="preserve">  </w:t>
            </w:r>
          </w:p>
        </w:tc>
      </w:tr>
    </w:tbl>
    <w:p>
      <w:pPr>
        <w:pStyle w:val="TextBody"/>
        <w:spacing w:before="0" w:after="0"/>
        <w:ind w:left="144" w:right="144" w:hanging="0"/>
        <w:jc w:val="both"/>
        <w:rPr/>
      </w:pPr>
      <w:r>
        <w:rPr/>
        <w:t> </w:t>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F-6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395"/>
        <w:gridCol w:w="185"/>
        <w:gridCol w:w="476"/>
        <w:gridCol w:w="1066"/>
        <w:gridCol w:w="335"/>
        <w:gridCol w:w="335"/>
        <w:gridCol w:w="476"/>
        <w:gridCol w:w="729"/>
        <w:gridCol w:w="208"/>
      </w:tblGrid>
      <w:tr>
        <w:trPr/>
        <w:tc>
          <w:tcPr>
            <w:tcW w:w="6395" w:type="dxa"/>
            <w:tcBorders/>
            <w:shd w:fill="auto" w:val="clear"/>
            <w:vAlign w:val="center"/>
          </w:tcPr>
          <w:p>
            <w:pPr>
              <w:pStyle w:val="TableContents"/>
              <w:spacing w:before="0" w:after="0"/>
              <w:ind w:left="0" w:right="0" w:hanging="0"/>
              <w:rPr/>
            </w:pPr>
            <w:r>
              <w:rPr/>
              <w:t xml:space="preserve">  </w:t>
            </w:r>
          </w:p>
        </w:tc>
        <w:tc>
          <w:tcPr>
            <w:tcW w:w="185" w:type="dxa"/>
            <w:tcBorders/>
            <w:shd w:fill="auto" w:val="clear"/>
            <w:vAlign w:val="center"/>
          </w:tcPr>
          <w:p>
            <w:pPr>
              <w:pStyle w:val="TableContents"/>
              <w:spacing w:before="0" w:after="0"/>
              <w:ind w:left="0" w:right="0" w:hanging="0"/>
              <w:rPr/>
            </w:pPr>
            <w:r>
              <w:rPr/>
              <w:t xml:space="preserve">  </w:t>
            </w:r>
          </w:p>
        </w:tc>
        <w:tc>
          <w:tcPr>
            <w:tcW w:w="3417"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Year ended December 31, </w:t>
            </w:r>
          </w:p>
        </w:tc>
        <w:tc>
          <w:tcPr>
            <w:tcW w:w="208" w:type="dxa"/>
            <w:tcBorders/>
            <w:shd w:fill="auto" w:val="clear"/>
            <w:vAlign w:val="center"/>
          </w:tcPr>
          <w:p>
            <w:pPr>
              <w:pStyle w:val="TableContents"/>
              <w:spacing w:before="0" w:after="0"/>
              <w:ind w:left="0" w:right="0" w:hanging="0"/>
              <w:rPr/>
            </w:pPr>
            <w:r>
              <w:rPr/>
              <w:t xml:space="preserve">  </w:t>
            </w:r>
          </w:p>
        </w:tc>
      </w:tr>
      <w:tr>
        <w:trPr/>
        <w:tc>
          <w:tcPr>
            <w:tcW w:w="6395" w:type="dxa"/>
            <w:tcBorders/>
            <w:shd w:fill="auto" w:val="clear"/>
            <w:vAlign w:val="center"/>
          </w:tcPr>
          <w:p>
            <w:pPr>
              <w:pStyle w:val="TableContents"/>
              <w:spacing w:before="0" w:after="0"/>
              <w:ind w:left="0" w:right="0" w:hanging="0"/>
              <w:rPr/>
            </w:pPr>
            <w:r>
              <w:rPr/>
              <w:t xml:space="preserve">  </w:t>
            </w:r>
          </w:p>
        </w:tc>
        <w:tc>
          <w:tcPr>
            <w:tcW w:w="185" w:type="dxa"/>
            <w:tcBorders/>
            <w:shd w:fill="auto" w:val="clear"/>
            <w:vAlign w:val="center"/>
          </w:tcPr>
          <w:p>
            <w:pPr>
              <w:pStyle w:val="TableContents"/>
              <w:spacing w:before="0" w:after="0"/>
              <w:ind w:left="0" w:right="0" w:hanging="0"/>
              <w:rPr/>
            </w:pPr>
            <w:r>
              <w:rPr/>
              <w:t xml:space="preserve">  </w:t>
            </w:r>
          </w:p>
        </w:tc>
        <w:tc>
          <w:tcPr>
            <w:tcW w:w="154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2020 </w:t>
            </w:r>
          </w:p>
        </w:tc>
        <w:tc>
          <w:tcPr>
            <w:tcW w:w="335" w:type="dxa"/>
            <w:tcBorders/>
            <w:shd w:fill="auto" w:val="clear"/>
            <w:vAlign w:val="center"/>
          </w:tcPr>
          <w:p>
            <w:pPr>
              <w:pStyle w:val="TableContents"/>
              <w:spacing w:before="0" w:after="0"/>
              <w:ind w:left="0" w:right="0" w:hanging="0"/>
              <w:rPr/>
            </w:pPr>
            <w:r>
              <w:rPr/>
              <w:t xml:space="preserve">  </w:t>
            </w:r>
          </w:p>
        </w:tc>
        <w:tc>
          <w:tcPr>
            <w:tcW w:w="335" w:type="dxa"/>
            <w:tcBorders/>
            <w:shd w:fill="auto" w:val="clear"/>
            <w:vAlign w:val="center"/>
          </w:tcPr>
          <w:p>
            <w:pPr>
              <w:pStyle w:val="TableContents"/>
              <w:spacing w:before="0" w:after="0"/>
              <w:ind w:left="0" w:right="0" w:hanging="0"/>
              <w:rPr/>
            </w:pPr>
            <w:r>
              <w:rPr/>
              <w:t xml:space="preserve">  </w:t>
            </w:r>
          </w:p>
        </w:tc>
        <w:tc>
          <w:tcPr>
            <w:tcW w:w="120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2019 </w:t>
            </w:r>
          </w:p>
        </w:tc>
        <w:tc>
          <w:tcPr>
            <w:tcW w:w="208" w:type="dxa"/>
            <w:tcBorders/>
            <w:shd w:fill="auto" w:val="clear"/>
            <w:vAlign w:val="center"/>
          </w:tcPr>
          <w:p>
            <w:pPr>
              <w:pStyle w:val="TableContents"/>
              <w:spacing w:before="0" w:after="0"/>
              <w:ind w:left="0" w:right="0" w:hanging="0"/>
              <w:rPr/>
            </w:pPr>
            <w:r>
              <w:rPr/>
              <w:t xml:space="preserve">  </w:t>
            </w:r>
          </w:p>
        </w:tc>
      </w:tr>
      <w:tr>
        <w:trPr/>
        <w:tc>
          <w:tcPr>
            <w:tcW w:w="639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Supplemental disclosure of cash flow information: </w:t>
            </w:r>
          </w:p>
        </w:tc>
        <w:tc>
          <w:tcPr>
            <w:tcW w:w="185" w:type="dxa"/>
            <w:tcBorders/>
            <w:shd w:fill="auto" w:val="clear"/>
            <w:vAlign w:val="center"/>
          </w:tcPr>
          <w:p>
            <w:pPr>
              <w:pStyle w:val="TableContents"/>
              <w:spacing w:before="0" w:after="0"/>
              <w:ind w:left="0" w:right="0" w:hanging="0"/>
              <w:rPr/>
            </w:pPr>
            <w:r>
              <w:rPr/>
              <w:t xml:space="preserve">  </w:t>
            </w:r>
          </w:p>
        </w:tc>
        <w:tc>
          <w:tcPr>
            <w:tcW w:w="476" w:type="dxa"/>
            <w:tcBorders/>
            <w:shd w:fill="auto" w:val="clear"/>
            <w:vAlign w:val="center"/>
          </w:tcPr>
          <w:p>
            <w:pPr>
              <w:pStyle w:val="TableContents"/>
              <w:spacing w:before="0" w:after="0"/>
              <w:ind w:left="0" w:right="0" w:hanging="0"/>
              <w:rPr/>
            </w:pPr>
            <w:r>
              <w:rPr/>
              <w:t xml:space="preserve">  </w:t>
            </w:r>
          </w:p>
        </w:tc>
        <w:tc>
          <w:tcPr>
            <w:tcW w:w="1066" w:type="dxa"/>
            <w:tcBorders/>
            <w:shd w:fill="auto" w:val="clear"/>
            <w:vAlign w:val="center"/>
          </w:tcPr>
          <w:p>
            <w:pPr>
              <w:pStyle w:val="TableContents"/>
              <w:spacing w:before="0" w:after="0"/>
              <w:ind w:left="0" w:right="0" w:hanging="0"/>
              <w:rPr/>
            </w:pPr>
            <w:r>
              <w:rPr/>
              <w:t xml:space="preserve">  </w:t>
            </w:r>
          </w:p>
        </w:tc>
        <w:tc>
          <w:tcPr>
            <w:tcW w:w="335" w:type="dxa"/>
            <w:tcBorders/>
            <w:shd w:fill="auto" w:val="clear"/>
            <w:vAlign w:val="center"/>
          </w:tcPr>
          <w:p>
            <w:pPr>
              <w:pStyle w:val="TableContents"/>
              <w:spacing w:before="0" w:after="0"/>
              <w:ind w:left="0" w:right="0" w:hanging="0"/>
              <w:rPr/>
            </w:pPr>
            <w:r>
              <w:rPr/>
              <w:t xml:space="preserve">  </w:t>
            </w:r>
          </w:p>
        </w:tc>
        <w:tc>
          <w:tcPr>
            <w:tcW w:w="335" w:type="dxa"/>
            <w:tcBorders/>
            <w:shd w:fill="auto" w:val="clear"/>
            <w:vAlign w:val="center"/>
          </w:tcPr>
          <w:p>
            <w:pPr>
              <w:pStyle w:val="TableContents"/>
              <w:spacing w:before="0" w:after="0"/>
              <w:ind w:left="0" w:right="0" w:hanging="0"/>
              <w:rPr/>
            </w:pPr>
            <w:r>
              <w:rPr/>
              <w:t xml:space="preserve">  </w:t>
            </w:r>
          </w:p>
        </w:tc>
        <w:tc>
          <w:tcPr>
            <w:tcW w:w="476" w:type="dxa"/>
            <w:tcBorders/>
            <w:shd w:fill="auto" w:val="clear"/>
            <w:vAlign w:val="center"/>
          </w:tcPr>
          <w:p>
            <w:pPr>
              <w:pStyle w:val="TableContents"/>
              <w:spacing w:before="0" w:after="0"/>
              <w:ind w:left="0" w:right="0" w:hanging="0"/>
              <w:rPr/>
            </w:pPr>
            <w:r>
              <w:rPr/>
              <w:t xml:space="preserve">  </w:t>
            </w:r>
          </w:p>
        </w:tc>
        <w:tc>
          <w:tcPr>
            <w:tcW w:w="729" w:type="dxa"/>
            <w:tcBorders/>
            <w:shd w:fill="auto" w:val="clear"/>
            <w:vAlign w:val="center"/>
          </w:tcPr>
          <w:p>
            <w:pPr>
              <w:pStyle w:val="TableContents"/>
              <w:spacing w:before="0" w:after="0"/>
              <w:ind w:left="0" w:right="0" w:hanging="0"/>
              <w:rPr/>
            </w:pPr>
            <w:r>
              <w:rPr/>
              <w:t xml:space="preserve">  </w:t>
            </w:r>
          </w:p>
        </w:tc>
        <w:tc>
          <w:tcPr>
            <w:tcW w:w="208" w:type="dxa"/>
            <w:tcBorders/>
            <w:shd w:fill="auto" w:val="clear"/>
            <w:vAlign w:val="center"/>
          </w:tcPr>
          <w:p>
            <w:pPr>
              <w:pStyle w:val="TableContents"/>
              <w:spacing w:before="0" w:after="0"/>
              <w:ind w:left="0" w:right="0" w:hanging="0"/>
              <w:rPr/>
            </w:pPr>
            <w:r>
              <w:rPr/>
              <w:t xml:space="preserve">  </w:t>
            </w:r>
          </w:p>
        </w:tc>
      </w:tr>
      <w:tr>
        <w:trPr/>
        <w:tc>
          <w:tcPr>
            <w:tcW w:w="63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paid for income taxes </w:t>
            </w:r>
          </w:p>
        </w:tc>
        <w:tc>
          <w:tcPr>
            <w:tcW w:w="185" w:type="dxa"/>
            <w:tcBorders/>
            <w:shd w:fill="CCEEFF" w:val="clear"/>
            <w:vAlign w:val="center"/>
          </w:tcPr>
          <w:p>
            <w:pPr>
              <w:pStyle w:val="TableContents"/>
              <w:spacing w:before="0" w:after="0"/>
              <w:ind w:left="0" w:right="0" w:hanging="0"/>
              <w:rPr/>
            </w:pPr>
            <w:r>
              <w:rPr/>
              <w:t xml:space="preserve">  </w:t>
            </w:r>
          </w:p>
        </w:tc>
        <w:tc>
          <w:tcPr>
            <w:tcW w:w="4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6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79 </w:t>
            </w:r>
          </w:p>
        </w:tc>
        <w:tc>
          <w:tcPr>
            <w:tcW w:w="335" w:type="dxa"/>
            <w:tcBorders/>
            <w:shd w:fill="CCEEFF" w:val="clear"/>
            <w:vAlign w:val="center"/>
          </w:tcPr>
          <w:p>
            <w:pPr>
              <w:pStyle w:val="TableContents"/>
              <w:spacing w:before="0" w:after="0"/>
              <w:ind w:left="0" w:right="0" w:hanging="0"/>
              <w:rPr/>
            </w:pPr>
            <w:r>
              <w:rPr/>
              <w:t xml:space="preserve">  </w:t>
            </w:r>
          </w:p>
        </w:tc>
        <w:tc>
          <w:tcPr>
            <w:tcW w:w="335" w:type="dxa"/>
            <w:tcBorders/>
            <w:shd w:fill="CCEEFF" w:val="clear"/>
            <w:vAlign w:val="center"/>
          </w:tcPr>
          <w:p>
            <w:pPr>
              <w:pStyle w:val="TableContents"/>
              <w:spacing w:before="0" w:after="0"/>
              <w:ind w:left="0" w:right="0" w:hanging="0"/>
              <w:rPr/>
            </w:pPr>
            <w:r>
              <w:rPr/>
              <w:t xml:space="preserve">  </w:t>
            </w:r>
          </w:p>
        </w:tc>
        <w:tc>
          <w:tcPr>
            <w:tcW w:w="4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2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 </w:t>
            </w:r>
          </w:p>
        </w:tc>
        <w:tc>
          <w:tcPr>
            <w:tcW w:w="208" w:type="dxa"/>
            <w:tcBorders/>
            <w:shd w:fill="CCEEFF" w:val="clear"/>
            <w:vAlign w:val="center"/>
          </w:tcPr>
          <w:p>
            <w:pPr>
              <w:pStyle w:val="TableContents"/>
              <w:spacing w:before="0" w:after="0"/>
              <w:ind w:left="0" w:right="0" w:hanging="0"/>
              <w:rPr/>
            </w:pPr>
            <w:r>
              <w:rPr/>
              <w:t xml:space="preserve">  </w:t>
            </w:r>
          </w:p>
        </w:tc>
      </w:tr>
      <w:tr>
        <w:trPr/>
        <w:tc>
          <w:tcPr>
            <w:tcW w:w="6395" w:type="dxa"/>
            <w:tcBorders/>
            <w:shd w:fill="auto" w:val="clear"/>
            <w:vAlign w:val="center"/>
          </w:tcPr>
          <w:p>
            <w:pPr>
              <w:pStyle w:val="TableContents"/>
              <w:spacing w:before="0" w:after="283"/>
              <w:rPr/>
            </w:pPr>
            <w:r>
              <w:rPr/>
              <w:t>Interest paid</w:t>
            </w:r>
          </w:p>
        </w:tc>
        <w:tc>
          <w:tcPr>
            <w:tcW w:w="185" w:type="dxa"/>
            <w:tcBorders/>
            <w:shd w:fill="auto" w:val="clear"/>
            <w:vAlign w:val="center"/>
          </w:tcPr>
          <w:p>
            <w:pPr>
              <w:pStyle w:val="TableContents"/>
              <w:spacing w:before="0" w:after="283"/>
              <w:rPr/>
            </w:pPr>
            <w:r>
              <w:rPr/>
            </w:r>
          </w:p>
        </w:tc>
        <w:tc>
          <w:tcPr>
            <w:tcW w:w="476" w:type="dxa"/>
            <w:tcBorders/>
            <w:shd w:fill="auto" w:val="clear"/>
            <w:vAlign w:val="center"/>
          </w:tcPr>
          <w:p>
            <w:pPr>
              <w:pStyle w:val="TableContents"/>
              <w:spacing w:before="0" w:after="283"/>
              <w:rPr/>
            </w:pPr>
            <w:r>
              <w:rPr/>
            </w:r>
          </w:p>
        </w:tc>
        <w:tc>
          <w:tcPr>
            <w:tcW w:w="1066" w:type="dxa"/>
            <w:tcBorders/>
            <w:shd w:fill="auto" w:val="clear"/>
            <w:vAlign w:val="center"/>
          </w:tcPr>
          <w:p>
            <w:pPr>
              <w:pStyle w:val="TableContents"/>
              <w:spacing w:before="0" w:after="283"/>
              <w:jc w:val="right"/>
              <w:rPr/>
            </w:pPr>
            <w:r>
              <w:rPr/>
              <w:t>244</w:t>
            </w:r>
          </w:p>
        </w:tc>
        <w:tc>
          <w:tcPr>
            <w:tcW w:w="335" w:type="dxa"/>
            <w:tcBorders/>
            <w:shd w:fill="auto" w:val="clear"/>
            <w:vAlign w:val="center"/>
          </w:tcPr>
          <w:p>
            <w:pPr>
              <w:pStyle w:val="TableContents"/>
              <w:spacing w:before="0" w:after="283"/>
              <w:rPr/>
            </w:pPr>
            <w:r>
              <w:rPr/>
            </w:r>
          </w:p>
        </w:tc>
        <w:tc>
          <w:tcPr>
            <w:tcW w:w="335" w:type="dxa"/>
            <w:tcBorders/>
            <w:shd w:fill="auto" w:val="clear"/>
            <w:vAlign w:val="center"/>
          </w:tcPr>
          <w:p>
            <w:pPr>
              <w:pStyle w:val="TableContents"/>
              <w:spacing w:before="0" w:after="283"/>
              <w:rPr/>
            </w:pPr>
            <w:r>
              <w:rPr/>
            </w:r>
          </w:p>
        </w:tc>
        <w:tc>
          <w:tcPr>
            <w:tcW w:w="476" w:type="dxa"/>
            <w:tcBorders/>
            <w:shd w:fill="auto" w:val="clear"/>
            <w:vAlign w:val="center"/>
          </w:tcPr>
          <w:p>
            <w:pPr>
              <w:pStyle w:val="TableContents"/>
              <w:spacing w:before="0" w:after="283"/>
              <w:rPr/>
            </w:pPr>
            <w:r>
              <w:rPr/>
            </w:r>
          </w:p>
        </w:tc>
        <w:tc>
          <w:tcPr>
            <w:tcW w:w="729" w:type="dxa"/>
            <w:tcBorders/>
            <w:shd w:fill="auto" w:val="clear"/>
            <w:vAlign w:val="center"/>
          </w:tcPr>
          <w:p>
            <w:pPr>
              <w:pStyle w:val="TableContents"/>
              <w:spacing w:before="0" w:after="283"/>
              <w:jc w:val="right"/>
              <w:rPr/>
            </w:pPr>
            <w:r>
              <w:rPr/>
              <w:t>—</w:t>
            </w:r>
          </w:p>
        </w:tc>
        <w:tc>
          <w:tcPr>
            <w:tcW w:w="208" w:type="dxa"/>
            <w:tcBorders/>
            <w:shd w:fill="auto" w:val="clear"/>
            <w:vAlign w:val="center"/>
          </w:tcPr>
          <w:p>
            <w:pPr>
              <w:pStyle w:val="TableContents"/>
              <w:spacing w:before="0" w:after="283"/>
              <w:rPr/>
            </w:pPr>
            <w:r>
              <w:rPr/>
            </w:r>
          </w:p>
        </w:tc>
      </w:tr>
    </w:tbl>
    <w:p>
      <w:pPr>
        <w:pStyle w:val="TextBody"/>
        <w:spacing w:before="0" w:after="0"/>
        <w:ind w:left="144" w:right="144" w:hanging="0"/>
        <w:jc w:val="both"/>
        <w:rPr/>
      </w:pPr>
      <w:r>
        <w:rPr/>
        <w:t> </w:t>
      </w:r>
    </w:p>
    <w:p>
      <w:pPr>
        <w:pStyle w:val="TextBody"/>
        <w:spacing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spacing w:before="0" w:after="0"/>
        <w:ind w:left="144" w:right="144" w:hanging="0"/>
        <w:jc w:val="both"/>
        <w:rPr/>
      </w:pPr>
      <w:r>
        <w:rPr/>
        <w:t> </w:t>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F-7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ind w:left="0" w:right="0" w:hanging="0"/>
        <w:jc w:val="center"/>
        <w:rPr/>
      </w:pPr>
      <w:hyperlink r:id="rId46">
        <w:r>
          <w:rPr>
            <w:rStyle w:val="VisitedInternetLink"/>
            <w:rFonts w:ascii="Times New Roman" w:hAnsi="Times New Roman"/>
            <w:b/>
            <w:strike w:val="false"/>
            <w:dstrike w:val="false"/>
            <w:color w:val="000000"/>
            <w:sz w:val="20"/>
            <w:u w:val="none"/>
            <w:effect w:val="none"/>
          </w:rPr>
          <w:t>NOTES TO CONSOLIDATED FINANCIAL STATEMENTS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1. Business Description, Basis of Presentation and Significant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Business Description: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Basis of Presentation:</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Fiscal Year</w:t>
      </w:r>
      <w:r>
        <w:rPr>
          <w:rFonts w:ascii="times new roman;times" w:hAnsi="times new roman;times"/>
          <w:sz w:val="20"/>
        </w:rPr>
        <w:t xml:space="preserve"> – </w:t>
      </w:r>
      <w:r>
        <w:rPr>
          <w:rFonts w:ascii="Times New Roman" w:hAnsi="Times New Roman"/>
          <w:sz w:val="20"/>
        </w:rPr>
        <w:t>This report on Form 10-K includes consolidated balance sheets for the years ended December 31, 2020 and 2019</w:t>
      </w:r>
      <w:r>
        <w:rPr>
          <w:rFonts w:ascii="times new roman;times" w:hAnsi="times new roman;times"/>
          <w:sz w:val="20"/>
        </w:rPr>
        <w:t xml:space="preserve"> </w:t>
      </w:r>
      <w:r>
        <w:rPr>
          <w:rFonts w:ascii="Times New Roman" w:hAnsi="Times New Roman"/>
          <w:sz w:val="20"/>
        </w:rPr>
        <w:t>and the related consolidated statements of operations and comprehensive income (loss), shareholders' equity, and cash flows</w:t>
      </w:r>
      <w:r>
        <w:rPr>
          <w:rFonts w:ascii="times new roman;times" w:hAnsi="times new roman;times"/>
          <w:sz w:val="20"/>
        </w:rPr>
        <w:t> </w:t>
      </w:r>
      <w:r>
        <w:rPr>
          <w:rFonts w:ascii="Times New Roman" w:hAnsi="Times New Roman"/>
          <w:sz w:val="20"/>
        </w:rPr>
        <w:t>for each of the years 2020 and 2019.</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Consolidation</w:t>
      </w:r>
      <w:r>
        <w:rPr>
          <w:rFonts w:ascii="times new roman;times" w:hAnsi="times new roman;times"/>
          <w:sz w:val="20"/>
        </w:rPr>
        <w:t xml:space="preserve"> – </w:t>
      </w:r>
      <w:r>
        <w:rPr>
          <w:rFonts w:ascii="Times New Roman" w:hAnsi="Times New Roman"/>
          <w:sz w:val="20"/>
        </w:rPr>
        <w:t>These consolidated financial statements include the financial statements of ClearOne, Inc. and its wholly owned subsidiaries. All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Use of Estimates</w:t>
      </w:r>
      <w:r>
        <w:rPr>
          <w:rFonts w:ascii="times new roman;times" w:hAnsi="times new roman;times"/>
          <w:sz w:val="20"/>
        </w:rPr>
        <w:t xml:space="preserve"> – </w:t>
      </w:r>
      <w:r>
        <w:rPr>
          <w:rFonts w:ascii="Times New Roman" w:hAnsi="Times New Roman"/>
          <w:sz w:val="20"/>
        </w:rPr>
        <w:t>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receivable and product returns, provisions for obsolete inventory, potential impairment of long-lived assets, and deferred income tax asset valuation allowances. Actual results could differ materially from these estimates.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Foreign Currency Translation</w:t>
      </w:r>
      <w:r>
        <w:rPr>
          <w:rFonts w:ascii="times new roman;times" w:hAnsi="times new roman;times"/>
          <w:sz w:val="20"/>
        </w:rPr>
        <w:t xml:space="preserve"> – </w:t>
      </w:r>
      <w:r>
        <w:rPr>
          <w:rFonts w:ascii="Times New Roman" w:hAnsi="Times New Roman"/>
          <w:sz w:val="20"/>
        </w:rPr>
        <w:t>We are exposed to foreign currency exchange risk through our foreign subsidiaries. Other than our subsidiaries in India and Spain, all other foreign subsidiaries are U.S. dollar functional, for which gains and losses arising from remeasurement are included in earnings. Our Spanish subsidiary is Euro functional, for which gains and losses arising from translation are included in accumulated other comprehensive income or loss. Our Indian subsidiary is Indian Rupee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Concentration Risk</w:t>
      </w:r>
      <w:r>
        <w:rPr>
          <w:rFonts w:ascii="times new roman;times" w:hAnsi="times new roman;times"/>
          <w:sz w:val="20"/>
        </w:rPr>
        <w:t xml:space="preserve"> – </w:t>
      </w:r>
      <w:r>
        <w:rPr>
          <w:rFonts w:ascii="Times New Roman" w:hAnsi="Times New Roman"/>
          <w:sz w:val="20"/>
        </w:rPr>
        <w:t>We depend on an outsourced manufacturing strategy for our products. We outsource the manufacture of all of</w:t>
      </w:r>
      <w:r>
        <w:rPr>
          <w:rFonts w:ascii="times new roman;times" w:hAnsi="times new roman;times"/>
          <w:sz w:val="20"/>
        </w:rPr>
        <w:t xml:space="preserve"> </w:t>
      </w:r>
      <w:r>
        <w:rPr>
          <w:rFonts w:ascii="Times New Roman" w:hAnsi="Times New Roman"/>
          <w:sz w:val="20"/>
        </w:rPr>
        <w:t>our products to third party manufacturers located in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Significant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Cash Equivalents</w:t>
      </w:r>
      <w:r>
        <w:rPr>
          <w:rFonts w:ascii="times new roman;times" w:hAnsi="times new roman;times"/>
          <w:sz w:val="20"/>
        </w:rPr>
        <w:t xml:space="preserve"> – </w:t>
      </w:r>
      <w:r>
        <w:rPr>
          <w:rFonts w:ascii="Times New Roman" w:hAnsi="Times New Roman"/>
          <w:sz w:val="20"/>
        </w:rPr>
        <w:t>The Company considers all highly-liquid investments with a maturity of three months or less, when purchased, to be cash equivalents. The Company places its temporary cash investments with high-quality financial institutions. At times, such investments may be in excess of the Federal Deposit Insurance Corporation insurance limits.</w:t>
      </w:r>
    </w:p>
    <w:p>
      <w:pPr>
        <w:pStyle w:val="TextBody"/>
        <w:spacing w:before="0" w:after="0"/>
        <w:ind w:left="0" w:right="0" w:hanging="0"/>
        <w:jc w:val="both"/>
        <w:rPr/>
      </w:pPr>
      <w:r>
        <w:rPr/>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F-8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Marketable Securities -</w:t>
      </w:r>
      <w:r>
        <w:rPr>
          <w:rFonts w:ascii="times new roman;times" w:hAnsi="times new roman;times"/>
          <w:sz w:val="20"/>
        </w:rPr>
        <w:t xml:space="preserve"> </w:t>
      </w:r>
      <w:r>
        <w:rPr>
          <w:rFonts w:ascii="Times New Roman" w:hAnsi="Times New Roman"/>
          <w:sz w:val="20"/>
        </w:rPr>
        <w:t>The Company has classified its marketable securities as available-for-sale securities. These debt securities are carried at estimated fair value with unrealized holding gains and losses included in other comprehensive income (loss) in shareholders’ equity until realized. Gains and losses on marketable security transactions are reported on the specific-identification method. Dividend and interest income are recognized when earned.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2020 and 2019.</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Accounts Receivable</w:t>
      </w:r>
      <w:r>
        <w:rPr>
          <w:rFonts w:ascii="times new roman;times" w:hAnsi="times new roman;times"/>
          <w:sz w:val="20"/>
        </w:rPr>
        <w:t xml:space="preserve"> – </w:t>
      </w:r>
      <w:r>
        <w:rPr>
          <w:rFonts w:ascii="Times New Roman" w:hAnsi="Times New Roman"/>
          <w:sz w:val="20"/>
        </w:rPr>
        <w:t>Accounts receivable are recorded at the invoiced amount, net of expected returns and allowance for doubtful accounts. Generally, credit is granted to customers on a short-term basis without 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Company’s allowance for doubtful accounts activity for the years</w:t>
      </w:r>
      <w:r>
        <w:rPr>
          <w:rFonts w:ascii="times new roman;times" w:hAnsi="times new roman;times"/>
          <w:sz w:val="20"/>
        </w:rPr>
        <w:t xml:space="preserve"> </w:t>
      </w:r>
      <w:r>
        <w:rPr>
          <w:rFonts w:ascii="Times New Roman" w:hAnsi="Times New Roman"/>
          <w:sz w:val="20"/>
        </w:rPr>
        <w:t>ended December 31, 2020 and 2019</w:t>
      </w:r>
      <w:r>
        <w:rPr>
          <w:rFonts w:ascii="times new roman;times" w:hAnsi="times new roman;times"/>
          <w:sz w:val="20"/>
        </w:rPr>
        <w:t xml:space="preserve"> </w:t>
      </w:r>
      <w:r>
        <w:rPr>
          <w:rFonts w:ascii="Times New Roman" w:hAnsi="Times New Roman"/>
          <w:sz w:val="20"/>
        </w:rPr>
        <w:t>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01"/>
        <w:gridCol w:w="242"/>
        <w:gridCol w:w="526"/>
        <w:gridCol w:w="1175"/>
        <w:gridCol w:w="370"/>
        <w:gridCol w:w="370"/>
        <w:gridCol w:w="526"/>
        <w:gridCol w:w="1222"/>
        <w:gridCol w:w="273"/>
      </w:tblGrid>
      <w:tr>
        <w:trPr/>
        <w:tc>
          <w:tcPr>
            <w:tcW w:w="5501"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4189"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273" w:type="dxa"/>
            <w:tcBorders/>
            <w:shd w:fill="auto" w:val="clear"/>
            <w:vAlign w:val="center"/>
          </w:tcPr>
          <w:p>
            <w:pPr>
              <w:pStyle w:val="TableContents"/>
              <w:spacing w:before="0" w:after="0"/>
              <w:ind w:left="0" w:right="0" w:hanging="0"/>
              <w:rPr/>
            </w:pPr>
            <w:r>
              <w:rPr/>
              <w:t xml:space="preserve">  </w:t>
            </w:r>
          </w:p>
        </w:tc>
      </w:tr>
      <w:tr>
        <w:trPr/>
        <w:tc>
          <w:tcPr>
            <w:tcW w:w="5501"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1701"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370" w:type="dxa"/>
            <w:tcBorders/>
            <w:shd w:fill="auto" w:val="clear"/>
            <w:vAlign w:val="center"/>
          </w:tcPr>
          <w:p>
            <w:pPr>
              <w:pStyle w:val="TableContents"/>
              <w:spacing w:before="0" w:after="0"/>
              <w:ind w:left="0" w:right="0" w:hanging="0"/>
              <w:rPr/>
            </w:pPr>
            <w:r>
              <w:rPr/>
              <w:t xml:space="preserve">  </w:t>
            </w:r>
          </w:p>
        </w:tc>
        <w:tc>
          <w:tcPr>
            <w:tcW w:w="370" w:type="dxa"/>
            <w:tcBorders/>
            <w:shd w:fill="auto" w:val="clear"/>
            <w:vAlign w:val="center"/>
          </w:tcPr>
          <w:p>
            <w:pPr>
              <w:pStyle w:val="TableContents"/>
              <w:spacing w:before="0" w:after="0"/>
              <w:ind w:left="0" w:right="0" w:hanging="0"/>
              <w:rPr/>
            </w:pPr>
            <w:r>
              <w:rPr/>
              <w:t xml:space="preserve">  </w:t>
            </w:r>
          </w:p>
        </w:tc>
        <w:tc>
          <w:tcPr>
            <w:tcW w:w="174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273" w:type="dxa"/>
            <w:tcBorders/>
            <w:shd w:fill="auto" w:val="clear"/>
            <w:vAlign w:val="center"/>
          </w:tcPr>
          <w:p>
            <w:pPr>
              <w:pStyle w:val="TableContents"/>
              <w:spacing w:before="0" w:after="0"/>
              <w:ind w:left="0" w:right="0" w:hanging="0"/>
              <w:rPr/>
            </w:pPr>
            <w:r>
              <w:rPr/>
              <w:t xml:space="preserve">  </w:t>
            </w:r>
          </w:p>
        </w:tc>
      </w:tr>
      <w:tr>
        <w:trPr/>
        <w:tc>
          <w:tcPr>
            <w:tcW w:w="550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at beginning of the year </w:t>
            </w:r>
          </w:p>
        </w:tc>
        <w:tc>
          <w:tcPr>
            <w:tcW w:w="242" w:type="dxa"/>
            <w:tcBorders/>
            <w:shd w:fill="CCEEFF" w:val="clear"/>
            <w:vAlign w:val="center"/>
          </w:tcPr>
          <w:p>
            <w:pPr>
              <w:pStyle w:val="TableContents"/>
              <w:spacing w:before="0" w:after="0"/>
              <w:ind w:left="0" w:right="0" w:hanging="0"/>
              <w:rPr/>
            </w:pPr>
            <w:r>
              <w:rPr/>
              <w:t xml:space="preserve">  </w:t>
            </w:r>
          </w:p>
        </w:tc>
        <w:tc>
          <w:tcPr>
            <w:tcW w:w="52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424 </w:t>
            </w:r>
          </w:p>
        </w:tc>
        <w:tc>
          <w:tcPr>
            <w:tcW w:w="370" w:type="dxa"/>
            <w:tcBorders/>
            <w:shd w:fill="CCEEFF" w:val="clear"/>
            <w:vAlign w:val="center"/>
          </w:tcPr>
          <w:p>
            <w:pPr>
              <w:pStyle w:val="TableContents"/>
              <w:spacing w:before="0" w:after="0"/>
              <w:ind w:left="0" w:right="0" w:hanging="0"/>
              <w:rPr/>
            </w:pPr>
            <w:r>
              <w:rPr/>
              <w:t xml:space="preserve">  </w:t>
            </w:r>
          </w:p>
        </w:tc>
        <w:tc>
          <w:tcPr>
            <w:tcW w:w="370" w:type="dxa"/>
            <w:tcBorders/>
            <w:shd w:fill="CCEEFF" w:val="clear"/>
            <w:vAlign w:val="center"/>
          </w:tcPr>
          <w:p>
            <w:pPr>
              <w:pStyle w:val="TableContents"/>
              <w:spacing w:before="0" w:after="0"/>
              <w:ind w:left="0" w:right="0" w:hanging="0"/>
              <w:rPr/>
            </w:pPr>
            <w:r>
              <w:rPr/>
              <w:t xml:space="preserve">  </w:t>
            </w:r>
          </w:p>
        </w:tc>
        <w:tc>
          <w:tcPr>
            <w:tcW w:w="52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2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631 </w:t>
            </w:r>
          </w:p>
        </w:tc>
        <w:tc>
          <w:tcPr>
            <w:tcW w:w="273" w:type="dxa"/>
            <w:tcBorders/>
            <w:shd w:fill="CCEEFF" w:val="clear"/>
            <w:vAlign w:val="center"/>
          </w:tcPr>
          <w:p>
            <w:pPr>
              <w:pStyle w:val="TableContents"/>
              <w:spacing w:before="0" w:after="0"/>
              <w:ind w:left="0" w:right="0" w:hanging="0"/>
              <w:rPr/>
            </w:pPr>
            <w:r>
              <w:rPr/>
              <w:t xml:space="preserve">  </w:t>
            </w:r>
          </w:p>
        </w:tc>
      </w:tr>
      <w:tr>
        <w:trPr/>
        <w:tc>
          <w:tcPr>
            <w:tcW w:w="550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Allowance increase</w:t>
            </w:r>
          </w:p>
        </w:tc>
        <w:tc>
          <w:tcPr>
            <w:tcW w:w="242" w:type="dxa"/>
            <w:tcBorders/>
            <w:shd w:fill="auto" w:val="clear"/>
            <w:vAlign w:val="center"/>
          </w:tcPr>
          <w:p>
            <w:pPr>
              <w:pStyle w:val="TableContents"/>
              <w:spacing w:before="0" w:after="0"/>
              <w:ind w:left="0" w:right="0" w:hanging="0"/>
              <w:rPr/>
            </w:pPr>
            <w:r>
              <w:rPr/>
              <w:t xml:space="preserve">  </w:t>
            </w:r>
          </w:p>
        </w:tc>
        <w:tc>
          <w:tcPr>
            <w:tcW w:w="526" w:type="dxa"/>
            <w:tcBorders/>
            <w:shd w:fill="auto" w:val="clear"/>
            <w:vAlign w:val="center"/>
          </w:tcPr>
          <w:p>
            <w:pPr>
              <w:pStyle w:val="TableContents"/>
              <w:spacing w:before="0" w:after="0"/>
              <w:ind w:left="0" w:right="0" w:hanging="0"/>
              <w:rPr/>
            </w:pPr>
            <w:r>
              <w:rPr/>
              <w:t xml:space="preserve">  </w:t>
            </w:r>
          </w:p>
        </w:tc>
        <w:tc>
          <w:tcPr>
            <w:tcW w:w="117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120 </w:t>
            </w:r>
          </w:p>
        </w:tc>
        <w:tc>
          <w:tcPr>
            <w:tcW w:w="370" w:type="dxa"/>
            <w:tcBorders/>
            <w:shd w:fill="auto" w:val="clear"/>
            <w:vAlign w:val="center"/>
          </w:tcPr>
          <w:p>
            <w:pPr>
              <w:pStyle w:val="TableContents"/>
              <w:spacing w:before="0" w:after="0"/>
              <w:ind w:left="0" w:right="0" w:hanging="0"/>
              <w:rPr/>
            </w:pPr>
            <w:r>
              <w:rPr/>
              <w:t xml:space="preserve">  </w:t>
            </w:r>
          </w:p>
        </w:tc>
        <w:tc>
          <w:tcPr>
            <w:tcW w:w="370" w:type="dxa"/>
            <w:tcBorders/>
            <w:shd w:fill="auto" w:val="clear"/>
            <w:vAlign w:val="center"/>
          </w:tcPr>
          <w:p>
            <w:pPr>
              <w:pStyle w:val="TableContents"/>
              <w:spacing w:before="0" w:after="0"/>
              <w:ind w:left="0" w:right="0" w:hanging="0"/>
              <w:rPr/>
            </w:pPr>
            <w:r>
              <w:rPr/>
              <w:t xml:space="preserve">  </w:t>
            </w:r>
          </w:p>
        </w:tc>
        <w:tc>
          <w:tcPr>
            <w:tcW w:w="526" w:type="dxa"/>
            <w:tcBorders/>
            <w:shd w:fill="auto" w:val="clear"/>
            <w:vAlign w:val="center"/>
          </w:tcPr>
          <w:p>
            <w:pPr>
              <w:pStyle w:val="TableContents"/>
              <w:spacing w:before="0" w:after="0"/>
              <w:ind w:left="0" w:right="0" w:hanging="0"/>
              <w:rPr/>
            </w:pPr>
            <w:r>
              <w:rPr/>
              <w:t xml:space="preserve">  </w:t>
            </w:r>
          </w:p>
        </w:tc>
        <w:tc>
          <w:tcPr>
            <w:tcW w:w="122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92 </w:t>
            </w:r>
          </w:p>
        </w:tc>
        <w:tc>
          <w:tcPr>
            <w:tcW w:w="273" w:type="dxa"/>
            <w:tcBorders/>
            <w:shd w:fill="auto" w:val="clear"/>
            <w:vAlign w:val="center"/>
          </w:tcPr>
          <w:p>
            <w:pPr>
              <w:pStyle w:val="TableContents"/>
              <w:spacing w:before="0" w:after="0"/>
              <w:ind w:left="0" w:right="0" w:hanging="0"/>
              <w:rPr/>
            </w:pPr>
            <w:r>
              <w:rPr/>
              <w:t xml:space="preserve">  </w:t>
            </w:r>
          </w:p>
        </w:tc>
      </w:tr>
      <w:tr>
        <w:trPr/>
        <w:tc>
          <w:tcPr>
            <w:tcW w:w="550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Write offs, net of recoveries </w:t>
            </w:r>
          </w:p>
        </w:tc>
        <w:tc>
          <w:tcPr>
            <w:tcW w:w="242" w:type="dxa"/>
            <w:tcBorders/>
            <w:shd w:fill="CCEEFF" w:val="clear"/>
            <w:vAlign w:val="center"/>
          </w:tcPr>
          <w:p>
            <w:pPr>
              <w:pStyle w:val="TableContents"/>
              <w:spacing w:before="0" w:after="0"/>
              <w:ind w:left="0" w:right="0" w:hanging="0"/>
              <w:rPr/>
            </w:pPr>
            <w:r>
              <w:rPr/>
              <w:t xml:space="preserve">  </w:t>
            </w:r>
          </w:p>
        </w:tc>
        <w:tc>
          <w:tcPr>
            <w:tcW w:w="52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75"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(38</w:t>
            </w:r>
          </w:p>
        </w:tc>
        <w:tc>
          <w:tcPr>
            <w:tcW w:w="370"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xml:space="preserve">  </w:t>
            </w:r>
          </w:p>
        </w:tc>
        <w:tc>
          <w:tcPr>
            <w:tcW w:w="52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222"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(299</w:t>
            </w:r>
          </w:p>
        </w:tc>
        <w:tc>
          <w:tcPr>
            <w:tcW w:w="273" w:type="dxa"/>
            <w:tcBorders/>
            <w:shd w:fill="CCEEFF" w:val="clear"/>
            <w:vAlign w:val="center"/>
          </w:tcPr>
          <w:p>
            <w:pPr>
              <w:pStyle w:val="TableContents"/>
              <w:spacing w:before="0" w:after="0"/>
              <w:ind w:left="0" w:right="0" w:hanging="0"/>
              <w:rPr/>
            </w:pPr>
            <w:r>
              <w:rPr/>
              <w:t>)</w:t>
            </w:r>
          </w:p>
        </w:tc>
      </w:tr>
      <w:tr>
        <w:trPr/>
        <w:tc>
          <w:tcPr>
            <w:tcW w:w="550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at end of the year </w:t>
            </w:r>
          </w:p>
        </w:tc>
        <w:tc>
          <w:tcPr>
            <w:tcW w:w="242" w:type="dxa"/>
            <w:tcBorders/>
            <w:shd w:fill="auto" w:val="clear"/>
            <w:vAlign w:val="center"/>
          </w:tcPr>
          <w:p>
            <w:pPr>
              <w:pStyle w:val="TableContents"/>
              <w:spacing w:before="0" w:after="0"/>
              <w:ind w:left="0" w:right="0" w:hanging="0"/>
              <w:rPr/>
            </w:pPr>
            <w:r>
              <w:rPr/>
              <w:t xml:space="preserve">  </w:t>
            </w:r>
          </w:p>
        </w:tc>
        <w:tc>
          <w:tcPr>
            <w:tcW w:w="5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506 </w:t>
            </w:r>
          </w:p>
        </w:tc>
        <w:tc>
          <w:tcPr>
            <w:tcW w:w="370" w:type="dxa"/>
            <w:tcBorders/>
            <w:shd w:fill="auto" w:val="clear"/>
            <w:vAlign w:val="center"/>
          </w:tcPr>
          <w:p>
            <w:pPr>
              <w:pStyle w:val="TableContents"/>
              <w:spacing w:before="0" w:after="0"/>
              <w:ind w:left="0" w:right="0" w:hanging="0"/>
              <w:rPr/>
            </w:pPr>
            <w:r>
              <w:rPr/>
              <w:t xml:space="preserve">  </w:t>
            </w:r>
          </w:p>
        </w:tc>
        <w:tc>
          <w:tcPr>
            <w:tcW w:w="370" w:type="dxa"/>
            <w:tcBorders/>
            <w:shd w:fill="auto" w:val="clear"/>
            <w:vAlign w:val="center"/>
          </w:tcPr>
          <w:p>
            <w:pPr>
              <w:pStyle w:val="TableContents"/>
              <w:spacing w:before="0" w:after="0"/>
              <w:ind w:left="0" w:right="0" w:hanging="0"/>
              <w:rPr/>
            </w:pPr>
            <w:r>
              <w:rPr/>
              <w:t xml:space="preserve">  </w:t>
            </w:r>
          </w:p>
        </w:tc>
        <w:tc>
          <w:tcPr>
            <w:tcW w:w="5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2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424 </w:t>
            </w:r>
          </w:p>
        </w:tc>
        <w:tc>
          <w:tcPr>
            <w:tcW w:w="273" w:type="dxa"/>
            <w:tcBorders/>
            <w:shd w:fill="auto" w:val="cle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Inventories</w:t>
      </w:r>
      <w:r>
        <w:rPr>
          <w:rFonts w:ascii="times new roman;times" w:hAnsi="times new roman;times"/>
          <w:sz w:val="20"/>
        </w:rPr>
        <w:t xml:space="preserve"> – </w:t>
      </w:r>
      <w:r>
        <w:rPr>
          <w:rFonts w:ascii="Times New Roman" w:hAnsi="Times New Roman"/>
          <w:sz w:val="20"/>
        </w:rPr>
        <w:t>Inventories are valued at the lower of cost or market, with cost computed on a first-in, first-out (“FIFO”) basis. In addition to the price of the 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inventory also includes advance replacement units (valued at cost) provided by the Company to end-users to service defective products under warranty. The value of advance replacement units included in the inventory was $35</w:t>
      </w:r>
      <w:r>
        <w:rPr>
          <w:rFonts w:ascii="times new roman;times" w:hAnsi="times new roman;times"/>
          <w:sz w:val="20"/>
        </w:rPr>
        <w:t xml:space="preserve"> </w:t>
      </w:r>
      <w:r>
        <w:rPr>
          <w:rFonts w:ascii="Times New Roman" w:hAnsi="Times New Roman"/>
          <w:sz w:val="20"/>
        </w:rPr>
        <w:t xml:space="preserve">and $102, as of </w:t>
      </w:r>
      <w:r>
        <w:rPr>
          <w:rFonts w:ascii="times new roman;times" w:hAnsi="times new roman;times"/>
          <w:sz w:val="20"/>
        </w:rPr>
        <w:t xml:space="preserve">December 31, 2020 </w:t>
      </w:r>
      <w:r>
        <w:rPr>
          <w:rFonts w:ascii="Times New Roman" w:hAnsi="Times New Roman"/>
          <w:sz w:val="20"/>
        </w:rPr>
        <w:t>and 2019,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inventory consists of</w:t>
      </w:r>
      <w:r>
        <w:rPr>
          <w:rFonts w:ascii="times new roman;times" w:hAnsi="times new roman;times"/>
          <w:sz w:val="20"/>
        </w:rPr>
        <w:t> </w:t>
      </w:r>
      <w:r>
        <w:rPr>
          <w:rFonts w:ascii="Times New Roman" w:hAnsi="Times New Roman"/>
          <w:sz w:val="20"/>
        </w:rPr>
        <w:t>current inventory of $10,463</w:t>
      </w:r>
      <w:r>
        <w:rPr>
          <w:rFonts w:ascii="times new roman;times" w:hAnsi="times new roman;times"/>
          <w:sz w:val="20"/>
        </w:rPr>
        <w:t xml:space="preserve"> </w:t>
      </w:r>
      <w:r>
        <w:rPr>
          <w:rFonts w:ascii="Times New Roman" w:hAnsi="Times New Roman"/>
          <w:sz w:val="20"/>
        </w:rPr>
        <w:t>and long-term inventory of $4,590. Long term inventory represents inventory held in excess of our current (next 12 months) requirements based on our recent sales and forecasted level of sales.</w:t>
      </w:r>
      <w:r>
        <w:rPr>
          <w:rFonts w:ascii="times new roman;times" w:hAnsi="times new roman;times"/>
          <w:sz w:val="20"/>
        </w:rPr>
        <w:t> </w:t>
      </w:r>
    </w:p>
    <w:p>
      <w:pPr>
        <w:pStyle w:val="TextBody"/>
        <w:spacing w:before="0" w:after="0"/>
        <w:ind w:left="0" w:right="0" w:hanging="0"/>
        <w:jc w:val="both"/>
        <w:rPr/>
      </w:pPr>
      <w:r>
        <w:rPr/>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F-9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center"/>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Property and Equipment</w:t>
      </w:r>
      <w:r>
        <w:rPr>
          <w:rFonts w:ascii="times new roman;times" w:hAnsi="times new roman;times"/>
          <w:sz w:val="20"/>
        </w:rPr>
        <w:t xml:space="preserve"> – </w:t>
      </w:r>
      <w:r>
        <w:rPr>
          <w:rFonts w:ascii="Times New Roman" w:hAnsi="Times New Roman"/>
          <w:sz w:val="20"/>
        </w:rPr>
        <w:t>Property and equipment are stated at cost less accumulated depreciation and amortization. Expenditures that materially increase 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Intangible Assets –</w:t>
      </w:r>
      <w:r>
        <w:rPr>
          <w:rFonts w:ascii="times new roman;times" w:hAnsi="times new roman;times"/>
          <w:sz w:val="20"/>
        </w:rPr>
        <w:t xml:space="preserve"> </w:t>
      </w:r>
      <w:r>
        <w:rPr>
          <w:rFonts w:ascii="Times New Roman" w:hAnsi="Times New Roman"/>
          <w:sz w:val="20"/>
        </w:rPr>
        <w:t>Intangible assets acquired in a purchase business combination are amortized over their useful lives unless these lives are determined to be indefinite. Intangible assets are carried at cost, less accumulated amortization. Amortization is computed over the estimated useful lives of the respective assets, which are generally three to ten years. Intangible assets acquired in a purchase business combination and determined to have an indefinite useful life are not amortized.</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Impairment of Long-Lived Assets -</w:t>
      </w:r>
      <w:r>
        <w:rPr>
          <w:rFonts w:ascii="times new roman;times" w:hAnsi="times new roman;times"/>
          <w:sz w:val="20"/>
        </w:rPr>
        <w:t> </w:t>
      </w:r>
      <w:r>
        <w:rPr>
          <w:rFonts w:ascii="Times New Roman" w:hAnsi="Times New Roman"/>
          <w:sz w:val="20"/>
        </w:rPr>
        <w:t>Long-lived assets, such as property, equipment, and definite-lived intangible assets subject to depreciation and amortization, are reviewed for impairment whenever events or changes in circumstances indicate that the carrying value of an asset</w:t>
      </w:r>
      <w:r>
        <w:rPr>
          <w:rFonts w:ascii="times new roman;times" w:hAnsi="times new roman;times"/>
          <w:sz w:val="20"/>
        </w:rPr>
        <w:t> </w:t>
      </w:r>
      <w:r>
        <w:rPr>
          <w:rFonts w:ascii="Times New Roman" w:hAnsi="Times New Roman"/>
          <w:sz w:val="20"/>
        </w:rPr>
        <w:t>may not</w:t>
      </w:r>
      <w:r>
        <w:rPr>
          <w:rFonts w:ascii="times new roman;times" w:hAnsi="times new roman;times"/>
          <w:sz w:val="20"/>
        </w:rPr>
        <w:t> </w:t>
      </w:r>
      <w:r>
        <w:rPr>
          <w:rFonts w:ascii="Times New Roman" w:hAnsi="Times New Roman"/>
          <w:sz w:val="20"/>
        </w:rPr>
        <w:t>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r>
        <w:rPr>
          <w:rFonts w:ascii="times new roman;times" w:hAnsi="times new roman;times"/>
          <w:sz w:val="20"/>
        </w:rPr>
        <w:t>  </w:t>
      </w:r>
    </w:p>
    <w:p>
      <w:pPr>
        <w:pStyle w:val="TextBody"/>
        <w:spacing w:before="0" w:after="0"/>
        <w:ind w:left="0" w:right="0" w:hanging="0"/>
        <w:rPr/>
      </w:pPr>
      <w:r>
        <w:rPr/>
        <w:t>  </w:t>
      </w:r>
    </w:p>
    <w:p>
      <w:pPr>
        <w:pStyle w:val="TextBody"/>
        <w:spacing w:before="0" w:after="0"/>
        <w:jc w:val="both"/>
        <w:rPr>
          <w:rFonts w:ascii="times new roman;times" w:hAnsi="times new roman;times"/>
          <w:sz w:val="20"/>
        </w:rPr>
      </w:pPr>
      <w:r>
        <w:rPr>
          <w:rFonts w:ascii="times new roman;times" w:hAnsi="times new roman;times"/>
          <w:i/>
          <w:sz w:val="20"/>
        </w:rPr>
        <w:t xml:space="preserve">Recent accounting standard related to leases: </w:t>
      </w:r>
      <w:r>
        <w:rPr>
          <w:rFonts w:ascii="times new roman;times" w:hAnsi="times new roman;times"/>
          <w:sz w:val="20"/>
        </w:rPr>
        <w:t>In February 2016, the FASB issued ASU 2016-02, Leases (“ASU 2016-02”). This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has adopted the requirements of ASU 2016-02 on January 1, 2019, the first day of fiscal year 2019, using the optional transition method. The Company elected to use certain practical expedient options, which allows an entity not to reassess whether any existing or expired contracts contain leases. There was an increase in assets of $2,966 and liabilities of $3,101 due to the recognition of the required right-of-use asset and corresponding liability for all lease obligations that are currently classified as operating leases with the difference of $135 related to existing deferred rent that reduced the ROU asset recorded. The standard did not have a material impact on our condensed consolidated statements of operations and comprehensive income (loss).</w:t>
      </w:r>
    </w:p>
    <w:p>
      <w:pPr>
        <w:pStyle w:val="TextBody"/>
        <w:spacing w:before="0" w:after="0"/>
        <w:rPr>
          <w:rFonts w:ascii="times new roman;times" w:hAnsi="times new roman;times"/>
          <w:sz w:val="20"/>
        </w:rPr>
      </w:pPr>
      <w:r>
        <w:rPr>
          <w:rFonts w:ascii="times new roman;times" w:hAnsi="times new roman;times"/>
          <w:sz w:val="20"/>
        </w:rPr>
      </w:r>
    </w:p>
    <w:p>
      <w:pPr>
        <w:pStyle w:val="TextBody"/>
        <w:spacing w:before="0" w:after="0"/>
        <w:jc w:val="both"/>
        <w:rPr>
          <w:rFonts w:ascii="times new roman;times" w:hAnsi="times new roman;times"/>
          <w:sz w:val="20"/>
        </w:rPr>
      </w:pPr>
      <w:r>
        <w:rPr>
          <w:rFonts w:ascii="times new roman;times" w:hAnsi="times new roman;times"/>
          <w:i/>
          <w:sz w:val="20"/>
        </w:rPr>
        <w:t xml:space="preserve">Change in accounting policy related to leases: </w:t>
      </w:r>
      <w:r>
        <w:rPr>
          <w:rFonts w:ascii="times new roman;times" w:hAnsi="times new roman;times"/>
          <w:sz w:val="20"/>
        </w:rPr>
        <w:t>We determine if an arrangement is a lease at inception. Operating leases are included in operating lease - right of use (“ROU”) assets, accrued liabilities, and operating lease liability in our consolidated balance sheets. As of adoption of ASC 842 and as of December 31, 2020 and December 31, 2019, the Company was not party to finance lease arrangements. 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 Under the available practical expedient, we account for the lease and non-lease components as a single lease component. </w:t>
      </w:r>
    </w:p>
    <w:p>
      <w:pPr>
        <w:pStyle w:val="TextBody"/>
        <w:spacing w:before="0" w:after="0"/>
        <w:rPr>
          <w:sz w:val="20"/>
        </w:rPr>
      </w:pPr>
      <w:r>
        <w:rPr>
          <w:sz w:val="20"/>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F-10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jc w:val="both"/>
        <w:rPr/>
      </w:pPr>
      <w:r>
        <w:rPr/>
      </w:r>
    </w:p>
    <w:p>
      <w:pPr>
        <w:pStyle w:val="TextBody"/>
        <w:spacing w:before="0" w:after="0"/>
        <w:ind w:left="0" w:right="0" w:hanging="0"/>
        <w:jc w:val="both"/>
        <w:rPr>
          <w:rFonts w:ascii="times new roman;times" w:hAnsi="times new roman;times"/>
          <w:sz w:val="20"/>
        </w:rPr>
      </w:pPr>
      <w:r>
        <w:rPr>
          <w:rFonts w:ascii="Times New Roman" w:hAnsi="Times New Roman"/>
          <w:i/>
          <w:sz w:val="20"/>
        </w:rPr>
        <w:t xml:space="preserve">Revenue Recognition Policy: </w:t>
      </w:r>
      <w:r>
        <w:rPr>
          <w:rFonts w:ascii="Times New Roman" w:hAnsi="Times New Roman"/>
          <w:sz w:val="20"/>
        </w:rPr>
        <w:t>The Company generates revenue from sales of its audio and video conferencing equipment to distributors, system integrators 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 (1)</w:t>
      </w:r>
      <w:r>
        <w:rPr>
          <w:rFonts w:ascii="times new roman;times" w:hAnsi="times new roman;times"/>
          <w:sz w:val="20"/>
        </w:rPr>
        <w:t> </w:t>
      </w:r>
      <w:r>
        <w:rPr>
          <w:rFonts w:ascii="Times New Roman" w:hAnsi="Times New Roman"/>
          <w:sz w:val="20"/>
        </w:rPr>
        <w:t>identifying the contract with a customer, (2)</w:t>
      </w:r>
      <w:r>
        <w:rPr>
          <w:rFonts w:ascii="times new roman;times" w:hAnsi="times new roman;times"/>
          <w:sz w:val="20"/>
        </w:rPr>
        <w:t> </w:t>
      </w:r>
      <w:r>
        <w:rPr>
          <w:rFonts w:ascii="Times New Roman" w:hAnsi="Times New Roman"/>
          <w:sz w:val="20"/>
        </w:rPr>
        <w:t>identifying the performance obligations in the contract, (3)</w:t>
      </w:r>
      <w:r>
        <w:rPr>
          <w:rFonts w:ascii="times new roman;times" w:hAnsi="times new roman;times"/>
          <w:sz w:val="20"/>
        </w:rPr>
        <w:t> </w:t>
      </w:r>
      <w:r>
        <w:rPr>
          <w:rFonts w:ascii="Times New Roman" w:hAnsi="Times New Roman"/>
          <w:sz w:val="20"/>
        </w:rPr>
        <w:t>determining the transaction price, (4)</w:t>
      </w:r>
      <w:r>
        <w:rPr>
          <w:rFonts w:ascii="times new roman;times" w:hAnsi="times new roman;times"/>
          <w:sz w:val="20"/>
        </w:rPr>
        <w:t> </w:t>
      </w:r>
      <w:r>
        <w:rPr>
          <w:rFonts w:ascii="Times New Roman" w:hAnsi="Times New Roman"/>
          <w:sz w:val="20"/>
        </w:rPr>
        <w:t>allocating the transaction price to the performance obligations in the contract and (5)</w:t>
      </w:r>
      <w:r>
        <w:rPr>
          <w:rFonts w:ascii="times new roman;times" w:hAnsi="times new roman;times"/>
          <w:sz w:val="20"/>
        </w:rPr>
        <w:t> </w:t>
      </w:r>
      <w:r>
        <w:rPr>
          <w:rFonts w:ascii="Times New Roman" w:hAnsi="Times New Roman"/>
          <w:sz w:val="20"/>
        </w:rPr>
        <w:t>recognizing revenue when the performance obligation is satisfied. Substantially all of</w:t>
      </w:r>
      <w:r>
        <w:rPr>
          <w:rFonts w:ascii="times new roman;times" w:hAnsi="times new roman;times"/>
          <w:sz w:val="20"/>
        </w:rPr>
        <w:t xml:space="preserve"> </w:t>
      </w:r>
      <w:r>
        <w:rPr>
          <w:rFonts w:ascii="Times New Roman" w:hAnsi="Times New Roman"/>
          <w:sz w:val="20"/>
        </w:rPr>
        <w:t>the Company’s revenue is recognized at the time control of the products transfers to the customer.</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widowControl/>
        <w:spacing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w:t>
      </w:r>
      <w:r>
        <w:rPr>
          <w:rFonts w:ascii="Times New Roman" w:hAnsi="Times New Roman"/>
          <w:sz w:val="20"/>
        </w:rPr>
        <w:t>December 31, 2020</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for equipment sales was $</w:t>
      </w:r>
      <w:r>
        <w:rPr>
          <w:rFonts w:ascii="Times New Roman" w:hAnsi="Times New Roman"/>
          <w:sz w:val="20"/>
        </w:rPr>
        <w:t>28,698</w:t>
      </w:r>
      <w:r>
        <w:rPr>
          <w:rFonts w:ascii="Times New Roman" w:hAnsi="Times New Roman"/>
          <w:b w:val="false"/>
          <w:i w:val="false"/>
          <w:caps w:val="false"/>
          <w:smallCaps w:val="false"/>
          <w:color w:val="000000"/>
          <w:spacing w:val="0"/>
          <w:sz w:val="20"/>
        </w:rPr>
        <w:t>, and for software, licenses, etc. was $</w:t>
      </w:r>
      <w:r>
        <w:rPr>
          <w:rFonts w:ascii="Times New Roman" w:hAnsi="Times New Roman"/>
          <w:sz w:val="20"/>
        </w:rPr>
        <w:t>371</w:t>
      </w:r>
      <w:r>
        <w:rPr>
          <w:rFonts w:ascii="Times New Roman" w:hAnsi="Times New Roman"/>
          <w:b w:val="false"/>
          <w:i w:val="false"/>
          <w:caps w:val="false"/>
          <w:smallCaps w:val="false"/>
          <w:color w:val="000000"/>
          <w:spacing w:val="0"/>
          <w:sz w:val="20"/>
        </w:rPr>
        <w:t>.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As scheduled delivery dates are within one year, revenue allocated to future shipments of partially completed contracts are not disclosed.</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w:t>
      </w:r>
      <w:r>
        <w:rPr>
          <w:rFonts w:ascii="times new roman;times" w:hAnsi="times new roman;times"/>
          <w:b w:val="false"/>
          <w:i w:val="false"/>
          <w:caps w:val="false"/>
          <w:smallCaps w:val="false"/>
          <w:color w:val="000000"/>
          <w:spacing w:val="0"/>
          <w:sz w:val="20"/>
        </w:rPr>
        <w:t> </w:t>
      </w:r>
    </w:p>
    <w:p>
      <w:pPr>
        <w:pStyle w:val="TextBody"/>
        <w:widowControl/>
        <w:spacing w:before="0" w:after="0"/>
        <w:ind w:left="0" w:right="0" w:hanging="0"/>
        <w:rPr>
          <w:rFonts w:ascii="Times New Roman" w:hAnsi="Times New Roman"/>
          <w:b/>
          <w:i/>
          <w:sz w:val="20"/>
        </w:rPr>
      </w:pPr>
      <w:r>
        <w:rPr>
          <w:rFonts w:ascii="Times New Roman" w:hAnsi="Times New Roman"/>
          <w:b/>
          <w:i/>
          <w:sz w:val="20"/>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details of deferred revenue and associated cost of goods sold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gross profit are as follows: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tbl>
      <w:tblPr>
        <w:tblW w:w="5000" w:type="pct"/>
        <w:jc w:val="left"/>
        <w:tblInd w:w="0" w:type="dxa"/>
        <w:tblCellMar>
          <w:top w:w="0" w:type="dxa"/>
          <w:left w:w="0" w:type="dxa"/>
          <w:bottom w:w="0" w:type="dxa"/>
          <w:right w:w="0" w:type="dxa"/>
        </w:tblCellMar>
      </w:tblPr>
      <w:tblGrid>
        <w:gridCol w:w="5899"/>
        <w:gridCol w:w="158"/>
        <w:gridCol w:w="474"/>
        <w:gridCol w:w="1275"/>
        <w:gridCol w:w="226"/>
        <w:gridCol w:w="226"/>
        <w:gridCol w:w="474"/>
        <w:gridCol w:w="1275"/>
        <w:gridCol w:w="198"/>
      </w:tblGrid>
      <w:tr>
        <w:trPr/>
        <w:tc>
          <w:tcPr>
            <w:tcW w:w="5899" w:type="dxa"/>
            <w:tcBorders/>
            <w:shd w:fill="auto" w:val="clear"/>
            <w:vAlign w:val="center"/>
          </w:tcPr>
          <w:p>
            <w:pPr>
              <w:pStyle w:val="TableContents"/>
              <w:spacing w:before="0" w:after="0"/>
              <w:ind w:left="0" w:right="0" w:hanging="0"/>
              <w:rPr/>
            </w:pPr>
            <w:r>
              <w:rPr/>
              <w:t> </w:t>
            </w:r>
          </w:p>
        </w:tc>
        <w:tc>
          <w:tcPr>
            <w:tcW w:w="158" w:type="dxa"/>
            <w:tcBorders/>
            <w:shd w:fill="auto" w:val="clear"/>
            <w:vAlign w:val="center"/>
          </w:tcPr>
          <w:p>
            <w:pPr>
              <w:pStyle w:val="TableContents"/>
              <w:spacing w:before="0" w:after="0"/>
              <w:ind w:left="0" w:right="0" w:hanging="0"/>
              <w:rPr/>
            </w:pPr>
            <w:r>
              <w:rPr/>
              <w:t> </w:t>
            </w:r>
          </w:p>
        </w:tc>
        <w:tc>
          <w:tcPr>
            <w:tcW w:w="3950" w:type="dxa"/>
            <w:gridSpan w:val="6"/>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As of December 31,</w:t>
            </w:r>
          </w:p>
        </w:tc>
        <w:tc>
          <w:tcPr>
            <w:tcW w:w="198" w:type="dxa"/>
            <w:tcBorders/>
            <w:shd w:fill="auto" w:val="clear"/>
            <w:vAlign w:val="center"/>
          </w:tcPr>
          <w:p>
            <w:pPr>
              <w:pStyle w:val="TableContents"/>
              <w:spacing w:before="0" w:after="0"/>
              <w:ind w:left="0" w:right="0" w:hanging="0"/>
              <w:rPr/>
            </w:pPr>
            <w:r>
              <w:rPr/>
              <w:t> </w:t>
            </w:r>
          </w:p>
        </w:tc>
      </w:tr>
      <w:tr>
        <w:trPr/>
        <w:tc>
          <w:tcPr>
            <w:tcW w:w="5899" w:type="dxa"/>
            <w:tcBorders/>
            <w:shd w:fill="auto" w:val="clear"/>
            <w:vAlign w:val="center"/>
          </w:tcPr>
          <w:p>
            <w:pPr>
              <w:pStyle w:val="TableContents"/>
              <w:spacing w:before="0" w:after="0"/>
              <w:ind w:left="0" w:right="0" w:hanging="0"/>
              <w:rPr/>
            </w:pPr>
            <w:r>
              <w:rPr/>
              <w:t> </w:t>
            </w:r>
          </w:p>
        </w:tc>
        <w:tc>
          <w:tcPr>
            <w:tcW w:w="158" w:type="dxa"/>
            <w:tcBorders/>
            <w:shd w:fill="auto" w:val="clear"/>
            <w:vAlign w:val="center"/>
          </w:tcPr>
          <w:p>
            <w:pPr>
              <w:pStyle w:val="TableContents"/>
              <w:spacing w:before="0" w:after="0"/>
              <w:ind w:left="0" w:right="0" w:hanging="0"/>
              <w:rPr/>
            </w:pPr>
            <w:r>
              <w:rPr/>
              <w:t> </w:t>
            </w:r>
          </w:p>
        </w:tc>
        <w:tc>
          <w:tcPr>
            <w:tcW w:w="1749"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2020</w:t>
            </w:r>
          </w:p>
        </w:tc>
        <w:tc>
          <w:tcPr>
            <w:tcW w:w="226" w:type="dxa"/>
            <w:tcBorders/>
            <w:shd w:fill="auto" w:val="clear"/>
            <w:vAlign w:val="center"/>
          </w:tcPr>
          <w:p>
            <w:pPr>
              <w:pStyle w:val="TableContents"/>
              <w:spacing w:before="0" w:after="0"/>
              <w:ind w:left="0" w:right="0" w:hanging="0"/>
              <w:rPr/>
            </w:pPr>
            <w:r>
              <w:rPr/>
              <w:t> </w:t>
            </w:r>
          </w:p>
        </w:tc>
        <w:tc>
          <w:tcPr>
            <w:tcW w:w="226" w:type="dxa"/>
            <w:tcBorders/>
            <w:shd w:fill="auto" w:val="clear"/>
            <w:vAlign w:val="center"/>
          </w:tcPr>
          <w:p>
            <w:pPr>
              <w:pStyle w:val="TableContents"/>
              <w:spacing w:before="0" w:after="0"/>
              <w:ind w:left="0" w:right="0" w:hanging="0"/>
              <w:rPr/>
            </w:pPr>
            <w:r>
              <w:rPr/>
              <w:t> </w:t>
            </w:r>
          </w:p>
        </w:tc>
        <w:tc>
          <w:tcPr>
            <w:tcW w:w="1749"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2019</w:t>
            </w:r>
          </w:p>
        </w:tc>
        <w:tc>
          <w:tcPr>
            <w:tcW w:w="198" w:type="dxa"/>
            <w:tcBorders/>
            <w:shd w:fill="auto" w:val="clear"/>
            <w:vAlign w:val="center"/>
          </w:tcPr>
          <w:p>
            <w:pPr>
              <w:pStyle w:val="TableContents"/>
              <w:spacing w:before="0" w:after="0"/>
              <w:ind w:left="0" w:right="0" w:hanging="0"/>
              <w:rPr/>
            </w:pPr>
            <w:r>
              <w:rPr/>
              <w:t> </w:t>
            </w:r>
          </w:p>
        </w:tc>
      </w:tr>
      <w:tr>
        <w:trPr/>
        <w:tc>
          <w:tcPr>
            <w:tcW w:w="589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Deferred revenue</w:t>
            </w:r>
          </w:p>
        </w:tc>
        <w:tc>
          <w:tcPr>
            <w:tcW w:w="158" w:type="dxa"/>
            <w:tcBorders/>
            <w:shd w:fill="CCEEFF" w:val="clear"/>
            <w:vAlign w:val="center"/>
          </w:tcPr>
          <w:p>
            <w:pPr>
              <w:pStyle w:val="TableContents"/>
              <w:spacing w:before="0" w:after="0"/>
              <w:ind w:left="0" w:right="0" w:hanging="0"/>
              <w:rPr/>
            </w:pPr>
            <w:r>
              <w:rPr/>
              <w:t> </w:t>
            </w:r>
          </w:p>
        </w:tc>
        <w:tc>
          <w:tcPr>
            <w:tcW w:w="47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27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123</w:t>
            </w:r>
          </w:p>
        </w:tc>
        <w:tc>
          <w:tcPr>
            <w:tcW w:w="226" w:type="dxa"/>
            <w:tcBorders/>
            <w:shd w:fill="CCEEFF" w:val="clear"/>
            <w:vAlign w:val="center"/>
          </w:tcPr>
          <w:p>
            <w:pPr>
              <w:pStyle w:val="TableContents"/>
              <w:spacing w:before="0" w:after="0"/>
              <w:ind w:left="0" w:right="0" w:hanging="0"/>
              <w:rPr/>
            </w:pPr>
            <w:r>
              <w:rPr/>
              <w:t> </w:t>
            </w:r>
          </w:p>
        </w:tc>
        <w:tc>
          <w:tcPr>
            <w:tcW w:w="226" w:type="dxa"/>
            <w:tcBorders/>
            <w:shd w:fill="CCEEFF" w:val="clear"/>
            <w:vAlign w:val="center"/>
          </w:tcPr>
          <w:p>
            <w:pPr>
              <w:pStyle w:val="TableContents"/>
              <w:spacing w:before="0" w:after="0"/>
              <w:ind w:left="0" w:right="0" w:hanging="0"/>
              <w:rPr/>
            </w:pPr>
            <w:r>
              <w:rPr/>
              <w:t> </w:t>
            </w:r>
          </w:p>
        </w:tc>
        <w:tc>
          <w:tcPr>
            <w:tcW w:w="47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27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173</w:t>
            </w:r>
          </w:p>
        </w:tc>
        <w:tc>
          <w:tcPr>
            <w:tcW w:w="198" w:type="dxa"/>
            <w:tcBorders/>
            <w:shd w:fill="CCEEFF" w:val="clear"/>
            <w:vAlign w:val="center"/>
          </w:tcPr>
          <w:p>
            <w:pPr>
              <w:pStyle w:val="TableContents"/>
              <w:spacing w:before="0" w:after="0"/>
              <w:ind w:left="0" w:right="0" w:hanging="0"/>
              <w:rPr/>
            </w:pPr>
            <w:r>
              <w:rPr/>
              <w:t> </w:t>
            </w:r>
          </w:p>
        </w:tc>
      </w:tr>
      <w:tr>
        <w:trPr/>
        <w:tc>
          <w:tcPr>
            <w:tcW w:w="589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Deferred cost of goods sold</w:t>
            </w:r>
          </w:p>
        </w:tc>
        <w:tc>
          <w:tcPr>
            <w:tcW w:w="158" w:type="dxa"/>
            <w:tcBorders/>
            <w:shd w:fill="auto" w:val="clear"/>
            <w:vAlign w:val="center"/>
          </w:tcPr>
          <w:p>
            <w:pPr>
              <w:pStyle w:val="TableContents"/>
              <w:spacing w:before="0" w:after="0"/>
              <w:ind w:left="0" w:right="0" w:hanging="0"/>
              <w:rPr/>
            </w:pPr>
            <w:r>
              <w:rPr/>
              <w:t> </w:t>
            </w:r>
          </w:p>
        </w:tc>
        <w:tc>
          <w:tcPr>
            <w:tcW w:w="474" w:type="dxa"/>
            <w:tcBorders/>
            <w:shd w:fill="auto" w:val="clear"/>
            <w:vAlign w:val="center"/>
          </w:tcPr>
          <w:p>
            <w:pPr>
              <w:pStyle w:val="TableContents"/>
              <w:spacing w:before="0" w:after="0"/>
              <w:ind w:left="0" w:right="0" w:hanging="0"/>
              <w:rPr/>
            </w:pPr>
            <w:r>
              <w:rPr/>
              <w:t> </w:t>
            </w:r>
          </w:p>
        </w:tc>
        <w:tc>
          <w:tcPr>
            <w:tcW w:w="1275" w:type="dxa"/>
            <w:tcBorders/>
            <w:shd w:fill="auto" w:val="clear"/>
            <w:vAlign w:val="center"/>
          </w:tcPr>
          <w:p>
            <w:pPr>
              <w:pStyle w:val="TableContents"/>
              <w:spacing w:before="0" w:after="0"/>
              <w:ind w:left="0" w:right="0" w:hanging="0"/>
              <w:jc w:val="right"/>
              <w:rPr/>
            </w:pPr>
            <w:r>
              <w:rPr/>
              <w:t>—</w:t>
            </w:r>
          </w:p>
        </w:tc>
        <w:tc>
          <w:tcPr>
            <w:tcW w:w="226" w:type="dxa"/>
            <w:tcBorders/>
            <w:shd w:fill="auto" w:val="clear"/>
            <w:vAlign w:val="center"/>
          </w:tcPr>
          <w:p>
            <w:pPr>
              <w:pStyle w:val="TableContents"/>
              <w:spacing w:before="0" w:after="0"/>
              <w:ind w:left="0" w:right="0" w:hanging="0"/>
              <w:rPr/>
            </w:pPr>
            <w:r>
              <w:rPr/>
              <w:t> </w:t>
            </w:r>
          </w:p>
        </w:tc>
        <w:tc>
          <w:tcPr>
            <w:tcW w:w="226" w:type="dxa"/>
            <w:tcBorders/>
            <w:shd w:fill="auto" w:val="clear"/>
            <w:vAlign w:val="center"/>
          </w:tcPr>
          <w:p>
            <w:pPr>
              <w:pStyle w:val="TableContents"/>
              <w:spacing w:before="0" w:after="0"/>
              <w:ind w:left="0" w:right="0" w:hanging="0"/>
              <w:rPr/>
            </w:pPr>
            <w:r>
              <w:rPr/>
              <w:t> </w:t>
            </w:r>
          </w:p>
        </w:tc>
        <w:tc>
          <w:tcPr>
            <w:tcW w:w="474" w:type="dxa"/>
            <w:tcBorders/>
            <w:shd w:fill="auto" w:val="clear"/>
            <w:vAlign w:val="center"/>
          </w:tcPr>
          <w:p>
            <w:pPr>
              <w:pStyle w:val="TableContents"/>
              <w:spacing w:before="0" w:after="0"/>
              <w:ind w:left="0" w:right="0" w:hanging="0"/>
              <w:rPr/>
            </w:pPr>
            <w:r>
              <w:rPr/>
              <w:t> </w:t>
            </w:r>
          </w:p>
        </w:tc>
        <w:tc>
          <w:tcPr>
            <w:tcW w:w="1275" w:type="dxa"/>
            <w:tcBorders/>
            <w:shd w:fill="auto" w:val="clear"/>
            <w:vAlign w:val="center"/>
          </w:tcPr>
          <w:p>
            <w:pPr>
              <w:pStyle w:val="TableContents"/>
              <w:spacing w:before="0" w:after="0"/>
              <w:ind w:left="0" w:right="0" w:hanging="0"/>
              <w:jc w:val="right"/>
              <w:rPr/>
            </w:pPr>
            <w:r>
              <w:rPr/>
              <w:t>—</w:t>
            </w:r>
          </w:p>
        </w:tc>
        <w:tc>
          <w:tcPr>
            <w:tcW w:w="198" w:type="dxa"/>
            <w:tcBorders/>
            <w:shd w:fill="auto" w:val="clear"/>
            <w:vAlign w:val="center"/>
          </w:tcPr>
          <w:p>
            <w:pPr>
              <w:pStyle w:val="TableContents"/>
              <w:spacing w:before="0" w:after="0"/>
              <w:ind w:left="0" w:right="0" w:hanging="0"/>
              <w:rPr/>
            </w:pPr>
            <w:r>
              <w:rPr/>
              <w:t> </w:t>
            </w:r>
          </w:p>
        </w:tc>
      </w:tr>
      <w:tr>
        <w:trPr/>
        <w:tc>
          <w:tcPr>
            <w:tcW w:w="589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Deferred gross profit</w:t>
            </w:r>
          </w:p>
        </w:tc>
        <w:tc>
          <w:tcPr>
            <w:tcW w:w="158" w:type="dxa"/>
            <w:tcBorders/>
            <w:shd w:fill="CCEEFF" w:val="clear"/>
            <w:vAlign w:val="center"/>
          </w:tcPr>
          <w:p>
            <w:pPr>
              <w:pStyle w:val="TableContents"/>
              <w:spacing w:before="0" w:after="0"/>
              <w:ind w:left="0" w:right="0" w:hanging="0"/>
              <w:rPr/>
            </w:pPr>
            <w:r>
              <w:rPr/>
              <w:t> </w:t>
            </w:r>
          </w:p>
        </w:tc>
        <w:tc>
          <w:tcPr>
            <w:tcW w:w="47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27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123</w:t>
            </w:r>
          </w:p>
        </w:tc>
        <w:tc>
          <w:tcPr>
            <w:tcW w:w="226" w:type="dxa"/>
            <w:tcBorders/>
            <w:shd w:fill="CCEEFF" w:val="clear"/>
            <w:vAlign w:val="center"/>
          </w:tcPr>
          <w:p>
            <w:pPr>
              <w:pStyle w:val="TableContents"/>
              <w:spacing w:before="0" w:after="0"/>
              <w:ind w:left="0" w:right="0" w:hanging="0"/>
              <w:rPr/>
            </w:pPr>
            <w:r>
              <w:rPr/>
              <w:t> </w:t>
            </w:r>
          </w:p>
        </w:tc>
        <w:tc>
          <w:tcPr>
            <w:tcW w:w="226" w:type="dxa"/>
            <w:tcBorders/>
            <w:shd w:fill="CCEEFF" w:val="clear"/>
            <w:vAlign w:val="center"/>
          </w:tcPr>
          <w:p>
            <w:pPr>
              <w:pStyle w:val="TableContents"/>
              <w:spacing w:before="0" w:after="0"/>
              <w:ind w:left="0" w:right="0" w:hanging="0"/>
              <w:rPr/>
            </w:pPr>
            <w:r>
              <w:rPr/>
              <w:t> </w:t>
            </w:r>
          </w:p>
        </w:tc>
        <w:tc>
          <w:tcPr>
            <w:tcW w:w="47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27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173</w:t>
            </w:r>
          </w:p>
        </w:tc>
        <w:tc>
          <w:tcPr>
            <w:tcW w:w="198" w:type="dxa"/>
            <w:tcBorders/>
            <w:shd w:fill="CCEEFF" w:val="clear"/>
            <w:vAlign w:val="center"/>
          </w:tcPr>
          <w:p>
            <w:pPr>
              <w:pStyle w:val="TableContents"/>
              <w:spacing w:before="0" w:after="0"/>
              <w:ind w:left="0" w:right="0" w:hanging="0"/>
              <w:rPr/>
            </w:pPr>
            <w:r>
              <w:rPr/>
              <w:t> </w:t>
            </w:r>
          </w:p>
        </w:tc>
      </w:tr>
    </w:tbl>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spacing w:before="0" w:after="0"/>
        <w:ind w:left="0" w:right="0" w:hanging="0"/>
        <w:jc w:val="both"/>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F-11 |</w:t>
            </w:r>
          </w:p>
        </w:tc>
      </w:tr>
    </w:tbl>
    <w:p>
      <w:pPr>
        <w:pStyle w:val="HorizontalLine"/>
        <w:spacing w:before="0" w:after="0"/>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offers rebates and market development funds to certain of its distributors, dealers/resellers, and end-users based upon the volume of product purchased by them. The Company records rebates as a reduction of revenue in accordance with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disaggregates the Company’s revenue into primary product groups:</w:t>
      </w:r>
    </w:p>
    <w:p>
      <w:pPr>
        <w:pStyle w:val="TextBody"/>
        <w:spacing w:before="0" w:after="0"/>
        <w:ind w:left="0" w:right="0" w:hanging="0"/>
        <w:jc w:val="both"/>
        <w:rPr/>
      </w:pPr>
      <w:r>
        <w:rPr/>
        <w:t> </w:t>
      </w:r>
    </w:p>
    <w:tbl>
      <w:tblPr>
        <w:tblW w:w="4250" w:type="pct"/>
        <w:jc w:val="left"/>
        <w:tblInd w:w="0" w:type="dxa"/>
        <w:tblCellMar>
          <w:top w:w="0" w:type="dxa"/>
          <w:left w:w="0" w:type="dxa"/>
          <w:bottom w:w="0" w:type="dxa"/>
          <w:right w:w="0" w:type="dxa"/>
        </w:tblCellMar>
      </w:tblPr>
      <w:tblGrid>
        <w:gridCol w:w="3801"/>
        <w:gridCol w:w="261"/>
        <w:gridCol w:w="397"/>
        <w:gridCol w:w="1483"/>
        <w:gridCol w:w="279"/>
        <w:gridCol w:w="279"/>
        <w:gridCol w:w="396"/>
        <w:gridCol w:w="1483"/>
        <w:gridCol w:w="295"/>
      </w:tblGrid>
      <w:tr>
        <w:trPr/>
        <w:tc>
          <w:tcPr>
            <w:tcW w:w="3801" w:type="dxa"/>
            <w:tcBorders/>
            <w:shd w:fill="auto" w:val="clear"/>
            <w:vAlign w:val="center"/>
          </w:tcPr>
          <w:p>
            <w:pPr>
              <w:pStyle w:val="TableContents"/>
              <w:spacing w:before="0" w:after="283"/>
              <w:ind w:left="0" w:right="0" w:hanging="0"/>
              <w:rPr/>
            </w:pPr>
            <w:r>
              <w:rPr/>
            </w:r>
          </w:p>
        </w:tc>
        <w:tc>
          <w:tcPr>
            <w:tcW w:w="261" w:type="dxa"/>
            <w:tcBorders/>
            <w:shd w:fill="auto" w:val="clear"/>
            <w:vAlign w:val="center"/>
          </w:tcPr>
          <w:p>
            <w:pPr>
              <w:pStyle w:val="TableContents"/>
              <w:spacing w:before="0" w:after="283"/>
              <w:ind w:left="0" w:right="0" w:hanging="0"/>
              <w:rPr/>
            </w:pPr>
            <w:r>
              <w:rPr/>
            </w:r>
          </w:p>
        </w:tc>
        <w:tc>
          <w:tcPr>
            <w:tcW w:w="4317"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b/>
                <w:sz w:val="18"/>
              </w:rPr>
            </w:pPr>
            <w:r>
              <w:rPr>
                <w:b/>
                <w:sz w:val="18"/>
              </w:rPr>
              <w:t>Year Ended December 31</w:t>
            </w:r>
          </w:p>
        </w:tc>
        <w:tc>
          <w:tcPr>
            <w:tcW w:w="295" w:type="dxa"/>
            <w:tcBorders/>
            <w:shd w:fill="auto" w:val="clear"/>
            <w:vAlign w:val="center"/>
          </w:tcPr>
          <w:p>
            <w:pPr>
              <w:pStyle w:val="TableContents"/>
              <w:spacing w:before="0" w:after="283"/>
              <w:ind w:left="0" w:right="0" w:hanging="0"/>
              <w:rPr/>
            </w:pPr>
            <w:r>
              <w:rPr/>
            </w:r>
          </w:p>
        </w:tc>
      </w:tr>
      <w:tr>
        <w:trPr/>
        <w:tc>
          <w:tcPr>
            <w:tcW w:w="3801"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1880"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279" w:type="dxa"/>
            <w:tcBorders/>
            <w:shd w:fill="auto" w:val="clear"/>
            <w:vAlign w:val="center"/>
          </w:tcPr>
          <w:p>
            <w:pPr>
              <w:pStyle w:val="TableContents"/>
              <w:spacing w:before="0" w:after="0"/>
              <w:ind w:left="0" w:right="0" w:hanging="0"/>
              <w:rPr/>
            </w:pPr>
            <w:r>
              <w:rPr/>
              <w:t xml:space="preserve">  </w:t>
            </w:r>
          </w:p>
        </w:tc>
        <w:tc>
          <w:tcPr>
            <w:tcW w:w="279" w:type="dxa"/>
            <w:tcBorders/>
            <w:shd w:fill="auto" w:val="clear"/>
            <w:vAlign w:val="center"/>
          </w:tcPr>
          <w:p>
            <w:pPr>
              <w:pStyle w:val="TableContents"/>
              <w:spacing w:before="0" w:after="0"/>
              <w:ind w:left="0" w:right="0" w:hanging="0"/>
              <w:rPr/>
            </w:pPr>
            <w:r>
              <w:rPr/>
              <w:t xml:space="preserve">  </w:t>
            </w:r>
          </w:p>
        </w:tc>
        <w:tc>
          <w:tcPr>
            <w:tcW w:w="187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295" w:type="dxa"/>
            <w:tcBorders/>
            <w:shd w:fill="auto" w:val="clear"/>
            <w:vAlign w:val="center"/>
          </w:tcPr>
          <w:p>
            <w:pPr>
              <w:pStyle w:val="TableContents"/>
              <w:spacing w:before="0" w:after="0"/>
              <w:ind w:left="0" w:right="0" w:hanging="0"/>
              <w:rPr/>
            </w:pPr>
            <w:r>
              <w:rPr/>
              <w:t xml:space="preserve">  </w:t>
            </w:r>
          </w:p>
        </w:tc>
      </w:tr>
      <w:tr>
        <w:trPr/>
        <w:tc>
          <w:tcPr>
            <w:tcW w:w="380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Audio Conferencing </w:t>
            </w:r>
          </w:p>
        </w:tc>
        <w:tc>
          <w:tcPr>
            <w:tcW w:w="261" w:type="dxa"/>
            <w:tcBorders/>
            <w:shd w:fill="CCEEFF" w:val="clear"/>
            <w:vAlign w:val="center"/>
          </w:tcPr>
          <w:p>
            <w:pPr>
              <w:pStyle w:val="TableContents"/>
              <w:spacing w:before="0" w:after="0"/>
              <w:ind w:left="0" w:right="0" w:hanging="0"/>
              <w:rPr/>
            </w:pPr>
            <w:r>
              <w:rPr/>
              <w:t xml:space="preserve">  </w:t>
            </w:r>
          </w:p>
        </w:tc>
        <w:tc>
          <w:tcPr>
            <w:tcW w:w="39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8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10,926 </w:t>
            </w:r>
          </w:p>
        </w:tc>
        <w:tc>
          <w:tcPr>
            <w:tcW w:w="279" w:type="dxa"/>
            <w:tcBorders/>
            <w:shd w:fill="CCEEFF" w:val="clear"/>
            <w:vAlign w:val="center"/>
          </w:tcPr>
          <w:p>
            <w:pPr>
              <w:pStyle w:val="TableContents"/>
              <w:spacing w:before="0" w:after="0"/>
              <w:ind w:left="0" w:right="0" w:hanging="0"/>
              <w:rPr/>
            </w:pPr>
            <w:r>
              <w:rPr/>
              <w:t xml:space="preserve">  </w:t>
            </w:r>
          </w:p>
        </w:tc>
        <w:tc>
          <w:tcPr>
            <w:tcW w:w="279" w:type="dxa"/>
            <w:tcBorders/>
            <w:shd w:fill="CCEEFF" w:val="clear"/>
            <w:vAlign w:val="center"/>
          </w:tcPr>
          <w:p>
            <w:pPr>
              <w:pStyle w:val="TableContents"/>
              <w:spacing w:before="0" w:after="0"/>
              <w:ind w:left="0" w:right="0" w:hanging="0"/>
              <w:rPr/>
            </w:pPr>
            <w:r>
              <w:rPr/>
              <w:t xml:space="preserve">  </w:t>
            </w:r>
          </w:p>
        </w:tc>
        <w:tc>
          <w:tcPr>
            <w:tcW w:w="39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8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11,609 </w:t>
            </w:r>
          </w:p>
        </w:tc>
        <w:tc>
          <w:tcPr>
            <w:tcW w:w="295" w:type="dxa"/>
            <w:tcBorders/>
            <w:shd w:fill="CCEEFF" w:val="clear"/>
            <w:vAlign w:val="center"/>
          </w:tcPr>
          <w:p>
            <w:pPr>
              <w:pStyle w:val="TableContents"/>
              <w:spacing w:before="0" w:after="0"/>
              <w:ind w:left="0" w:right="0" w:hanging="0"/>
              <w:rPr/>
            </w:pPr>
            <w:r>
              <w:rPr/>
              <w:t xml:space="preserve">  </w:t>
            </w:r>
          </w:p>
        </w:tc>
      </w:tr>
      <w:tr>
        <w:trPr/>
        <w:tc>
          <w:tcPr>
            <w:tcW w:w="380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Microphones </w:t>
            </w:r>
          </w:p>
        </w:tc>
        <w:tc>
          <w:tcPr>
            <w:tcW w:w="261" w:type="dxa"/>
            <w:tcBorders/>
            <w:shd w:fill="auto" w:val="clear"/>
            <w:vAlign w:val="center"/>
          </w:tcPr>
          <w:p>
            <w:pPr>
              <w:pStyle w:val="TableContents"/>
              <w:spacing w:before="0" w:after="0"/>
              <w:ind w:left="0" w:right="0" w:hanging="0"/>
              <w:rPr/>
            </w:pPr>
            <w:r>
              <w:rPr/>
              <w:t xml:space="preserve">  </w:t>
            </w:r>
          </w:p>
        </w:tc>
        <w:tc>
          <w:tcPr>
            <w:tcW w:w="397" w:type="dxa"/>
            <w:tcBorders/>
            <w:shd w:fill="auto" w:val="clear"/>
            <w:vAlign w:val="center"/>
          </w:tcPr>
          <w:p>
            <w:pPr>
              <w:pStyle w:val="TableContents"/>
              <w:spacing w:before="0" w:after="0"/>
              <w:ind w:left="0" w:right="0" w:hanging="0"/>
              <w:rPr/>
            </w:pPr>
            <w:r>
              <w:rPr/>
              <w:t xml:space="preserve">  </w:t>
            </w:r>
          </w:p>
        </w:tc>
        <w:tc>
          <w:tcPr>
            <w:tcW w:w="148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9,149 </w:t>
            </w:r>
          </w:p>
        </w:tc>
        <w:tc>
          <w:tcPr>
            <w:tcW w:w="279" w:type="dxa"/>
            <w:tcBorders/>
            <w:shd w:fill="auto" w:val="clear"/>
            <w:vAlign w:val="center"/>
          </w:tcPr>
          <w:p>
            <w:pPr>
              <w:pStyle w:val="TableContents"/>
              <w:spacing w:before="0" w:after="0"/>
              <w:ind w:left="0" w:right="0" w:hanging="0"/>
              <w:rPr/>
            </w:pPr>
            <w:r>
              <w:rPr/>
              <w:t xml:space="preserve">  </w:t>
            </w:r>
          </w:p>
        </w:tc>
        <w:tc>
          <w:tcPr>
            <w:tcW w:w="279" w:type="dxa"/>
            <w:tcBorders/>
            <w:shd w:fill="auto" w:val="clear"/>
            <w:vAlign w:val="center"/>
          </w:tcPr>
          <w:p>
            <w:pPr>
              <w:pStyle w:val="TableContents"/>
              <w:spacing w:before="0" w:after="0"/>
              <w:ind w:left="0" w:right="0" w:hanging="0"/>
              <w:rPr/>
            </w:pPr>
            <w:r>
              <w:rPr/>
              <w:t xml:space="preserve">  </w:t>
            </w:r>
          </w:p>
        </w:tc>
        <w:tc>
          <w:tcPr>
            <w:tcW w:w="396" w:type="dxa"/>
            <w:tcBorders/>
            <w:shd w:fill="auto" w:val="clear"/>
            <w:vAlign w:val="center"/>
          </w:tcPr>
          <w:p>
            <w:pPr>
              <w:pStyle w:val="TableContents"/>
              <w:spacing w:before="0" w:after="0"/>
              <w:ind w:left="0" w:right="0" w:hanging="0"/>
              <w:rPr/>
            </w:pPr>
            <w:r>
              <w:rPr/>
              <w:t xml:space="preserve">  </w:t>
            </w:r>
          </w:p>
        </w:tc>
        <w:tc>
          <w:tcPr>
            <w:tcW w:w="148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8,818 </w:t>
            </w:r>
          </w:p>
        </w:tc>
        <w:tc>
          <w:tcPr>
            <w:tcW w:w="295" w:type="dxa"/>
            <w:tcBorders/>
            <w:shd w:fill="auto" w:val="clear"/>
            <w:vAlign w:val="center"/>
          </w:tcPr>
          <w:p>
            <w:pPr>
              <w:pStyle w:val="TableContents"/>
              <w:spacing w:before="0" w:after="0"/>
              <w:ind w:left="0" w:right="0" w:hanging="0"/>
              <w:rPr/>
            </w:pPr>
            <w:r>
              <w:rPr/>
              <w:t xml:space="preserve">  </w:t>
            </w:r>
          </w:p>
        </w:tc>
      </w:tr>
      <w:tr>
        <w:trPr/>
        <w:tc>
          <w:tcPr>
            <w:tcW w:w="380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Video products </w:t>
            </w:r>
          </w:p>
        </w:tc>
        <w:tc>
          <w:tcPr>
            <w:tcW w:w="261" w:type="dxa"/>
            <w:tcBorders/>
            <w:shd w:fill="CCEEFF" w:val="clear"/>
            <w:vAlign w:val="center"/>
          </w:tcPr>
          <w:p>
            <w:pPr>
              <w:pStyle w:val="TableContents"/>
              <w:spacing w:before="0" w:after="0"/>
              <w:ind w:left="0" w:right="0" w:hanging="0"/>
              <w:rPr/>
            </w:pPr>
            <w:r>
              <w:rPr/>
              <w:t xml:space="preserve">  </w:t>
            </w:r>
          </w:p>
        </w:tc>
        <w:tc>
          <w:tcPr>
            <w:tcW w:w="397"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483"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8,994 </w:t>
            </w:r>
          </w:p>
        </w:tc>
        <w:tc>
          <w:tcPr>
            <w:tcW w:w="279" w:type="dxa"/>
            <w:tcBorders/>
            <w:shd w:fill="CCEEFF" w:val="clear"/>
            <w:vAlign w:val="center"/>
          </w:tcPr>
          <w:p>
            <w:pPr>
              <w:pStyle w:val="TableContents"/>
              <w:spacing w:before="0" w:after="0"/>
              <w:ind w:left="0" w:right="0" w:hanging="0"/>
              <w:rPr/>
            </w:pPr>
            <w:r>
              <w:rPr/>
              <w:t xml:space="preserve">  </w:t>
            </w:r>
          </w:p>
        </w:tc>
        <w:tc>
          <w:tcPr>
            <w:tcW w:w="279" w:type="dxa"/>
            <w:tcBorders/>
            <w:shd w:fill="CCEEFF" w:val="clear"/>
            <w:vAlign w:val="center"/>
          </w:tcPr>
          <w:p>
            <w:pPr>
              <w:pStyle w:val="TableContents"/>
              <w:spacing w:before="0" w:after="0"/>
              <w:ind w:left="0" w:right="0" w:hanging="0"/>
              <w:rPr/>
            </w:pPr>
            <w:r>
              <w:rPr/>
              <w:t xml:space="preserve">  </w:t>
            </w:r>
          </w:p>
        </w:tc>
        <w:tc>
          <w:tcPr>
            <w:tcW w:w="39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483"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4,615 </w:t>
            </w:r>
          </w:p>
        </w:tc>
        <w:tc>
          <w:tcPr>
            <w:tcW w:w="295" w:type="dxa"/>
            <w:tcBorders/>
            <w:shd w:fill="CCEEFF" w:val="clear"/>
            <w:vAlign w:val="center"/>
          </w:tcPr>
          <w:p>
            <w:pPr>
              <w:pStyle w:val="TableContents"/>
              <w:spacing w:before="0" w:after="0"/>
              <w:ind w:left="0" w:right="0" w:hanging="0"/>
              <w:rPr/>
            </w:pPr>
            <w:r>
              <w:rPr/>
              <w:t xml:space="preserve">  </w:t>
            </w:r>
          </w:p>
        </w:tc>
      </w:tr>
      <w:tr>
        <w:trPr/>
        <w:tc>
          <w:tcPr>
            <w:tcW w:w="3801"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39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8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29,069 </w:t>
            </w:r>
          </w:p>
        </w:tc>
        <w:tc>
          <w:tcPr>
            <w:tcW w:w="279" w:type="dxa"/>
            <w:tcBorders/>
            <w:shd w:fill="auto" w:val="clear"/>
            <w:vAlign w:val="center"/>
          </w:tcPr>
          <w:p>
            <w:pPr>
              <w:pStyle w:val="TableContents"/>
              <w:spacing w:before="0" w:after="0"/>
              <w:ind w:left="0" w:right="0" w:hanging="0"/>
              <w:rPr/>
            </w:pPr>
            <w:r>
              <w:rPr/>
              <w:t xml:space="preserve">  </w:t>
            </w:r>
          </w:p>
        </w:tc>
        <w:tc>
          <w:tcPr>
            <w:tcW w:w="279" w:type="dxa"/>
            <w:tcBorders/>
            <w:shd w:fill="auto" w:val="clear"/>
            <w:vAlign w:val="center"/>
          </w:tcPr>
          <w:p>
            <w:pPr>
              <w:pStyle w:val="TableContents"/>
              <w:spacing w:before="0" w:after="0"/>
              <w:ind w:left="0" w:right="0" w:hanging="0"/>
              <w:rPr/>
            </w:pPr>
            <w:r>
              <w:rPr/>
              <w:t xml:space="preserve">  </w:t>
            </w:r>
          </w:p>
        </w:tc>
        <w:tc>
          <w:tcPr>
            <w:tcW w:w="3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8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25,042 </w:t>
            </w:r>
          </w:p>
        </w:tc>
        <w:tc>
          <w:tcPr>
            <w:tcW w:w="295" w:type="dxa"/>
            <w:tcBorders/>
            <w:shd w:fill="auto" w:val="clear"/>
            <w:vAlign w:val="center"/>
          </w:tcPr>
          <w:p>
            <w:pPr>
              <w:pStyle w:val="TableContents"/>
              <w:spacing w:before="0" w:after="0"/>
              <w:ind w:left="0" w:right="0" w:hanging="0"/>
              <w:rPr/>
            </w:pPr>
            <w:r>
              <w:rPr/>
              <w:t xml:space="preserve">  </w:t>
            </w:r>
          </w:p>
        </w:tc>
      </w:tr>
    </w:tbl>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following table disaggregates the Company’s revenue into major regions:</w:t>
      </w:r>
    </w:p>
    <w:p>
      <w:pPr>
        <w:pStyle w:val="TextBody"/>
        <w:widowControl/>
        <w:spacing w:before="0" w:after="0"/>
        <w:ind w:left="144" w:right="144" w:hanging="0"/>
        <w:jc w:val="both"/>
        <w:rPr>
          <w:caps w:val="false"/>
          <w:smallCaps w:val="false"/>
          <w:color w:val="000000"/>
          <w:spacing w:val="0"/>
        </w:rPr>
      </w:pPr>
      <w:r>
        <w:rPr>
          <w:caps w:val="false"/>
          <w:smallCaps w:val="false"/>
          <w:color w:val="000000"/>
          <w:spacing w:val="0"/>
        </w:rPr>
        <w:t> </w:t>
      </w:r>
    </w:p>
    <w:tbl>
      <w:tblPr>
        <w:tblW w:w="4250" w:type="pct"/>
        <w:jc w:val="left"/>
        <w:tblInd w:w="0" w:type="dxa"/>
        <w:tblCellMar>
          <w:top w:w="0" w:type="dxa"/>
          <w:left w:w="0" w:type="dxa"/>
          <w:bottom w:w="0" w:type="dxa"/>
          <w:right w:w="0" w:type="dxa"/>
        </w:tblCellMar>
      </w:tblPr>
      <w:tblGrid>
        <w:gridCol w:w="5371"/>
        <w:gridCol w:w="92"/>
        <w:gridCol w:w="249"/>
        <w:gridCol w:w="1180"/>
        <w:gridCol w:w="119"/>
        <w:gridCol w:w="119"/>
        <w:gridCol w:w="249"/>
        <w:gridCol w:w="1180"/>
        <w:gridCol w:w="115"/>
      </w:tblGrid>
      <w:tr>
        <w:trPr/>
        <w:tc>
          <w:tcPr>
            <w:tcW w:w="5371" w:type="dxa"/>
            <w:tcBorders/>
            <w:shd w:fill="auto" w:val="clear"/>
            <w:vAlign w:val="center"/>
          </w:tcPr>
          <w:p>
            <w:pPr>
              <w:pStyle w:val="TableContents"/>
              <w:spacing w:before="0" w:after="0"/>
              <w:ind w:left="0" w:right="0" w:hanging="0"/>
              <w:rPr/>
            </w:pPr>
            <w:r>
              <w:rPr/>
              <w:t> </w:t>
            </w:r>
          </w:p>
        </w:tc>
        <w:tc>
          <w:tcPr>
            <w:tcW w:w="92" w:type="dxa"/>
            <w:tcBorders/>
            <w:shd w:fill="auto" w:val="clear"/>
            <w:vAlign w:val="center"/>
          </w:tcPr>
          <w:p>
            <w:pPr>
              <w:pStyle w:val="TableContents"/>
              <w:spacing w:before="0" w:after="0"/>
              <w:ind w:left="0" w:right="0" w:hanging="0"/>
              <w:rPr/>
            </w:pPr>
            <w:r>
              <w:rPr/>
              <w:t> </w:t>
            </w:r>
          </w:p>
        </w:tc>
        <w:tc>
          <w:tcPr>
            <w:tcW w:w="3096"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115" w:type="dxa"/>
            <w:tcBorders/>
            <w:shd w:fill="auto" w:val="clear"/>
            <w:vAlign w:val="center"/>
          </w:tcPr>
          <w:p>
            <w:pPr>
              <w:pStyle w:val="TableContents"/>
              <w:spacing w:before="0" w:after="0"/>
              <w:ind w:left="0" w:right="0" w:hanging="0"/>
              <w:rPr/>
            </w:pPr>
            <w:r>
              <w:rPr/>
              <w:t> </w:t>
            </w:r>
          </w:p>
        </w:tc>
      </w:tr>
      <w:tr>
        <w:trPr/>
        <w:tc>
          <w:tcPr>
            <w:tcW w:w="5371" w:type="dxa"/>
            <w:tcBorders/>
            <w:shd w:fill="auto" w:val="clear"/>
            <w:vAlign w:val="center"/>
          </w:tcPr>
          <w:p>
            <w:pPr>
              <w:pStyle w:val="TableContents"/>
              <w:spacing w:before="0" w:after="0"/>
              <w:ind w:left="0" w:right="0" w:hanging="0"/>
              <w:rPr/>
            </w:pPr>
            <w:r>
              <w:rPr/>
              <w:t> </w:t>
            </w:r>
          </w:p>
        </w:tc>
        <w:tc>
          <w:tcPr>
            <w:tcW w:w="92" w:type="dxa"/>
            <w:tcBorders/>
            <w:shd w:fill="auto" w:val="clear"/>
            <w:vAlign w:val="center"/>
          </w:tcPr>
          <w:p>
            <w:pPr>
              <w:pStyle w:val="TableContents"/>
              <w:spacing w:before="0" w:after="0"/>
              <w:ind w:left="0" w:right="0" w:hanging="0"/>
              <w:rPr/>
            </w:pPr>
            <w:r>
              <w:rPr/>
              <w:t> </w:t>
            </w:r>
          </w:p>
        </w:tc>
        <w:tc>
          <w:tcPr>
            <w:tcW w:w="1429"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2020</w:t>
            </w:r>
          </w:p>
        </w:tc>
        <w:tc>
          <w:tcPr>
            <w:tcW w:w="119" w:type="dxa"/>
            <w:tcBorders/>
            <w:shd w:fill="auto" w:val="clear"/>
            <w:vAlign w:val="center"/>
          </w:tcPr>
          <w:p>
            <w:pPr>
              <w:pStyle w:val="TableContents"/>
              <w:spacing w:before="0" w:after="0"/>
              <w:ind w:left="0" w:right="0" w:hanging="0"/>
              <w:rPr/>
            </w:pPr>
            <w:r>
              <w:rPr/>
              <w:t> </w:t>
            </w:r>
          </w:p>
        </w:tc>
        <w:tc>
          <w:tcPr>
            <w:tcW w:w="119" w:type="dxa"/>
            <w:tcBorders/>
            <w:shd w:fill="auto" w:val="clear"/>
            <w:vAlign w:val="center"/>
          </w:tcPr>
          <w:p>
            <w:pPr>
              <w:pStyle w:val="TableContents"/>
              <w:spacing w:before="0" w:after="0"/>
              <w:ind w:left="0" w:right="0" w:hanging="0"/>
              <w:rPr/>
            </w:pPr>
            <w:r>
              <w:rPr/>
              <w:t> </w:t>
            </w:r>
          </w:p>
        </w:tc>
        <w:tc>
          <w:tcPr>
            <w:tcW w:w="1429"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2019</w:t>
            </w:r>
          </w:p>
        </w:tc>
        <w:tc>
          <w:tcPr>
            <w:tcW w:w="115" w:type="dxa"/>
            <w:tcBorders/>
            <w:shd w:fill="auto" w:val="clear"/>
            <w:vAlign w:val="center"/>
          </w:tcPr>
          <w:p>
            <w:pPr>
              <w:pStyle w:val="TableContents"/>
              <w:spacing w:before="0" w:after="0"/>
              <w:ind w:left="0" w:right="0" w:hanging="0"/>
              <w:rPr/>
            </w:pPr>
            <w:r>
              <w:rPr/>
              <w:t> </w:t>
            </w:r>
          </w:p>
        </w:tc>
      </w:tr>
      <w:tr>
        <w:trPr/>
        <w:tc>
          <w:tcPr>
            <w:tcW w:w="537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North and South America</w:t>
            </w:r>
          </w:p>
        </w:tc>
        <w:tc>
          <w:tcPr>
            <w:tcW w:w="92" w:type="dxa"/>
            <w:tcBorders/>
            <w:shd w:fill="CCEEFF" w:val="clear"/>
            <w:vAlign w:val="center"/>
          </w:tcPr>
          <w:p>
            <w:pPr>
              <w:pStyle w:val="TableContents"/>
              <w:spacing w:before="0" w:after="0"/>
              <w:ind w:left="0" w:right="0" w:hanging="0"/>
              <w:rPr/>
            </w:pPr>
            <w:r>
              <w:rPr/>
              <w:t> </w:t>
            </w:r>
          </w:p>
        </w:tc>
        <w:tc>
          <w:tcPr>
            <w:tcW w:w="24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1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18,320</w:t>
            </w:r>
          </w:p>
        </w:tc>
        <w:tc>
          <w:tcPr>
            <w:tcW w:w="119" w:type="dxa"/>
            <w:tcBorders/>
            <w:shd w:fill="CCEEFF" w:val="clear"/>
            <w:vAlign w:val="center"/>
          </w:tcPr>
          <w:p>
            <w:pPr>
              <w:pStyle w:val="TableContents"/>
              <w:spacing w:before="0" w:after="0"/>
              <w:ind w:left="0" w:right="0" w:hanging="0"/>
              <w:rPr/>
            </w:pPr>
            <w:r>
              <w:rPr/>
              <w:t> </w:t>
            </w:r>
          </w:p>
        </w:tc>
        <w:tc>
          <w:tcPr>
            <w:tcW w:w="119" w:type="dxa"/>
            <w:tcBorders/>
            <w:shd w:fill="CCEEFF" w:val="clear"/>
            <w:vAlign w:val="center"/>
          </w:tcPr>
          <w:p>
            <w:pPr>
              <w:pStyle w:val="TableContents"/>
              <w:spacing w:before="0" w:after="0"/>
              <w:ind w:left="0" w:right="0" w:hanging="0"/>
              <w:rPr/>
            </w:pPr>
            <w:r>
              <w:rPr/>
              <w:t> </w:t>
            </w:r>
          </w:p>
        </w:tc>
        <w:tc>
          <w:tcPr>
            <w:tcW w:w="24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1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14,040</w:t>
            </w:r>
          </w:p>
        </w:tc>
        <w:tc>
          <w:tcPr>
            <w:tcW w:w="115" w:type="dxa"/>
            <w:tcBorders/>
            <w:shd w:fill="CCEEFF" w:val="clear"/>
            <w:vAlign w:val="center"/>
          </w:tcPr>
          <w:p>
            <w:pPr>
              <w:pStyle w:val="TableContents"/>
              <w:spacing w:before="0" w:after="0"/>
              <w:ind w:left="0" w:right="0" w:hanging="0"/>
              <w:rPr/>
            </w:pPr>
            <w:r>
              <w:rPr/>
              <w:t> </w:t>
            </w:r>
          </w:p>
        </w:tc>
      </w:tr>
      <w:tr>
        <w:trPr/>
        <w:tc>
          <w:tcPr>
            <w:tcW w:w="537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Asia (including Middle East) and Australia</w:t>
            </w:r>
          </w:p>
        </w:tc>
        <w:tc>
          <w:tcPr>
            <w:tcW w:w="92" w:type="dxa"/>
            <w:tcBorders/>
            <w:shd w:fill="auto" w:val="clear"/>
            <w:vAlign w:val="center"/>
          </w:tcPr>
          <w:p>
            <w:pPr>
              <w:pStyle w:val="TableContents"/>
              <w:spacing w:before="0" w:after="0"/>
              <w:ind w:left="0" w:right="0" w:hanging="0"/>
              <w:rPr/>
            </w:pPr>
            <w:r>
              <w:rPr/>
              <w:t> </w:t>
            </w:r>
          </w:p>
        </w:tc>
        <w:tc>
          <w:tcPr>
            <w:tcW w:w="249" w:type="dxa"/>
            <w:tcBorders/>
            <w:shd w:fill="auto" w:val="clear"/>
            <w:vAlign w:val="center"/>
          </w:tcPr>
          <w:p>
            <w:pPr>
              <w:pStyle w:val="TableContents"/>
              <w:spacing w:before="0" w:after="0"/>
              <w:ind w:left="0" w:right="0" w:hanging="0"/>
              <w:rPr/>
            </w:pPr>
            <w:r>
              <w:rPr/>
              <w:t> </w:t>
            </w:r>
          </w:p>
        </w:tc>
        <w:tc>
          <w:tcPr>
            <w:tcW w:w="11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5,998</w:t>
            </w:r>
          </w:p>
        </w:tc>
        <w:tc>
          <w:tcPr>
            <w:tcW w:w="119" w:type="dxa"/>
            <w:tcBorders/>
            <w:shd w:fill="auto" w:val="clear"/>
            <w:vAlign w:val="center"/>
          </w:tcPr>
          <w:p>
            <w:pPr>
              <w:pStyle w:val="TableContents"/>
              <w:spacing w:before="0" w:after="0"/>
              <w:ind w:left="0" w:right="0" w:hanging="0"/>
              <w:rPr/>
            </w:pPr>
            <w:r>
              <w:rPr/>
              <w:t> </w:t>
            </w:r>
          </w:p>
        </w:tc>
        <w:tc>
          <w:tcPr>
            <w:tcW w:w="119" w:type="dxa"/>
            <w:tcBorders/>
            <w:shd w:fill="auto" w:val="clear"/>
            <w:vAlign w:val="center"/>
          </w:tcPr>
          <w:p>
            <w:pPr>
              <w:pStyle w:val="TableContents"/>
              <w:spacing w:before="0" w:after="0"/>
              <w:ind w:left="0" w:right="0" w:hanging="0"/>
              <w:rPr/>
            </w:pPr>
            <w:r>
              <w:rPr/>
              <w:t> </w:t>
            </w:r>
          </w:p>
        </w:tc>
        <w:tc>
          <w:tcPr>
            <w:tcW w:w="249" w:type="dxa"/>
            <w:tcBorders/>
            <w:shd w:fill="auto" w:val="clear"/>
            <w:vAlign w:val="center"/>
          </w:tcPr>
          <w:p>
            <w:pPr>
              <w:pStyle w:val="TableContents"/>
              <w:spacing w:before="0" w:after="0"/>
              <w:ind w:left="0" w:right="0" w:hanging="0"/>
              <w:rPr/>
            </w:pPr>
            <w:r>
              <w:rPr/>
              <w:t> </w:t>
            </w:r>
          </w:p>
        </w:tc>
        <w:tc>
          <w:tcPr>
            <w:tcW w:w="11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7,773</w:t>
            </w:r>
          </w:p>
        </w:tc>
        <w:tc>
          <w:tcPr>
            <w:tcW w:w="115" w:type="dxa"/>
            <w:tcBorders/>
            <w:shd w:fill="auto" w:val="clear"/>
            <w:vAlign w:val="center"/>
          </w:tcPr>
          <w:p>
            <w:pPr>
              <w:pStyle w:val="TableContents"/>
              <w:spacing w:before="0" w:after="0"/>
              <w:ind w:left="0" w:right="0" w:hanging="0"/>
              <w:rPr/>
            </w:pPr>
            <w:r>
              <w:rPr/>
              <w:t> </w:t>
            </w:r>
          </w:p>
        </w:tc>
      </w:tr>
      <w:tr>
        <w:trPr/>
        <w:tc>
          <w:tcPr>
            <w:tcW w:w="537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Europe and Africa</w:t>
            </w:r>
          </w:p>
        </w:tc>
        <w:tc>
          <w:tcPr>
            <w:tcW w:w="92" w:type="dxa"/>
            <w:tcBorders/>
            <w:shd w:fill="CCEEFF" w:val="clear"/>
            <w:vAlign w:val="center"/>
          </w:tcPr>
          <w:p>
            <w:pPr>
              <w:pStyle w:val="TableContents"/>
              <w:spacing w:before="0" w:after="0"/>
              <w:ind w:left="0" w:right="0" w:hanging="0"/>
              <w:rPr/>
            </w:pPr>
            <w:r>
              <w:rPr/>
              <w:t> </w:t>
            </w:r>
          </w:p>
        </w:tc>
        <w:tc>
          <w:tcPr>
            <w:tcW w:w="249" w:type="dxa"/>
            <w:tcBorders/>
            <w:shd w:fill="CCEEFF" w:val="clear"/>
            <w:vAlign w:val="center"/>
          </w:tcPr>
          <w:p>
            <w:pPr>
              <w:pStyle w:val="TableContents"/>
              <w:spacing w:before="0" w:after="0"/>
              <w:ind w:left="0" w:right="0" w:hanging="0"/>
              <w:rPr/>
            </w:pPr>
            <w:r>
              <w:rPr/>
              <w:t> </w:t>
            </w:r>
          </w:p>
        </w:tc>
        <w:tc>
          <w:tcPr>
            <w:tcW w:w="11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4,751</w:t>
            </w:r>
          </w:p>
        </w:tc>
        <w:tc>
          <w:tcPr>
            <w:tcW w:w="119" w:type="dxa"/>
            <w:tcBorders/>
            <w:shd w:fill="CCEEFF" w:val="clear"/>
            <w:vAlign w:val="center"/>
          </w:tcPr>
          <w:p>
            <w:pPr>
              <w:pStyle w:val="TableContents"/>
              <w:spacing w:before="0" w:after="0"/>
              <w:ind w:left="0" w:right="0" w:hanging="0"/>
              <w:rPr/>
            </w:pPr>
            <w:r>
              <w:rPr/>
              <w:t> </w:t>
            </w:r>
          </w:p>
        </w:tc>
        <w:tc>
          <w:tcPr>
            <w:tcW w:w="119" w:type="dxa"/>
            <w:tcBorders/>
            <w:shd w:fill="CCEEFF" w:val="clear"/>
            <w:vAlign w:val="center"/>
          </w:tcPr>
          <w:p>
            <w:pPr>
              <w:pStyle w:val="TableContents"/>
              <w:spacing w:before="0" w:after="0"/>
              <w:ind w:left="0" w:right="0" w:hanging="0"/>
              <w:rPr/>
            </w:pPr>
            <w:r>
              <w:rPr/>
              <w:t> </w:t>
            </w:r>
          </w:p>
        </w:tc>
        <w:tc>
          <w:tcPr>
            <w:tcW w:w="249" w:type="dxa"/>
            <w:tcBorders/>
            <w:shd w:fill="CCEEFF" w:val="clear"/>
            <w:vAlign w:val="center"/>
          </w:tcPr>
          <w:p>
            <w:pPr>
              <w:pStyle w:val="TableContents"/>
              <w:spacing w:before="0" w:after="0"/>
              <w:ind w:left="0" w:right="0" w:hanging="0"/>
              <w:rPr/>
            </w:pPr>
            <w:r>
              <w:rPr/>
              <w:t> </w:t>
            </w:r>
          </w:p>
        </w:tc>
        <w:tc>
          <w:tcPr>
            <w:tcW w:w="11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3,229</w:t>
            </w:r>
          </w:p>
        </w:tc>
        <w:tc>
          <w:tcPr>
            <w:tcW w:w="115" w:type="dxa"/>
            <w:tcBorders/>
            <w:shd w:fill="CCEEFF" w:val="clear"/>
            <w:vAlign w:val="center"/>
          </w:tcPr>
          <w:p>
            <w:pPr>
              <w:pStyle w:val="TableContents"/>
              <w:spacing w:before="0" w:after="0"/>
              <w:ind w:left="0" w:right="0" w:hanging="0"/>
              <w:rPr/>
            </w:pPr>
            <w:r>
              <w:rPr/>
            </w:r>
          </w:p>
        </w:tc>
      </w:tr>
      <w:tr>
        <w:trPr/>
        <w:tc>
          <w:tcPr>
            <w:tcW w:w="5371" w:type="dxa"/>
            <w:tcBorders/>
            <w:shd w:fill="auto" w:val="clear"/>
            <w:vAlign w:val="center"/>
          </w:tcPr>
          <w:p>
            <w:pPr>
              <w:pStyle w:val="TableContents"/>
              <w:spacing w:before="0" w:after="0"/>
              <w:ind w:left="0" w:right="0" w:hanging="0"/>
              <w:rPr/>
            </w:pPr>
            <w:r>
              <w:rPr/>
              <w:t> </w:t>
            </w:r>
          </w:p>
        </w:tc>
        <w:tc>
          <w:tcPr>
            <w:tcW w:w="92" w:type="dxa"/>
            <w:tcBorders/>
            <w:shd w:fill="auto" w:val="clear"/>
            <w:vAlign w:val="center"/>
          </w:tcPr>
          <w:p>
            <w:pPr>
              <w:pStyle w:val="TableContents"/>
              <w:spacing w:before="0" w:after="0"/>
              <w:ind w:left="0" w:right="0" w:hanging="0"/>
              <w:rPr/>
            </w:pPr>
            <w:r>
              <w:rPr/>
              <w:t> </w:t>
            </w:r>
          </w:p>
        </w:tc>
        <w:tc>
          <w:tcPr>
            <w:tcW w:w="24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1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29,069</w:t>
            </w:r>
          </w:p>
        </w:tc>
        <w:tc>
          <w:tcPr>
            <w:tcW w:w="119" w:type="dxa"/>
            <w:tcBorders/>
            <w:shd w:fill="auto" w:val="clear"/>
            <w:vAlign w:val="center"/>
          </w:tcPr>
          <w:p>
            <w:pPr>
              <w:pStyle w:val="TableContents"/>
              <w:spacing w:before="0" w:after="0"/>
              <w:ind w:left="0" w:right="0" w:hanging="0"/>
              <w:rPr/>
            </w:pPr>
            <w:r>
              <w:rPr/>
              <w:t> </w:t>
            </w:r>
          </w:p>
        </w:tc>
        <w:tc>
          <w:tcPr>
            <w:tcW w:w="119" w:type="dxa"/>
            <w:tcBorders/>
            <w:shd w:fill="auto" w:val="clear"/>
            <w:vAlign w:val="center"/>
          </w:tcPr>
          <w:p>
            <w:pPr>
              <w:pStyle w:val="TableContents"/>
              <w:spacing w:before="0" w:after="0"/>
              <w:ind w:left="0" w:right="0" w:hanging="0"/>
              <w:rPr/>
            </w:pPr>
            <w:r>
              <w:rPr/>
              <w:t> </w:t>
            </w:r>
          </w:p>
        </w:tc>
        <w:tc>
          <w:tcPr>
            <w:tcW w:w="24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1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25,042</w:t>
            </w:r>
          </w:p>
        </w:tc>
        <w:tc>
          <w:tcPr>
            <w:tcW w:w="115" w:type="dxa"/>
            <w:tcBorders/>
            <w:shd w:fill="auto" w:val="clear"/>
            <w:vAlign w:val="center"/>
          </w:tcPr>
          <w:p>
            <w:pPr>
              <w:pStyle w:val="TableContents"/>
              <w:spacing w:before="0" w:after="0"/>
              <w:ind w:left="0" w:right="0" w:hanging="0"/>
              <w:rPr/>
            </w:pPr>
            <w:r>
              <w:rPr/>
              <w:t> </w:t>
            </w:r>
          </w:p>
        </w:tc>
      </w:tr>
    </w:tbl>
    <w:p>
      <w:pPr>
        <w:pStyle w:val="TextBody"/>
        <w:widowControl/>
        <w:spacing w:before="0" w:after="0"/>
        <w:ind w:left="144" w:right="144" w:hanging="0"/>
        <w:rPr>
          <w:caps w:val="false"/>
          <w:smallCaps w:val="false"/>
          <w:color w:val="000000"/>
          <w:spacing w:val="0"/>
        </w:rPr>
      </w:pPr>
      <w:r>
        <w:rPr>
          <w:caps w:val="false"/>
          <w:smallCaps w:val="false"/>
          <w:color w:val="000000"/>
          <w:spacing w:val="0"/>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Warranty Costs</w:t>
      </w:r>
      <w:r>
        <w:rPr>
          <w:rFonts w:ascii="times new roman;times" w:hAnsi="times new roman;times"/>
          <w:sz w:val="20"/>
        </w:rPr>
        <w:t xml:space="preserve"> – </w:t>
      </w:r>
      <w:r>
        <w:rPr>
          <w:rFonts w:ascii="Times New Roman" w:hAnsi="Times New Roman"/>
          <w:sz w:val="20"/>
        </w:rPr>
        <w:t>The Company accrues for warranty costs based on estimated warranty return rates and estimated costs to repair. These reserve costs are 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pStyle w:val="TextBody"/>
        <w:spacing w:before="0" w:after="0"/>
        <w:ind w:left="144" w:right="144"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details of changes in the Company’s warranty accrual are as follows:</w:t>
      </w:r>
    </w:p>
    <w:p>
      <w:pPr>
        <w:pStyle w:val="TextBody"/>
        <w:spacing w:before="0" w:after="0"/>
        <w:ind w:left="144" w:right="144" w:hanging="0"/>
        <w:jc w:val="both"/>
        <w:rPr/>
      </w:pPr>
      <w:r>
        <w:rPr/>
        <w:t> </w:t>
      </w:r>
    </w:p>
    <w:tbl>
      <w:tblPr>
        <w:tblW w:w="4250" w:type="pct"/>
        <w:jc w:val="left"/>
        <w:tblInd w:w="0" w:type="dxa"/>
        <w:tblCellMar>
          <w:top w:w="0" w:type="dxa"/>
          <w:left w:w="0" w:type="dxa"/>
          <w:bottom w:w="0" w:type="dxa"/>
          <w:right w:w="0" w:type="dxa"/>
        </w:tblCellMar>
      </w:tblPr>
      <w:tblGrid>
        <w:gridCol w:w="4761"/>
        <w:gridCol w:w="107"/>
        <w:gridCol w:w="377"/>
        <w:gridCol w:w="1191"/>
        <w:gridCol w:w="285"/>
        <w:gridCol w:w="180"/>
        <w:gridCol w:w="377"/>
        <w:gridCol w:w="1200"/>
        <w:gridCol w:w="196"/>
      </w:tblGrid>
      <w:tr>
        <w:trPr/>
        <w:tc>
          <w:tcPr>
            <w:tcW w:w="4761" w:type="dxa"/>
            <w:tcBorders/>
            <w:shd w:fill="auto" w:val="clear"/>
            <w:vAlign w:val="center"/>
          </w:tcPr>
          <w:p>
            <w:pPr>
              <w:pStyle w:val="TableContents"/>
              <w:spacing w:before="0" w:after="0"/>
              <w:ind w:left="0" w:right="0" w:hanging="0"/>
              <w:rPr/>
            </w:pPr>
            <w:r>
              <w:rPr/>
              <w:t> </w:t>
            </w:r>
          </w:p>
        </w:tc>
        <w:tc>
          <w:tcPr>
            <w:tcW w:w="107" w:type="dxa"/>
            <w:tcBorders/>
            <w:shd w:fill="auto" w:val="clear"/>
            <w:vAlign w:val="center"/>
          </w:tcPr>
          <w:p>
            <w:pPr>
              <w:pStyle w:val="TableContents"/>
              <w:spacing w:before="0" w:after="0"/>
              <w:ind w:left="0" w:right="0" w:hanging="0"/>
              <w:rPr/>
            </w:pPr>
            <w:r>
              <w:rPr/>
              <w:t> </w:t>
            </w:r>
          </w:p>
        </w:tc>
        <w:tc>
          <w:tcPr>
            <w:tcW w:w="3610" w:type="dxa"/>
            <w:gridSpan w:val="6"/>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196" w:type="dxa"/>
            <w:tcBorders/>
            <w:shd w:fill="auto" w:val="clear"/>
            <w:vAlign w:val="center"/>
          </w:tcPr>
          <w:p>
            <w:pPr>
              <w:pStyle w:val="TableContents"/>
              <w:spacing w:before="0" w:after="0"/>
              <w:ind w:left="0" w:right="0" w:hanging="0"/>
              <w:rPr/>
            </w:pPr>
            <w:r>
              <w:rPr/>
              <w:t> </w:t>
            </w:r>
          </w:p>
        </w:tc>
      </w:tr>
      <w:tr>
        <w:trPr/>
        <w:tc>
          <w:tcPr>
            <w:tcW w:w="4761" w:type="dxa"/>
            <w:tcBorders/>
            <w:shd w:fill="auto" w:val="clear"/>
            <w:vAlign w:val="center"/>
          </w:tcPr>
          <w:p>
            <w:pPr>
              <w:pStyle w:val="TableContents"/>
              <w:spacing w:before="0" w:after="0"/>
              <w:ind w:left="0" w:right="0" w:hanging="0"/>
              <w:rPr/>
            </w:pPr>
            <w:r>
              <w:rPr/>
              <w:t> </w:t>
            </w:r>
          </w:p>
        </w:tc>
        <w:tc>
          <w:tcPr>
            <w:tcW w:w="107" w:type="dxa"/>
            <w:tcBorders/>
            <w:shd w:fill="auto" w:val="clear"/>
            <w:vAlign w:val="center"/>
          </w:tcPr>
          <w:p>
            <w:pPr>
              <w:pStyle w:val="TableContents"/>
              <w:spacing w:before="0" w:after="0"/>
              <w:ind w:left="0" w:right="0" w:hanging="0"/>
              <w:rPr/>
            </w:pPr>
            <w:r>
              <w:rPr/>
              <w:t> </w:t>
            </w:r>
          </w:p>
        </w:tc>
        <w:tc>
          <w:tcPr>
            <w:tcW w:w="1568"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2020</w:t>
            </w:r>
          </w:p>
        </w:tc>
        <w:tc>
          <w:tcPr>
            <w:tcW w:w="285" w:type="dxa"/>
            <w:tcBorders/>
            <w:shd w:fill="auto" w:val="clear"/>
            <w:vAlign w:val="center"/>
          </w:tcPr>
          <w:p>
            <w:pPr>
              <w:pStyle w:val="TableContents"/>
              <w:spacing w:before="0" w:after="0"/>
              <w:ind w:left="0" w:right="0" w:hanging="0"/>
              <w:rPr/>
            </w:pPr>
            <w:r>
              <w:rPr/>
              <w:t> </w:t>
            </w:r>
          </w:p>
        </w:tc>
        <w:tc>
          <w:tcPr>
            <w:tcW w:w="180" w:type="dxa"/>
            <w:tcBorders/>
            <w:shd w:fill="auto" w:val="clear"/>
            <w:vAlign w:val="center"/>
          </w:tcPr>
          <w:p>
            <w:pPr>
              <w:pStyle w:val="TableContents"/>
              <w:spacing w:before="0" w:after="0"/>
              <w:ind w:left="0" w:right="0" w:hanging="0"/>
              <w:rPr/>
            </w:pPr>
            <w:r>
              <w:rPr/>
              <w:t> </w:t>
            </w:r>
          </w:p>
        </w:tc>
        <w:tc>
          <w:tcPr>
            <w:tcW w:w="1577"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2019</w:t>
            </w:r>
          </w:p>
        </w:tc>
        <w:tc>
          <w:tcPr>
            <w:tcW w:w="196" w:type="dxa"/>
            <w:tcBorders/>
            <w:shd w:fill="auto" w:val="clear"/>
            <w:vAlign w:val="center"/>
          </w:tcPr>
          <w:p>
            <w:pPr>
              <w:pStyle w:val="TableContents"/>
              <w:spacing w:before="0" w:after="0"/>
              <w:ind w:left="0" w:right="0" w:hanging="0"/>
              <w:rPr/>
            </w:pPr>
            <w:r>
              <w:rPr/>
              <w:t> </w:t>
            </w:r>
          </w:p>
        </w:tc>
      </w:tr>
      <w:tr>
        <w:trPr/>
        <w:tc>
          <w:tcPr>
            <w:tcW w:w="476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at the beginning of year</w:t>
            </w:r>
          </w:p>
        </w:tc>
        <w:tc>
          <w:tcPr>
            <w:tcW w:w="107" w:type="dxa"/>
            <w:tcBorders/>
            <w:shd w:fill="CCEEFF" w:val="clear"/>
            <w:vAlign w:val="center"/>
          </w:tcPr>
          <w:p>
            <w:pPr>
              <w:pStyle w:val="TableContents"/>
              <w:spacing w:before="0" w:after="0"/>
              <w:ind w:left="0" w:right="0" w:hanging="0"/>
              <w:rPr/>
            </w:pPr>
            <w:r>
              <w:rPr/>
              <w:t> </w:t>
            </w:r>
          </w:p>
        </w:tc>
        <w:tc>
          <w:tcPr>
            <w:tcW w:w="37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19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285"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 </w:t>
            </w:r>
          </w:p>
        </w:tc>
        <w:tc>
          <w:tcPr>
            <w:tcW w:w="37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20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196" w:type="dxa"/>
            <w:tcBorders/>
            <w:shd w:fill="CCEEFF" w:val="clear"/>
            <w:vAlign w:val="center"/>
          </w:tcPr>
          <w:p>
            <w:pPr>
              <w:pStyle w:val="TableContents"/>
              <w:spacing w:before="0" w:after="0"/>
              <w:ind w:left="0" w:right="0" w:hanging="0"/>
              <w:rPr/>
            </w:pPr>
            <w:r>
              <w:rPr/>
              <w:t> </w:t>
            </w:r>
          </w:p>
        </w:tc>
      </w:tr>
      <w:tr>
        <w:trPr/>
        <w:tc>
          <w:tcPr>
            <w:tcW w:w="4761"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Accruals/additions</w:t>
            </w:r>
          </w:p>
        </w:tc>
        <w:tc>
          <w:tcPr>
            <w:tcW w:w="107" w:type="dxa"/>
            <w:tcBorders/>
            <w:shd w:fill="auto" w:val="clear"/>
            <w:vAlign w:val="center"/>
          </w:tcPr>
          <w:p>
            <w:pPr>
              <w:pStyle w:val="TableContents"/>
              <w:spacing w:before="0" w:after="0"/>
              <w:ind w:left="0" w:right="0" w:hanging="0"/>
              <w:rPr/>
            </w:pPr>
            <w:r>
              <w:rPr/>
              <w:t> </w:t>
            </w:r>
          </w:p>
        </w:tc>
        <w:tc>
          <w:tcPr>
            <w:tcW w:w="377" w:type="dxa"/>
            <w:tcBorders/>
            <w:shd w:fill="auto" w:val="clear"/>
            <w:vAlign w:val="center"/>
          </w:tcPr>
          <w:p>
            <w:pPr>
              <w:pStyle w:val="TableContents"/>
              <w:spacing w:before="0" w:after="0"/>
              <w:ind w:left="0" w:right="0" w:hanging="0"/>
              <w:rPr/>
            </w:pPr>
            <w:r>
              <w:rPr/>
              <w:t> </w:t>
            </w:r>
          </w:p>
        </w:tc>
        <w:tc>
          <w:tcPr>
            <w:tcW w:w="119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119</w:t>
            </w:r>
          </w:p>
        </w:tc>
        <w:tc>
          <w:tcPr>
            <w:tcW w:w="285" w:type="dxa"/>
            <w:tcBorders/>
            <w:shd w:fill="auto" w:val="clear"/>
            <w:vAlign w:val="center"/>
          </w:tcPr>
          <w:p>
            <w:pPr>
              <w:pStyle w:val="TableContents"/>
              <w:spacing w:before="0" w:after="0"/>
              <w:ind w:left="0" w:right="0" w:hanging="0"/>
              <w:rPr/>
            </w:pPr>
            <w:r>
              <w:rPr/>
              <w:t> </w:t>
            </w:r>
          </w:p>
        </w:tc>
        <w:tc>
          <w:tcPr>
            <w:tcW w:w="180" w:type="dxa"/>
            <w:tcBorders/>
            <w:shd w:fill="auto" w:val="clear"/>
            <w:vAlign w:val="center"/>
          </w:tcPr>
          <w:p>
            <w:pPr>
              <w:pStyle w:val="TableContents"/>
              <w:spacing w:before="0" w:after="0"/>
              <w:ind w:left="0" w:right="0" w:hanging="0"/>
              <w:rPr/>
            </w:pPr>
            <w:r>
              <w:rPr/>
              <w:t> </w:t>
            </w:r>
          </w:p>
        </w:tc>
        <w:tc>
          <w:tcPr>
            <w:tcW w:w="377" w:type="dxa"/>
            <w:tcBorders/>
            <w:shd w:fill="auto" w:val="clear"/>
            <w:vAlign w:val="center"/>
          </w:tcPr>
          <w:p>
            <w:pPr>
              <w:pStyle w:val="TableContents"/>
              <w:spacing w:before="0" w:after="0"/>
              <w:ind w:left="0" w:right="0" w:hanging="0"/>
              <w:rPr/>
            </w:pPr>
            <w:r>
              <w:rPr/>
              <w:t> </w:t>
            </w:r>
          </w:p>
        </w:tc>
        <w:tc>
          <w:tcPr>
            <w:tcW w:w="120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121</w:t>
            </w:r>
          </w:p>
        </w:tc>
        <w:tc>
          <w:tcPr>
            <w:tcW w:w="196" w:type="dxa"/>
            <w:tcBorders/>
            <w:shd w:fill="auto" w:val="clear"/>
            <w:vAlign w:val="center"/>
          </w:tcPr>
          <w:p>
            <w:pPr>
              <w:pStyle w:val="TableContents"/>
              <w:spacing w:before="0" w:after="0"/>
              <w:ind w:left="0" w:right="0" w:hanging="0"/>
              <w:rPr/>
            </w:pPr>
            <w:r>
              <w:rPr/>
              <w:t> </w:t>
            </w:r>
          </w:p>
        </w:tc>
      </w:tr>
      <w:tr>
        <w:trPr/>
        <w:tc>
          <w:tcPr>
            <w:tcW w:w="4761"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Usage/claims</w:t>
            </w:r>
          </w:p>
        </w:tc>
        <w:tc>
          <w:tcPr>
            <w:tcW w:w="107" w:type="dxa"/>
            <w:tcBorders/>
            <w:shd w:fill="CCEEFF" w:val="clear"/>
            <w:vAlign w:val="center"/>
          </w:tcPr>
          <w:p>
            <w:pPr>
              <w:pStyle w:val="TableContents"/>
              <w:spacing w:before="0" w:after="0"/>
              <w:ind w:left="0" w:right="0" w:hanging="0"/>
              <w:rPr/>
            </w:pPr>
            <w:r>
              <w:rPr/>
              <w:t> </w:t>
            </w:r>
          </w:p>
        </w:tc>
        <w:tc>
          <w:tcPr>
            <w:tcW w:w="377" w:type="dxa"/>
            <w:tcBorders/>
            <w:shd w:fill="CCEEFF" w:val="clear"/>
            <w:vAlign w:val="center"/>
          </w:tcPr>
          <w:p>
            <w:pPr>
              <w:pStyle w:val="TableContents"/>
              <w:spacing w:before="0" w:after="0"/>
              <w:ind w:left="0" w:right="0" w:hanging="0"/>
              <w:rPr/>
            </w:pPr>
            <w:r>
              <w:rPr/>
              <w:t> </w:t>
            </w:r>
          </w:p>
        </w:tc>
        <w:tc>
          <w:tcPr>
            <w:tcW w:w="119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(119</w:t>
            </w:r>
          </w:p>
        </w:tc>
        <w:tc>
          <w:tcPr>
            <w:tcW w:w="285" w:type="dxa"/>
            <w:tcBorders/>
            <w:shd w:fill="CCEEFF" w:val="clear"/>
            <w:vAlign w:val="center"/>
          </w:tcPr>
          <w:p>
            <w:pPr>
              <w:pStyle w:val="TableContents"/>
              <w:spacing w:before="0" w:after="283"/>
              <w:rPr/>
            </w:pPr>
            <w:r>
              <w:rPr/>
              <w:t>)</w:t>
            </w:r>
          </w:p>
        </w:tc>
        <w:tc>
          <w:tcPr>
            <w:tcW w:w="180" w:type="dxa"/>
            <w:tcBorders/>
            <w:shd w:fill="CCEEFF" w:val="clear"/>
            <w:vAlign w:val="center"/>
          </w:tcPr>
          <w:p>
            <w:pPr>
              <w:pStyle w:val="TableContents"/>
              <w:spacing w:before="0" w:after="0"/>
              <w:ind w:left="0" w:right="0" w:hanging="0"/>
              <w:rPr/>
            </w:pPr>
            <w:r>
              <w:rPr/>
              <w:t> </w:t>
            </w:r>
          </w:p>
        </w:tc>
        <w:tc>
          <w:tcPr>
            <w:tcW w:w="377" w:type="dxa"/>
            <w:tcBorders/>
            <w:shd w:fill="CCEEFF" w:val="clear"/>
            <w:vAlign w:val="center"/>
          </w:tcPr>
          <w:p>
            <w:pPr>
              <w:pStyle w:val="TableContents"/>
              <w:spacing w:before="0" w:after="0"/>
              <w:ind w:left="0" w:right="0" w:hanging="0"/>
              <w:rPr/>
            </w:pPr>
            <w:r>
              <w:rPr/>
              <w:t> </w:t>
            </w:r>
          </w:p>
        </w:tc>
        <w:tc>
          <w:tcPr>
            <w:tcW w:w="120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(121</w:t>
            </w:r>
          </w:p>
        </w:tc>
        <w:tc>
          <w:tcPr>
            <w:tcW w:w="196" w:type="dxa"/>
            <w:tcBorders/>
            <w:shd w:fill="CCEEFF" w:val="clear"/>
            <w:vAlign w:val="center"/>
          </w:tcPr>
          <w:p>
            <w:pPr>
              <w:pStyle w:val="TableContents"/>
              <w:spacing w:before="0" w:after="283"/>
              <w:rPr/>
            </w:pPr>
            <w:r>
              <w:rPr/>
              <w:t>)</w:t>
            </w:r>
          </w:p>
        </w:tc>
      </w:tr>
      <w:tr>
        <w:trPr/>
        <w:tc>
          <w:tcPr>
            <w:tcW w:w="476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at end of year</w:t>
            </w:r>
          </w:p>
        </w:tc>
        <w:tc>
          <w:tcPr>
            <w:tcW w:w="107" w:type="dxa"/>
            <w:tcBorders/>
            <w:shd w:fill="auto" w:val="clear"/>
            <w:vAlign w:val="center"/>
          </w:tcPr>
          <w:p>
            <w:pPr>
              <w:pStyle w:val="TableContents"/>
              <w:spacing w:before="0" w:after="0"/>
              <w:ind w:left="0" w:right="0" w:hanging="0"/>
              <w:rPr/>
            </w:pPr>
            <w:r>
              <w:rPr/>
              <w:t> </w:t>
            </w:r>
          </w:p>
        </w:tc>
        <w:tc>
          <w:tcPr>
            <w:tcW w:w="37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19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285" w:type="dxa"/>
            <w:tcBorders/>
            <w:shd w:fill="auto" w:val="clear"/>
            <w:vAlign w:val="center"/>
          </w:tcPr>
          <w:p>
            <w:pPr>
              <w:pStyle w:val="TableContents"/>
              <w:spacing w:before="0" w:after="0"/>
              <w:ind w:left="0" w:right="0" w:hanging="0"/>
              <w:rPr/>
            </w:pPr>
            <w:r>
              <w:rPr/>
              <w:t> </w:t>
            </w:r>
          </w:p>
        </w:tc>
        <w:tc>
          <w:tcPr>
            <w:tcW w:w="180" w:type="dxa"/>
            <w:tcBorders/>
            <w:shd w:fill="auto" w:val="clear"/>
            <w:vAlign w:val="center"/>
          </w:tcPr>
          <w:p>
            <w:pPr>
              <w:pStyle w:val="TableContents"/>
              <w:spacing w:before="0" w:after="0"/>
              <w:ind w:left="0" w:right="0" w:hanging="0"/>
              <w:rPr/>
            </w:pPr>
            <w:r>
              <w:rPr/>
              <w:t> </w:t>
            </w:r>
          </w:p>
        </w:tc>
        <w:tc>
          <w:tcPr>
            <w:tcW w:w="37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20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196" w:type="dxa"/>
            <w:tcBorders/>
            <w:shd w:fill="auto" w:val="clear"/>
            <w:vAlign w:val="center"/>
          </w:tcPr>
          <w:p>
            <w:pPr>
              <w:pStyle w:val="TableContents"/>
              <w:spacing w:before="0" w:after="0"/>
              <w:ind w:left="0" w:right="0" w:hanging="0"/>
              <w:rPr/>
            </w:pPr>
            <w:r>
              <w:rPr/>
              <w:t> </w:t>
            </w:r>
          </w:p>
        </w:tc>
      </w:tr>
    </w:tbl>
    <w:p>
      <w:pPr>
        <w:pStyle w:val="TextBody"/>
        <w:widowControl/>
        <w:spacing w:before="0" w:after="0"/>
        <w:ind w:left="144" w:right="144" w:hanging="0"/>
        <w:rPr>
          <w:caps w:val="false"/>
          <w:smallCaps w:val="false"/>
          <w:color w:val="000000"/>
          <w:spacing w:val="0"/>
        </w:rPr>
      </w:pPr>
      <w:r>
        <w:rPr>
          <w:caps w:val="false"/>
          <w:smallCaps w:val="false"/>
          <w:color w:val="000000"/>
          <w:spacing w:val="0"/>
        </w:rPr>
        <w:t> </w:t>
      </w:r>
    </w:p>
    <w:p>
      <w:pPr>
        <w:pStyle w:val="TextBody"/>
        <w:spacing w:before="0" w:after="0"/>
        <w:ind w:left="0" w:right="0" w:hanging="0"/>
        <w:jc w:val="both"/>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F-12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144" w:right="144" w:hanging="0"/>
        <w:rPr/>
      </w:pPr>
      <w:r>
        <w:rPr/>
        <w:t> </w:t>
      </w:r>
    </w:p>
    <w:p>
      <w:pPr>
        <w:pStyle w:val="TextBody"/>
        <w:spacing w:before="0" w:after="0"/>
        <w:ind w:left="144" w:right="144"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144" w:right="144"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144" w:right="144"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Advertising</w:t>
      </w:r>
      <w:r>
        <w:rPr>
          <w:rFonts w:ascii="times new roman;times" w:hAnsi="times new roman;times"/>
          <w:sz w:val="20"/>
        </w:rPr>
        <w:t xml:space="preserve"> – </w:t>
      </w:r>
      <w:r>
        <w:rPr>
          <w:rFonts w:ascii="Times New Roman" w:hAnsi="Times New Roman"/>
          <w:sz w:val="20"/>
        </w:rPr>
        <w:t>The Company expenses advertising costs as incurred. Advertising costs consist of trade shows, magazine advertisements, and other forms of media. Advertising expenses for the years ended December 31, 2020 and 2019</w:t>
      </w:r>
      <w:r>
        <w:rPr>
          <w:rFonts w:ascii="times new roman;times" w:hAnsi="times new roman;times"/>
          <w:sz w:val="20"/>
        </w:rPr>
        <w:t xml:space="preserve"> </w:t>
      </w:r>
      <w:r>
        <w:rPr>
          <w:rFonts w:ascii="Times New Roman" w:hAnsi="Times New Roman"/>
          <w:sz w:val="20"/>
        </w:rPr>
        <w:t>totaled $440</w:t>
      </w:r>
      <w:r>
        <w:rPr>
          <w:rFonts w:ascii="times new roman;times" w:hAnsi="times new roman;times"/>
          <w:sz w:val="20"/>
        </w:rPr>
        <w:t> </w:t>
      </w:r>
      <w:r>
        <w:rPr>
          <w:rFonts w:ascii="Times New Roman" w:hAnsi="Times New Roman"/>
          <w:sz w:val="20"/>
        </w:rPr>
        <w:t>and $902, respectively, and are included in</w:t>
      </w:r>
      <w:r>
        <w:rPr>
          <w:rFonts w:ascii="times new roman;times" w:hAnsi="times new roman;times"/>
          <w:sz w:val="20"/>
        </w:rPr>
        <w:t> </w:t>
      </w:r>
      <w:r>
        <w:rPr>
          <w:rFonts w:ascii="Times New Roman" w:hAnsi="Times New Roman"/>
          <w:sz w:val="20"/>
        </w:rPr>
        <w:t>sales and marketing on the consolidated statements of operations and comprehensive income (loss).</w:t>
      </w:r>
    </w:p>
    <w:p>
      <w:pPr>
        <w:pStyle w:val="TextBody"/>
        <w:spacing w:before="0" w:after="0"/>
        <w:ind w:left="0" w:right="0" w:hanging="0"/>
        <w:jc w:val="both"/>
        <w:rPr/>
      </w:pPr>
      <w:r>
        <w:rPr/>
        <w:t> </w:t>
      </w:r>
    </w:p>
    <w:p>
      <w:pPr>
        <w:pStyle w:val="TextBody"/>
        <w:spacing w:lineRule="auto" w:line="312" w:before="0" w:after="0"/>
        <w:ind w:left="0" w:right="0" w:hanging="0"/>
        <w:jc w:val="both"/>
        <w:rPr>
          <w:rFonts w:ascii="times new roman;times" w:hAnsi="times new roman;times"/>
          <w:sz w:val="20"/>
        </w:rPr>
      </w:pPr>
      <w:r>
        <w:rPr>
          <w:rFonts w:ascii="times new roman;times" w:hAnsi="times new roman;times"/>
          <w:i/>
          <w:sz w:val="20"/>
        </w:rPr>
        <w:t>Income Taxes</w:t>
      </w:r>
      <w:r>
        <w:rPr>
          <w:rFonts w:ascii="times new roman;times" w:hAnsi="times new roman;times"/>
          <w:sz w:val="20"/>
        </w:rPr>
        <w:t xml:space="preserve"> – The Company uses the asset and liability method of accounting for income taxes. Under the asset and liability method, deferred tax assets and 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t>
      </w:r>
    </w:p>
    <w:p>
      <w:pPr>
        <w:pStyle w:val="TextBody"/>
        <w:spacing w:lineRule="auto" w:line="312"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 2018, as a result of negative evidence, principally three years of cumulative pre-tax operating losses, we concluded that it was more likely than not that net operating losses, tax credits and other deferred tax assets were not realizable and therefore, we recorded a full valuation allowance against those net deferred tax assets. Adjustments to the valuation allowance increase or decrease the Company’s income tax provision or benefit.</w:t>
      </w:r>
    </w:p>
    <w:p>
      <w:pPr>
        <w:pStyle w:val="TextBody"/>
        <w:widowControl/>
        <w:spacing w:before="0" w:after="0"/>
        <w:ind w:left="0" w:right="0" w:hanging="0"/>
        <w:rPr>
          <w:rFonts w:ascii="Times New Roman" w:hAnsi="Times New Roman"/>
          <w:sz w:val="20"/>
        </w:rPr>
      </w:pPr>
      <w:r>
        <w:rPr>
          <w:rFonts w:ascii="Times New Roman" w:hAnsi="Times New Roman"/>
          <w:sz w:val="20"/>
        </w:rPr>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2020 the Company had no net deferred tax assets due to valuation allowances recorded to account for the consecutive quarters with losses before taxes.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Recent changes: </w:t>
      </w:r>
      <w:r>
        <w:rPr>
          <w:rFonts w:ascii="Times New Roman" w:hAnsi="Times New Roman"/>
          <w:b w:val="false"/>
          <w:i w:val="false"/>
          <w:caps w:val="false"/>
          <w:smallCaps w:val="false"/>
          <w:color w:val="000000"/>
          <w:spacing w:val="0"/>
          <w:sz w:val="20"/>
        </w:rPr>
        <w:t>There were no changes that had a material impact on the Company's consolidated financial position, results of operations or cash flows.</w:t>
      </w:r>
    </w:p>
    <w:p>
      <w:pPr>
        <w:pStyle w:val="TextBody"/>
        <w:widowControl/>
        <w:spacing w:before="0" w:after="0"/>
        <w:ind w:left="0" w:right="0" w:hanging="0"/>
        <w:rPr/>
      </w:pPr>
      <w:r>
        <w:rPr/>
      </w:r>
    </w:p>
    <w:p>
      <w:pPr>
        <w:pStyle w:val="TextBody"/>
        <w:spacing w:before="0" w:after="0"/>
        <w:ind w:left="0" w:right="0" w:hanging="0"/>
        <w:rPr>
          <w:rFonts w:ascii="times new roman;times" w:hAnsi="times new roman;times"/>
          <w:sz w:val="20"/>
        </w:rPr>
      </w:pPr>
      <w:r>
        <w:rPr>
          <w:rFonts w:ascii="Times New Roman" w:hAnsi="Times New Roman"/>
          <w:i/>
          <w:sz w:val="20"/>
        </w:rPr>
        <w:t>Earnings Per Share</w:t>
      </w:r>
      <w:r>
        <w:rPr>
          <w:rFonts w:ascii="times new roman;times" w:hAnsi="times new roman;times"/>
          <w:sz w:val="20"/>
        </w:rPr>
        <w:t xml:space="preserve"> – </w:t>
      </w:r>
      <w:r>
        <w:rPr>
          <w:rFonts w:ascii="Times New Roman" w:hAnsi="Times New Roman"/>
          <w:sz w:val="20"/>
        </w:rPr>
        <w:t>The following table sets forth the computation of basic and diluted loss per common share: </w:t>
      </w:r>
    </w:p>
    <w:p>
      <w:pPr>
        <w:pStyle w:val="TextBody"/>
        <w:spacing w:before="0" w:after="0"/>
        <w:ind w:left="144" w:right="144" w:hanging="0"/>
        <w:rPr/>
      </w:pPr>
      <w:r>
        <w:rPr/>
        <w:t> </w:t>
      </w:r>
    </w:p>
    <w:tbl>
      <w:tblPr>
        <w:tblW w:w="5000" w:type="pct"/>
        <w:jc w:val="left"/>
        <w:tblInd w:w="0" w:type="dxa"/>
        <w:tblCellMar>
          <w:top w:w="0" w:type="dxa"/>
          <w:left w:w="0" w:type="dxa"/>
          <w:bottom w:w="0" w:type="dxa"/>
          <w:right w:w="0" w:type="dxa"/>
        </w:tblCellMar>
      </w:tblPr>
      <w:tblGrid>
        <w:gridCol w:w="7704"/>
        <w:gridCol w:w="60"/>
        <w:gridCol w:w="125"/>
        <w:gridCol w:w="950"/>
        <w:gridCol w:w="60"/>
        <w:gridCol w:w="60"/>
        <w:gridCol w:w="125"/>
        <w:gridCol w:w="950"/>
        <w:gridCol w:w="95"/>
        <w:gridCol w:w="76"/>
      </w:tblGrid>
      <w:tr>
        <w:trPr/>
        <w:tc>
          <w:tcPr>
            <w:tcW w:w="770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2270" w:type="dxa"/>
            <w:gridSpan w:val="6"/>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95" w:type="dxa"/>
            <w:tcBorders/>
            <w:shd w:fill="auto" w:val="clear"/>
            <w:vAlign w:val="center"/>
          </w:tcPr>
          <w:p>
            <w:pPr>
              <w:pStyle w:val="TableContents"/>
              <w:spacing w:before="0" w:after="0"/>
              <w:ind w:left="0" w:right="0" w:hanging="0"/>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70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2020</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2019</w:t>
            </w:r>
          </w:p>
        </w:tc>
        <w:tc>
          <w:tcPr>
            <w:tcW w:w="95" w:type="dxa"/>
            <w:tcBorders/>
            <w:shd w:fill="auto" w:val="clear"/>
            <w:vAlign w:val="center"/>
          </w:tcPr>
          <w:p>
            <w:pPr>
              <w:pStyle w:val="TableContents"/>
              <w:spacing w:before="0" w:after="0"/>
              <w:ind w:left="0" w:right="0" w:hanging="0"/>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70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Numerator:</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rPr/>
            </w:pPr>
            <w:r>
              <w:rPr/>
              <w:t> </w:t>
            </w:r>
          </w:p>
        </w:tc>
        <w:tc>
          <w:tcPr>
            <w:tcW w:w="95" w:type="dxa"/>
            <w:tcBorders/>
            <w:shd w:fill="CCEEFF" w:val="clear"/>
            <w:vAlign w:val="center"/>
          </w:tcPr>
          <w:p>
            <w:pPr>
              <w:pStyle w:val="TableContents"/>
              <w:spacing w:before="0" w:after="0"/>
              <w:ind w:left="0" w:right="0" w:hanging="0"/>
              <w:rPr/>
            </w:pPr>
            <w:r>
              <w:rPr/>
              <w:t> </w:t>
            </w:r>
          </w:p>
        </w:tc>
        <w:tc>
          <w:tcPr>
            <w:tcW w:w="76" w:type="dxa"/>
            <w:tcBorders/>
            <w:shd w:fill="CCEEFF" w:val="clear"/>
            <w:vAlign w:val="center"/>
          </w:tcPr>
          <w:p>
            <w:pPr>
              <w:pStyle w:val="TableContents"/>
              <w:spacing w:before="0" w:after="283"/>
              <w:rPr>
                <w:sz w:val="4"/>
                <w:szCs w:val="4"/>
              </w:rPr>
            </w:pPr>
            <w:r>
              <w:rPr>
                <w:sz w:val="4"/>
                <w:szCs w:val="4"/>
              </w:rPr>
            </w:r>
          </w:p>
        </w:tc>
      </w:tr>
      <w:tr>
        <w:trPr/>
        <w:tc>
          <w:tcPr>
            <w:tcW w:w="7704"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Net income (loss)</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505</w:t>
            </w:r>
          </w:p>
        </w:tc>
        <w:tc>
          <w:tcPr>
            <w:tcW w:w="60" w:type="dxa"/>
            <w:tcBorders/>
            <w:shd w:fill="auto" w:val="clear"/>
            <w:vAlign w:val="center"/>
          </w:tcPr>
          <w:p>
            <w:pPr>
              <w:pStyle w:val="TableContents"/>
              <w:spacing w:before="0" w:after="0"/>
              <w:ind w:left="0" w:right="0" w:hanging="0"/>
              <w:rPr/>
            </w:pPr>
            <w:r>
              <w:rPr/>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(8,408</w:t>
            </w:r>
          </w:p>
        </w:tc>
        <w:tc>
          <w:tcPr>
            <w:tcW w:w="95" w:type="dxa"/>
            <w:tcBorders/>
            <w:shd w:fill="auto" w:val="clear"/>
            <w:vAlign w:val="center"/>
          </w:tcPr>
          <w:p>
            <w:pPr>
              <w:pStyle w:val="TableContents"/>
              <w:spacing w:before="0" w:after="283"/>
              <w:rPr/>
            </w:pPr>
            <w:r>
              <w:rPr/>
              <w:t>)</w:t>
            </w:r>
          </w:p>
        </w:tc>
        <w:tc>
          <w:tcPr>
            <w:tcW w:w="76" w:type="dxa"/>
            <w:tcBorders/>
            <w:shd w:fill="auto" w:val="clear"/>
            <w:vAlign w:val="center"/>
          </w:tcPr>
          <w:p>
            <w:pPr>
              <w:pStyle w:val="TableContents"/>
              <w:spacing w:before="0" w:after="283"/>
              <w:rPr>
                <w:sz w:val="4"/>
                <w:szCs w:val="4"/>
              </w:rPr>
            </w:pPr>
            <w:r>
              <w:rPr>
                <w:sz w:val="4"/>
                <w:szCs w:val="4"/>
              </w:rPr>
            </w:r>
          </w:p>
        </w:tc>
      </w:tr>
      <w:tr>
        <w:trPr/>
        <w:tc>
          <w:tcPr>
            <w:tcW w:w="770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Denominator:</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rPr/>
            </w:pPr>
            <w:r>
              <w:rPr/>
              <w:t> </w:t>
            </w:r>
          </w:p>
        </w:tc>
        <w:tc>
          <w:tcPr>
            <w:tcW w:w="95" w:type="dxa"/>
            <w:tcBorders/>
            <w:shd w:fill="CCEEFF" w:val="clear"/>
            <w:vAlign w:val="center"/>
          </w:tcPr>
          <w:p>
            <w:pPr>
              <w:pStyle w:val="TableContents"/>
              <w:spacing w:before="0" w:after="0"/>
              <w:ind w:left="0" w:right="0" w:hanging="0"/>
              <w:rPr/>
            </w:pPr>
            <w:r>
              <w:rPr/>
              <w:t> </w:t>
            </w:r>
          </w:p>
        </w:tc>
        <w:tc>
          <w:tcPr>
            <w:tcW w:w="76" w:type="dxa"/>
            <w:tcBorders/>
            <w:shd w:fill="CCEEFF" w:val="clear"/>
            <w:vAlign w:val="center"/>
          </w:tcPr>
          <w:p>
            <w:pPr>
              <w:pStyle w:val="TableContents"/>
              <w:spacing w:before="0" w:after="283"/>
              <w:rPr>
                <w:sz w:val="4"/>
                <w:szCs w:val="4"/>
              </w:rPr>
            </w:pPr>
            <w:r>
              <w:rPr>
                <w:sz w:val="4"/>
                <w:szCs w:val="4"/>
              </w:rPr>
            </w:r>
          </w:p>
        </w:tc>
      </w:tr>
      <w:tr>
        <w:trPr/>
        <w:tc>
          <w:tcPr>
            <w:tcW w:w="7704"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Basic weighted average shares</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17,271,629</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16,638,580</w:t>
            </w:r>
          </w:p>
        </w:tc>
        <w:tc>
          <w:tcPr>
            <w:tcW w:w="95" w:type="dxa"/>
            <w:tcBorders/>
            <w:shd w:fill="auto" w:val="clear"/>
            <w:vAlign w:val="center"/>
          </w:tcPr>
          <w:p>
            <w:pPr>
              <w:pStyle w:val="TableContents"/>
              <w:spacing w:before="0" w:after="0"/>
              <w:ind w:left="0" w:right="0" w:hanging="0"/>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704"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Dilutive common stock equivalents using treasury stock method</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53,722</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jc w:val="right"/>
              <w:rPr/>
            </w:pPr>
            <w:r>
              <w:rPr/>
              <w:t>—</w:t>
            </w:r>
          </w:p>
        </w:tc>
        <w:tc>
          <w:tcPr>
            <w:tcW w:w="95" w:type="dxa"/>
            <w:tcBorders/>
            <w:shd w:fill="CCEEFF" w:val="clear"/>
            <w:vAlign w:val="center"/>
          </w:tcPr>
          <w:p>
            <w:pPr>
              <w:pStyle w:val="TableContents"/>
              <w:spacing w:before="0" w:after="0"/>
              <w:ind w:left="0" w:right="0" w:hanging="0"/>
              <w:rPr/>
            </w:pPr>
            <w:r>
              <w:rPr/>
              <w:t> </w:t>
            </w:r>
          </w:p>
        </w:tc>
        <w:tc>
          <w:tcPr>
            <w:tcW w:w="76" w:type="dxa"/>
            <w:tcBorders/>
            <w:shd w:fill="CCEEFF" w:val="clear"/>
            <w:vAlign w:val="center"/>
          </w:tcPr>
          <w:p>
            <w:pPr>
              <w:pStyle w:val="TableContents"/>
              <w:spacing w:before="0" w:after="283"/>
              <w:rPr>
                <w:sz w:val="4"/>
                <w:szCs w:val="4"/>
              </w:rPr>
            </w:pPr>
            <w:r>
              <w:rPr>
                <w:sz w:val="4"/>
                <w:szCs w:val="4"/>
              </w:rPr>
            </w:r>
          </w:p>
        </w:tc>
      </w:tr>
      <w:tr>
        <w:trPr/>
        <w:tc>
          <w:tcPr>
            <w:tcW w:w="7704"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Diluted weighted average shares</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17,325,351</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16,638,580</w:t>
            </w:r>
          </w:p>
        </w:tc>
        <w:tc>
          <w:tcPr>
            <w:tcW w:w="95" w:type="dxa"/>
            <w:tcBorders/>
            <w:shd w:fill="auto" w:val="clear"/>
            <w:vAlign w:val="center"/>
          </w:tcPr>
          <w:p>
            <w:pPr>
              <w:pStyle w:val="TableContents"/>
              <w:spacing w:before="0" w:after="0"/>
              <w:ind w:left="0" w:right="0" w:hanging="0"/>
              <w:rPr/>
            </w:pPr>
            <w:r>
              <w:rPr/>
              <w:t> </w:t>
            </w:r>
          </w:p>
        </w:tc>
        <w:tc>
          <w:tcPr>
            <w:tcW w:w="76" w:type="dxa"/>
            <w:tcBorders/>
            <w:shd w:fill="auto" w:val="clear"/>
            <w:vAlign w:val="center"/>
          </w:tcPr>
          <w:p>
            <w:pPr>
              <w:pStyle w:val="TableContents"/>
              <w:spacing w:before="0" w:after="283"/>
              <w:rPr>
                <w:sz w:val="4"/>
                <w:szCs w:val="4"/>
              </w:rPr>
            </w:pPr>
            <w:r>
              <w:rPr>
                <w:sz w:val="4"/>
                <w:szCs w:val="4"/>
              </w:rPr>
            </w:r>
          </w:p>
        </w:tc>
      </w:tr>
      <w:tr>
        <w:trPr/>
        <w:tc>
          <w:tcPr>
            <w:tcW w:w="7704"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rPr/>
            </w:pPr>
            <w:r>
              <w:rPr/>
              <w:t> </w:t>
            </w:r>
          </w:p>
        </w:tc>
        <w:tc>
          <w:tcPr>
            <w:tcW w:w="95" w:type="dxa"/>
            <w:tcBorders/>
            <w:shd w:fill="CCEEFF" w:val="clear"/>
            <w:vAlign w:val="center"/>
          </w:tcPr>
          <w:p>
            <w:pPr>
              <w:pStyle w:val="TableContents"/>
              <w:spacing w:before="0" w:after="0"/>
              <w:ind w:left="0" w:right="0" w:hanging="0"/>
              <w:rPr/>
            </w:pPr>
            <w:r>
              <w:rPr/>
              <w:t> </w:t>
            </w:r>
          </w:p>
        </w:tc>
        <w:tc>
          <w:tcPr>
            <w:tcW w:w="76" w:type="dxa"/>
            <w:tcBorders/>
            <w:shd w:fill="CCEEFF" w:val="clear"/>
            <w:vAlign w:val="center"/>
          </w:tcPr>
          <w:p>
            <w:pPr>
              <w:pStyle w:val="TableContents"/>
              <w:spacing w:before="0" w:after="283"/>
              <w:rPr>
                <w:sz w:val="4"/>
                <w:szCs w:val="4"/>
              </w:rPr>
            </w:pPr>
            <w:r>
              <w:rPr>
                <w:sz w:val="4"/>
                <w:szCs w:val="4"/>
              </w:rPr>
            </w:r>
          </w:p>
        </w:tc>
      </w:tr>
      <w:tr>
        <w:trPr/>
        <w:tc>
          <w:tcPr>
            <w:tcW w:w="770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Basic income (loss) per common share:</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0.03</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(0.51</w:t>
            </w:r>
          </w:p>
        </w:tc>
        <w:tc>
          <w:tcPr>
            <w:tcW w:w="95" w:type="dxa"/>
            <w:tcBorders/>
            <w:shd w:fill="auto" w:val="clear"/>
            <w:vAlign w:val="center"/>
          </w:tcPr>
          <w:p>
            <w:pPr>
              <w:pStyle w:val="TableContents"/>
              <w:spacing w:before="0" w:after="283"/>
              <w:rPr/>
            </w:pPr>
            <w:r>
              <w:rPr/>
              <w:t>)</w:t>
            </w:r>
          </w:p>
        </w:tc>
        <w:tc>
          <w:tcPr>
            <w:tcW w:w="76" w:type="dxa"/>
            <w:tcBorders/>
            <w:shd w:fill="auto" w:val="clear"/>
            <w:vAlign w:val="center"/>
          </w:tcPr>
          <w:p>
            <w:pPr>
              <w:pStyle w:val="TableContents"/>
              <w:spacing w:before="0" w:after="0"/>
              <w:ind w:left="0" w:right="0" w:hanging="0"/>
              <w:rPr/>
            </w:pPr>
            <w:r>
              <w:rPr/>
              <w:t> </w:t>
            </w:r>
          </w:p>
        </w:tc>
      </w:tr>
      <w:tr>
        <w:trPr/>
        <w:tc>
          <w:tcPr>
            <w:tcW w:w="770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Diluted income (loss) per common share:</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0.03</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(0.51</w:t>
            </w:r>
          </w:p>
        </w:tc>
        <w:tc>
          <w:tcPr>
            <w:tcW w:w="95" w:type="dxa"/>
            <w:tcBorders/>
            <w:shd w:fill="CCEEFF" w:val="clear"/>
            <w:vAlign w:val="center"/>
          </w:tcPr>
          <w:p>
            <w:pPr>
              <w:pStyle w:val="TableContents"/>
              <w:spacing w:before="0" w:after="283"/>
              <w:rPr/>
            </w:pPr>
            <w:r>
              <w:rPr/>
              <w:t>)</w:t>
            </w:r>
          </w:p>
        </w:tc>
        <w:tc>
          <w:tcPr>
            <w:tcW w:w="76" w:type="dxa"/>
            <w:tcBorders/>
            <w:shd w:fill="CCEEFF" w:val="clear"/>
            <w:vAlign w:val="center"/>
          </w:tcPr>
          <w:p>
            <w:pPr>
              <w:pStyle w:val="TableContents"/>
              <w:spacing w:before="0" w:after="0"/>
              <w:ind w:left="0" w:right="0" w:hanging="0"/>
              <w:rPr/>
            </w:pPr>
            <w:r>
              <w:rPr/>
              <w:t> </w:t>
            </w:r>
          </w:p>
        </w:tc>
      </w:tr>
      <w:tr>
        <w:trPr/>
        <w:tc>
          <w:tcPr>
            <w:tcW w:w="7704"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rPr/>
            </w:pPr>
            <w:r>
              <w:rPr/>
              <w:t> </w:t>
            </w:r>
          </w:p>
        </w:tc>
        <w:tc>
          <w:tcPr>
            <w:tcW w:w="95" w:type="dxa"/>
            <w:tcBorders/>
            <w:shd w:fill="auto" w:val="clear"/>
            <w:vAlign w:val="center"/>
          </w:tcPr>
          <w:p>
            <w:pPr>
              <w:pStyle w:val="TableContents"/>
              <w:spacing w:before="0" w:after="0"/>
              <w:ind w:left="0" w:right="0" w:hanging="0"/>
              <w:rPr/>
            </w:pPr>
            <w:r>
              <w:rPr/>
              <w:t> </w:t>
            </w:r>
          </w:p>
        </w:tc>
        <w:tc>
          <w:tcPr>
            <w:tcW w:w="76" w:type="dxa"/>
            <w:tcBorders/>
            <w:shd w:fill="auto" w:val="clear"/>
            <w:vAlign w:val="center"/>
          </w:tcPr>
          <w:p>
            <w:pPr>
              <w:pStyle w:val="TableContents"/>
              <w:spacing w:before="0" w:after="0"/>
              <w:ind w:left="0" w:right="0" w:hanging="0"/>
              <w:rPr/>
            </w:pPr>
            <w:r>
              <w:rPr/>
              <w:t> </w:t>
            </w:r>
          </w:p>
        </w:tc>
      </w:tr>
      <w:tr>
        <w:trPr/>
        <w:tc>
          <w:tcPr>
            <w:tcW w:w="770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Weighted average options, warrants and convertible portion of senior convertible notes outstanding</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2,611,574</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566,200</w:t>
            </w:r>
          </w:p>
        </w:tc>
        <w:tc>
          <w:tcPr>
            <w:tcW w:w="95" w:type="dxa"/>
            <w:tcBorders/>
            <w:shd w:fill="CCEEFF" w:val="clear"/>
            <w:vAlign w:val="center"/>
          </w:tcPr>
          <w:p>
            <w:pPr>
              <w:pStyle w:val="TableContents"/>
              <w:spacing w:before="0" w:after="0"/>
              <w:ind w:left="0" w:right="0" w:hanging="0"/>
              <w:rPr/>
            </w:pPr>
            <w:r>
              <w:rPr/>
              <w:t> </w:t>
            </w:r>
          </w:p>
        </w:tc>
        <w:tc>
          <w:tcPr>
            <w:tcW w:w="76" w:type="dxa"/>
            <w:tcBorders/>
            <w:shd w:fill="CCEEFF" w:val="clear"/>
            <w:vAlign w:val="center"/>
          </w:tcPr>
          <w:p>
            <w:pPr>
              <w:pStyle w:val="TableContents"/>
              <w:spacing w:before="0" w:after="0"/>
              <w:ind w:left="0" w:right="0" w:hanging="0"/>
              <w:rPr/>
            </w:pPr>
            <w:r>
              <w:rPr/>
              <w:t> </w:t>
            </w:r>
          </w:p>
        </w:tc>
      </w:tr>
      <w:tr>
        <w:trPr/>
        <w:tc>
          <w:tcPr>
            <w:tcW w:w="7704" w:type="dxa"/>
            <w:tcBorders/>
            <w:shd w:fill="auto" w:val="clear"/>
            <w:vAlign w:val="center"/>
          </w:tcPr>
          <w:p>
            <w:pPr>
              <w:pStyle w:val="TableContents"/>
              <w:widowControl/>
              <w:spacing w:before="0" w:after="0"/>
              <w:ind w:left="0" w:right="0" w:hanging="0"/>
              <w:rPr>
                <w:rFonts w:ascii="Times New Roman" w:hAnsi="Times New Roman"/>
                <w:sz w:val="20"/>
              </w:rPr>
            </w:pPr>
            <w:r>
              <w:rPr>
                <w:rFonts w:ascii="Times New Roman" w:hAnsi="Times New Roman"/>
                <w:sz w:val="20"/>
              </w:rPr>
              <w:t>Anti-dilutive options</w:t>
            </w:r>
            <w:r>
              <w:rPr>
                <w:rFonts w:ascii="Times New Roman" w:hAnsi="Times New Roman"/>
                <w:b w:val="false"/>
                <w:i w:val="false"/>
                <w:caps w:val="false"/>
                <w:smallCaps w:val="false"/>
                <w:color w:val="000000"/>
                <w:spacing w:val="0"/>
                <w:sz w:val="20"/>
              </w:rPr>
              <w:t>, warrants and convertible portion of senior convertible notes </w:t>
            </w:r>
            <w:r>
              <w:rPr>
                <w:rFonts w:ascii="Times New Roman" w:hAnsi="Times New Roman"/>
                <w:sz w:val="20"/>
              </w:rPr>
              <w:t>not included in the computation</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3,323,272</w:t>
            </w:r>
          </w:p>
        </w:tc>
        <w:tc>
          <w:tcPr>
            <w:tcW w:w="6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5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566,200</w:t>
            </w:r>
          </w:p>
        </w:tc>
        <w:tc>
          <w:tcPr>
            <w:tcW w:w="95" w:type="dxa"/>
            <w:tcBorders/>
            <w:shd w:fill="auto" w:val="clear"/>
            <w:vAlign w:val="center"/>
          </w:tcPr>
          <w:p>
            <w:pPr>
              <w:pStyle w:val="TableContents"/>
              <w:spacing w:before="0" w:after="0"/>
              <w:ind w:left="0" w:right="0" w:hanging="0"/>
              <w:rPr/>
            </w:pPr>
            <w:r>
              <w:rPr/>
              <w:t> </w:t>
            </w:r>
          </w:p>
        </w:tc>
        <w:tc>
          <w:tcPr>
            <w:tcW w:w="76"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F-13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rPr>
          <w:sz w:val="20"/>
        </w:rPr>
      </w:pPr>
      <w:r>
        <w:rPr>
          <w:sz w:val="20"/>
        </w:rPr>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i/>
          <w:sz w:val="20"/>
        </w:rPr>
        <w:t>Share-Based Payment</w:t>
      </w:r>
      <w:r>
        <w:rPr>
          <w:rFonts w:ascii="times new roman;times" w:hAnsi="times new roman;times"/>
          <w:sz w:val="20"/>
        </w:rPr>
        <w:t xml:space="preserve"> – </w:t>
      </w:r>
      <w:r>
        <w:rPr>
          <w:rFonts w:ascii="Times New Roman" w:hAnsi="Times New Roman"/>
          <w:sz w:val="20"/>
        </w:rPr>
        <w:t>We estimate the fair value of stock options using the Black-Scholes option-pricing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pStyle w:val="TextBody"/>
        <w:spacing w:before="0" w:after="0"/>
        <w:ind w:left="0" w:right="0" w:hanging="0"/>
        <w:jc w:val="both"/>
        <w:rPr>
          <w:i/>
        </w:rPr>
      </w:pPr>
      <w:r>
        <w:rPr>
          <w:i/>
        </w:rPr>
      </w:r>
    </w:p>
    <w:p>
      <w:pPr>
        <w:pStyle w:val="TextBody"/>
        <w:spacing w:before="0" w:after="0"/>
        <w:ind w:left="0" w:right="0" w:hanging="0"/>
        <w:jc w:val="both"/>
        <w:rPr>
          <w:rFonts w:ascii="times new roman;times" w:hAnsi="times new roman;times"/>
          <w:sz w:val="20"/>
        </w:rPr>
      </w:pPr>
      <w:r>
        <w:rPr>
          <w:rFonts w:ascii="times new roman;times" w:hAnsi="times new roman;times"/>
          <w:i/>
          <w:sz w:val="20"/>
        </w:rPr>
        <w:t>Other recent accounting pronouncements:</w:t>
      </w:r>
      <w:r>
        <w:rPr>
          <w:rFonts w:ascii="times new roman;times" w:hAnsi="times new roman;times"/>
          <w:sz w:val="20"/>
        </w:rPr>
        <w:t xml:space="preserve"> The Company has determined that other recently issued accounting standards will not have a material impact on its consolidated financial position, results of operations or cash flows.</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br/>
      </w:r>
      <w:r>
        <w:rPr>
          <w:rFonts w:ascii="times new roman;times" w:hAnsi="times new roman;times"/>
          <w:b/>
          <w:i/>
          <w:sz w:val="20"/>
        </w:rPr>
        <w:t>Liquidity:</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br/>
        <w:t>As of December 31, 2020, our cash and cash equivalents were approximately $3,803 compared to $4,064 as of December 31, 2019. Our working capital was $22,185 as of December 31, 2020 compared to $18,934 as of December 31, 2019. Net cash used in operating activities was $982 for the twelve months ended December 31, 2020, a decrease of cash used of $3,674 from $4,656 of cash used in operating activities in the twelve months ended December 31, 2019.</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br/>
        <w:t>We are currently pursuing all available legal remedies to defend our strategic patents from infringement. We have already spent approximately $20,319 from 2016 through 2020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We believe this ruling will help pave way for ClearOne’s recovery from the immense harm inflicted by our competitor's infringement of our valuable patents.</w:t>
        <w:br/>
        <w:br/>
        <w:t xml:space="preserve">We have been actively engaged in preserving cash by suspending our dividend program, allowing our share repurchase program to expire and implementing company-wide cost reduction measures. We have also raised additional capital </w:t>
      </w:r>
      <w:r>
        <w:rPr>
          <w:rFonts w:ascii="Times New Roman" w:hAnsi="Times New Roman"/>
          <w:sz w:val="20"/>
        </w:rPr>
        <w:t>in 2019 by issuing senior convertible notes and in 2020 by borrowing through the CARES Act Paycheck Protection Program and issuing common stock and warrants. In addition, we expect to generate additional cash as our inventory levels are brought down to historical levels.</w:t>
      </w:r>
    </w:p>
    <w:p>
      <w:pPr>
        <w:pStyle w:val="TextBody"/>
        <w:spacing w:before="0" w:after="0"/>
        <w:ind w:left="0" w:right="0" w:hanging="0"/>
        <w:jc w:val="both"/>
        <w:rPr/>
      </w:pPr>
      <w:r>
        <w:rPr/>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We also believe that the measures taken by us will continue to yield higher revenues in the future. We believe all of these and effective management of working capital will provide the liquidity needed to meet our operating needs through at least March 31, 2022.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pStyle w:val="TextBody"/>
        <w:spacing w:before="0" w:after="0"/>
        <w:ind w:left="0" w:right="0" w:hanging="0"/>
        <w:jc w:val="both"/>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F-14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2</w:t>
      </w:r>
      <w:r>
        <w:rPr>
          <w:rFonts w:ascii="Times New Roman" w:hAnsi="Times New Roman"/>
          <w:b/>
          <w:sz w:val="20"/>
        </w:rPr>
        <w:t>. Marketable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classified its marketable securities as available-for-sale securities. These securities are carried at estimated fair value with unrealized holding gains and losses included in accumulated other comprehensive income (loss) in shareholders’ equity until realized. Gains and losses on marketable security transactions are reported on the specific-identification method. Dividend and interest income are recognized when earned.</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amortized cost, gross unrealized holding gains, gross unrealized holding losses, and fair value for available-for-sale securities by major security type and class of security at December 31, 2020 and 2019</w:t>
      </w:r>
      <w:r>
        <w:rPr>
          <w:rFonts w:ascii="times new roman;times" w:hAnsi="times new roman;times"/>
          <w:sz w:val="20"/>
        </w:rPr>
        <w:t xml:space="preserve"> </w:t>
      </w:r>
      <w:r>
        <w:rPr>
          <w:rFonts w:ascii="Times New Roman" w:hAnsi="Times New Roman"/>
          <w:sz w:val="20"/>
        </w:rPr>
        <w:t>were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081"/>
        <w:gridCol w:w="133"/>
        <w:gridCol w:w="276"/>
        <w:gridCol w:w="1076"/>
        <w:gridCol w:w="133"/>
        <w:gridCol w:w="133"/>
        <w:gridCol w:w="509"/>
        <w:gridCol w:w="942"/>
        <w:gridCol w:w="133"/>
        <w:gridCol w:w="133"/>
        <w:gridCol w:w="470"/>
        <w:gridCol w:w="981"/>
        <w:gridCol w:w="138"/>
        <w:gridCol w:w="133"/>
        <w:gridCol w:w="376"/>
        <w:gridCol w:w="1408"/>
        <w:gridCol w:w="150"/>
      </w:tblGrid>
      <w:tr>
        <w:trPr/>
        <w:tc>
          <w:tcPr>
            <w:tcW w:w="3081"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35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Amortized cost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451"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Gross unrealized</w:t>
            </w:r>
          </w:p>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holding gains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451"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Gross unrealized</w:t>
            </w:r>
          </w:p>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holding losses </w:t>
            </w:r>
          </w:p>
        </w:tc>
        <w:tc>
          <w:tcPr>
            <w:tcW w:w="138"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784"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Estimated fair value </w:t>
            </w:r>
          </w:p>
        </w:tc>
        <w:tc>
          <w:tcPr>
            <w:tcW w:w="150" w:type="dxa"/>
            <w:tcBorders/>
            <w:shd w:fill="auto" w:val="clear"/>
            <w:vAlign w:val="center"/>
          </w:tcPr>
          <w:p>
            <w:pPr>
              <w:pStyle w:val="TableContents"/>
              <w:spacing w:before="0" w:after="0"/>
              <w:ind w:left="0" w:right="0" w:hanging="0"/>
              <w:rPr/>
            </w:pPr>
            <w:r>
              <w:rPr/>
              <w:t xml:space="preserve">  </w:t>
            </w:r>
          </w:p>
        </w:tc>
      </w:tr>
      <w:tr>
        <w:trPr/>
        <w:tc>
          <w:tcPr>
            <w:tcW w:w="3081" w:type="dxa"/>
            <w:tcBorders/>
            <w:shd w:fill="CCEEFF"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 xml:space="preserve">December 31, 2020 </w:t>
            </w:r>
          </w:p>
        </w:tc>
        <w:tc>
          <w:tcPr>
            <w:tcW w:w="133" w:type="dxa"/>
            <w:tcBorders/>
            <w:shd w:fill="CCEEFF" w:val="clear"/>
            <w:vAlign w:val="center"/>
          </w:tcPr>
          <w:p>
            <w:pPr>
              <w:pStyle w:val="TableContents"/>
              <w:spacing w:before="0" w:after="0"/>
              <w:ind w:left="0" w:right="0" w:hanging="0"/>
              <w:rPr/>
            </w:pPr>
            <w:r>
              <w:rPr/>
              <w:t xml:space="preserve">  </w:t>
            </w:r>
          </w:p>
        </w:tc>
        <w:tc>
          <w:tcPr>
            <w:tcW w:w="276" w:type="dxa"/>
            <w:tcBorders/>
            <w:shd w:fill="CCEEFF" w:val="clear"/>
            <w:vAlign w:val="center"/>
          </w:tcPr>
          <w:p>
            <w:pPr>
              <w:pStyle w:val="TableContents"/>
              <w:spacing w:before="0" w:after="0"/>
              <w:ind w:left="0" w:right="0" w:hanging="0"/>
              <w:rPr/>
            </w:pPr>
            <w:r>
              <w:rPr/>
              <w:t xml:space="preserve">  </w:t>
            </w:r>
          </w:p>
        </w:tc>
        <w:tc>
          <w:tcPr>
            <w:tcW w:w="1076"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509" w:type="dxa"/>
            <w:tcBorders/>
            <w:shd w:fill="CCEEFF" w:val="clear"/>
            <w:vAlign w:val="center"/>
          </w:tcPr>
          <w:p>
            <w:pPr>
              <w:pStyle w:val="TableContents"/>
              <w:spacing w:before="0" w:after="0"/>
              <w:ind w:left="0" w:right="0" w:hanging="0"/>
              <w:rPr/>
            </w:pPr>
            <w:r>
              <w:rPr/>
              <w:t xml:space="preserve">  </w:t>
            </w:r>
          </w:p>
        </w:tc>
        <w:tc>
          <w:tcPr>
            <w:tcW w:w="942"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470" w:type="dxa"/>
            <w:tcBorders/>
            <w:shd w:fill="CCEEFF" w:val="clear"/>
            <w:vAlign w:val="center"/>
          </w:tcPr>
          <w:p>
            <w:pPr>
              <w:pStyle w:val="TableContents"/>
              <w:spacing w:before="0" w:after="0"/>
              <w:ind w:left="0" w:right="0" w:hanging="0"/>
              <w:rPr/>
            </w:pPr>
            <w:r>
              <w:rPr/>
              <w:t xml:space="preserve">  </w:t>
            </w:r>
          </w:p>
        </w:tc>
        <w:tc>
          <w:tcPr>
            <w:tcW w:w="981" w:type="dxa"/>
            <w:tcBorders/>
            <w:shd w:fill="CCEEFF" w:val="clear"/>
            <w:vAlign w:val="center"/>
          </w:tcPr>
          <w:p>
            <w:pPr>
              <w:pStyle w:val="TableContents"/>
              <w:spacing w:before="0" w:after="0"/>
              <w:ind w:left="0" w:right="0" w:hanging="0"/>
              <w:rPr/>
            </w:pPr>
            <w:r>
              <w:rPr/>
              <w:t xml:space="preserve">  </w:t>
            </w:r>
          </w:p>
        </w:tc>
        <w:tc>
          <w:tcPr>
            <w:tcW w:w="138"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pPr>
            <w:r>
              <w:rPr/>
              <w:t xml:space="preserve">  </w:t>
            </w:r>
          </w:p>
        </w:tc>
        <w:tc>
          <w:tcPr>
            <w:tcW w:w="1408" w:type="dxa"/>
            <w:tcBorders/>
            <w:shd w:fill="CCEEFF" w:val="clear"/>
            <w:vAlign w:val="center"/>
          </w:tcPr>
          <w:p>
            <w:pPr>
              <w:pStyle w:val="TableContents"/>
              <w:spacing w:before="0" w:after="0"/>
              <w:ind w:left="0" w:right="0" w:hanging="0"/>
              <w:rPr/>
            </w:pPr>
            <w:r>
              <w:rPr/>
              <w:t xml:space="preserve">  </w:t>
            </w:r>
          </w:p>
        </w:tc>
        <w:tc>
          <w:tcPr>
            <w:tcW w:w="150" w:type="dxa"/>
            <w:tcBorders/>
            <w:shd w:fill="CCEEFF" w:val="clear"/>
            <w:vAlign w:val="center"/>
          </w:tcPr>
          <w:p>
            <w:pPr>
              <w:pStyle w:val="TableContents"/>
              <w:spacing w:before="0" w:after="0"/>
              <w:ind w:left="0" w:right="0" w:hanging="0"/>
              <w:rPr/>
            </w:pPr>
            <w:r>
              <w:rPr/>
              <w:t xml:space="preserve">  </w:t>
            </w:r>
          </w:p>
        </w:tc>
      </w:tr>
      <w:tr>
        <w:trPr/>
        <w:tc>
          <w:tcPr>
            <w:tcW w:w="308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Available-for-sale securities: </w:t>
            </w:r>
          </w:p>
        </w:tc>
        <w:tc>
          <w:tcPr>
            <w:tcW w:w="133" w:type="dxa"/>
            <w:tcBorders/>
            <w:shd w:fill="auto" w:val="clear"/>
            <w:vAlign w:val="center"/>
          </w:tcPr>
          <w:p>
            <w:pPr>
              <w:pStyle w:val="TableContents"/>
              <w:spacing w:before="0" w:after="0"/>
              <w:ind w:left="0" w:right="0" w:hanging="0"/>
              <w:rPr/>
            </w:pPr>
            <w:r>
              <w:rPr/>
              <w:t xml:space="preserve">  </w:t>
            </w:r>
          </w:p>
        </w:tc>
        <w:tc>
          <w:tcPr>
            <w:tcW w:w="276" w:type="dxa"/>
            <w:tcBorders/>
            <w:shd w:fill="auto" w:val="clear"/>
            <w:vAlign w:val="center"/>
          </w:tcPr>
          <w:p>
            <w:pPr>
              <w:pStyle w:val="TableContents"/>
              <w:spacing w:before="0" w:after="0"/>
              <w:ind w:left="0" w:right="0" w:hanging="0"/>
              <w:rPr/>
            </w:pPr>
            <w:r>
              <w:rPr/>
              <w:t xml:space="preserve">  </w:t>
            </w:r>
          </w:p>
        </w:tc>
        <w:tc>
          <w:tcPr>
            <w:tcW w:w="1076"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509" w:type="dxa"/>
            <w:tcBorders/>
            <w:shd w:fill="auto" w:val="clear"/>
            <w:vAlign w:val="center"/>
          </w:tcPr>
          <w:p>
            <w:pPr>
              <w:pStyle w:val="TableContents"/>
              <w:spacing w:before="0" w:after="0"/>
              <w:ind w:left="0" w:right="0" w:hanging="0"/>
              <w:rPr/>
            </w:pPr>
            <w:r>
              <w:rPr/>
              <w:t xml:space="preserve">  </w:t>
            </w:r>
          </w:p>
        </w:tc>
        <w:tc>
          <w:tcPr>
            <w:tcW w:w="942"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470" w:type="dxa"/>
            <w:tcBorders/>
            <w:shd w:fill="auto" w:val="clear"/>
            <w:vAlign w:val="center"/>
          </w:tcPr>
          <w:p>
            <w:pPr>
              <w:pStyle w:val="TableContents"/>
              <w:spacing w:before="0" w:after="0"/>
              <w:ind w:left="0" w:right="0" w:hanging="0"/>
              <w:rPr/>
            </w:pPr>
            <w:r>
              <w:rPr/>
              <w:t xml:space="preserve">  </w:t>
            </w:r>
          </w:p>
        </w:tc>
        <w:tc>
          <w:tcPr>
            <w:tcW w:w="981" w:type="dxa"/>
            <w:tcBorders/>
            <w:shd w:fill="auto" w:val="clear"/>
            <w:vAlign w:val="center"/>
          </w:tcPr>
          <w:p>
            <w:pPr>
              <w:pStyle w:val="TableContents"/>
              <w:spacing w:before="0" w:after="0"/>
              <w:ind w:left="0" w:right="0" w:hanging="0"/>
              <w:rPr/>
            </w:pPr>
            <w:r>
              <w:rPr/>
              <w:t xml:space="preserve">  </w:t>
            </w:r>
          </w:p>
        </w:tc>
        <w:tc>
          <w:tcPr>
            <w:tcW w:w="138"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pPr>
            <w:r>
              <w:rPr/>
              <w:t xml:space="preserve">  </w:t>
            </w:r>
          </w:p>
        </w:tc>
        <w:tc>
          <w:tcPr>
            <w:tcW w:w="1408" w:type="dxa"/>
            <w:tcBorders/>
            <w:shd w:fill="auto" w:val="clear"/>
            <w:vAlign w:val="center"/>
          </w:tcPr>
          <w:p>
            <w:pPr>
              <w:pStyle w:val="TableContents"/>
              <w:spacing w:before="0" w:after="0"/>
              <w:ind w:left="0" w:right="0" w:hanging="0"/>
              <w:rPr/>
            </w:pPr>
            <w:r>
              <w:rPr/>
              <w:t xml:space="preserve">  </w:t>
            </w:r>
          </w:p>
        </w:tc>
        <w:tc>
          <w:tcPr>
            <w:tcW w:w="150" w:type="dxa"/>
            <w:tcBorders/>
            <w:shd w:fill="auto" w:val="clear"/>
            <w:vAlign w:val="center"/>
          </w:tcPr>
          <w:p>
            <w:pPr>
              <w:pStyle w:val="TableContents"/>
              <w:spacing w:before="0" w:after="0"/>
              <w:ind w:left="0" w:right="0" w:hanging="0"/>
              <w:rPr/>
            </w:pPr>
            <w:r>
              <w:rPr/>
              <w:t xml:space="preserve">  </w:t>
            </w:r>
          </w:p>
        </w:tc>
      </w:tr>
      <w:tr>
        <w:trPr/>
        <w:tc>
          <w:tcPr>
            <w:tcW w:w="308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bonds and notes </w:t>
            </w:r>
          </w:p>
        </w:tc>
        <w:tc>
          <w:tcPr>
            <w:tcW w:w="133" w:type="dxa"/>
            <w:tcBorders/>
            <w:shd w:fill="CCEEFF" w:val="clear"/>
            <w:vAlign w:val="center"/>
          </w:tcPr>
          <w:p>
            <w:pPr>
              <w:pStyle w:val="TableContents"/>
              <w:spacing w:before="0" w:after="0"/>
              <w:ind w:left="0" w:right="0" w:hanging="0"/>
              <w:rPr/>
            </w:pPr>
            <w:r>
              <w:rPr/>
              <w:t xml:space="preserve">  </w:t>
            </w:r>
          </w:p>
        </w:tc>
        <w:tc>
          <w:tcPr>
            <w:tcW w:w="2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7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1,312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509" w:type="dxa"/>
            <w:tcBorders/>
            <w:shd w:fill="CCEEFF" w:val="clear"/>
            <w:vAlign w:val="center"/>
          </w:tcPr>
          <w:p>
            <w:pPr>
              <w:pStyle w:val="TableContents"/>
              <w:spacing w:before="0" w:after="0"/>
              <w:ind w:left="0" w:right="0" w:hanging="0"/>
              <w:rPr/>
            </w:pPr>
            <w:r>
              <w:rPr/>
              <w:t xml:space="preserve">  </w:t>
            </w:r>
          </w:p>
        </w:tc>
        <w:tc>
          <w:tcPr>
            <w:tcW w:w="94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26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470" w:type="dxa"/>
            <w:tcBorders/>
            <w:shd w:fill="CCEEFF" w:val="clear"/>
            <w:vAlign w:val="center"/>
          </w:tcPr>
          <w:p>
            <w:pPr>
              <w:pStyle w:val="TableContents"/>
              <w:spacing w:before="0" w:after="0"/>
              <w:ind w:left="0" w:right="0" w:hanging="0"/>
              <w:rPr/>
            </w:pPr>
            <w:r>
              <w:rPr/>
              <w:t xml:space="preserve">  </w:t>
            </w:r>
          </w:p>
        </w:tc>
        <w:tc>
          <w:tcPr>
            <w:tcW w:w="981" w:type="dxa"/>
            <w:tcBorders/>
            <w:shd w:fill="CCEEFF" w:val="clear"/>
            <w:vAlign w:val="center"/>
          </w:tcPr>
          <w:p>
            <w:pPr>
              <w:pStyle w:val="TableContents"/>
              <w:spacing w:before="0" w:after="0"/>
              <w:ind w:left="0" w:right="0" w:hanging="0"/>
              <w:jc w:val="right"/>
              <w:rPr/>
            </w:pPr>
            <w:r>
              <w:rPr/>
              <w:t>—</w:t>
            </w:r>
          </w:p>
        </w:tc>
        <w:tc>
          <w:tcPr>
            <w:tcW w:w="138" w:type="dxa"/>
            <w:tcBorders/>
            <w:shd w:fill="CCEEFF" w:val="clear"/>
            <w:vAlign w:val="center"/>
          </w:tcPr>
          <w:p>
            <w:pPr>
              <w:pStyle w:val="TableContents"/>
              <w:spacing w:before="0" w:after="283"/>
              <w:rPr>
                <w:sz w:val="4"/>
                <w:szCs w:val="4"/>
              </w:rPr>
            </w:pPr>
            <w:r>
              <w:rPr>
                <w:sz w:val="4"/>
                <w:szCs w:val="4"/>
              </w:rPr>
            </w:r>
          </w:p>
        </w:tc>
        <w:tc>
          <w:tcPr>
            <w:tcW w:w="133"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pPr>
            <w:r>
              <w:rPr/>
              <w:t xml:space="preserve">  </w:t>
            </w:r>
          </w:p>
        </w:tc>
        <w:tc>
          <w:tcPr>
            <w:tcW w:w="140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1,338 </w:t>
            </w:r>
          </w:p>
        </w:tc>
        <w:tc>
          <w:tcPr>
            <w:tcW w:w="150" w:type="dxa"/>
            <w:tcBorders/>
            <w:shd w:fill="CCEEFF" w:val="clear"/>
            <w:vAlign w:val="center"/>
          </w:tcPr>
          <w:p>
            <w:pPr>
              <w:pStyle w:val="TableContents"/>
              <w:spacing w:before="0" w:after="0"/>
              <w:ind w:left="0" w:right="0" w:hanging="0"/>
              <w:rPr/>
            </w:pPr>
            <w:r>
              <w:rPr/>
              <w:t xml:space="preserve">  </w:t>
            </w:r>
          </w:p>
        </w:tc>
      </w:tr>
      <w:tr>
        <w:trPr/>
        <w:tc>
          <w:tcPr>
            <w:tcW w:w="308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Municipal bonds </w:t>
            </w:r>
          </w:p>
        </w:tc>
        <w:tc>
          <w:tcPr>
            <w:tcW w:w="133" w:type="dxa"/>
            <w:tcBorders/>
            <w:shd w:fill="auto" w:val="clear"/>
            <w:vAlign w:val="center"/>
          </w:tcPr>
          <w:p>
            <w:pPr>
              <w:pStyle w:val="TableContents"/>
              <w:spacing w:before="0" w:after="0"/>
              <w:ind w:left="0" w:right="0" w:hanging="0"/>
              <w:rPr/>
            </w:pPr>
            <w:r>
              <w:rPr/>
              <w:t xml:space="preserve">  </w:t>
            </w:r>
          </w:p>
        </w:tc>
        <w:tc>
          <w:tcPr>
            <w:tcW w:w="27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076"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1,536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50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4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470"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81"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3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408"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1,541 </w:t>
            </w:r>
          </w:p>
        </w:tc>
        <w:tc>
          <w:tcPr>
            <w:tcW w:w="150" w:type="dxa"/>
            <w:tcBorders/>
            <w:shd w:fill="auto" w:val="clear"/>
            <w:vAlign w:val="center"/>
          </w:tcPr>
          <w:p>
            <w:pPr>
              <w:pStyle w:val="TableContents"/>
              <w:spacing w:before="0" w:after="0"/>
              <w:ind w:left="0" w:right="0" w:hanging="0"/>
              <w:rPr/>
            </w:pPr>
            <w:r>
              <w:rPr/>
              <w:t xml:space="preserve">  </w:t>
            </w:r>
          </w:p>
        </w:tc>
      </w:tr>
      <w:tr>
        <w:trPr/>
        <w:tc>
          <w:tcPr>
            <w:tcW w:w="3081"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available-for-sale securities </w:t>
            </w:r>
          </w:p>
        </w:tc>
        <w:tc>
          <w:tcPr>
            <w:tcW w:w="133" w:type="dxa"/>
            <w:tcBorders/>
            <w:shd w:fill="CCEEFF" w:val="clear"/>
            <w:vAlign w:val="center"/>
          </w:tcPr>
          <w:p>
            <w:pPr>
              <w:pStyle w:val="TableContents"/>
              <w:spacing w:before="0" w:after="0"/>
              <w:ind w:left="0" w:right="0" w:hanging="0"/>
              <w:rPr/>
            </w:pPr>
            <w:r>
              <w:rPr/>
              <w:t xml:space="preserve">  </w:t>
            </w:r>
          </w:p>
        </w:tc>
        <w:tc>
          <w:tcPr>
            <w:tcW w:w="27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2,848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509" w:type="dxa"/>
            <w:tcBorders>
              <w:bottom w:val="doub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9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31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470" w:type="dxa"/>
            <w:tcBorders>
              <w:bottom w:val="doub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98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38" w:type="dxa"/>
            <w:tcBorders/>
            <w:shd w:fill="CCEEFF" w:val="clear"/>
            <w:vAlign w:val="center"/>
          </w:tcPr>
          <w:p>
            <w:pPr>
              <w:pStyle w:val="TableContents"/>
              <w:spacing w:before="0" w:after="283"/>
              <w:rPr>
                <w:sz w:val="4"/>
                <w:szCs w:val="4"/>
              </w:rPr>
            </w:pPr>
            <w:r>
              <w:rPr>
                <w:sz w:val="4"/>
                <w:szCs w:val="4"/>
              </w:rPr>
            </w:r>
          </w:p>
        </w:tc>
        <w:tc>
          <w:tcPr>
            <w:tcW w:w="133" w:type="dxa"/>
            <w:tcBorders/>
            <w:shd w:fill="CCEEFF" w:val="clear"/>
            <w:vAlign w:val="center"/>
          </w:tcPr>
          <w:p>
            <w:pPr>
              <w:pStyle w:val="TableContents"/>
              <w:spacing w:before="0" w:after="0"/>
              <w:ind w:left="0" w:right="0" w:hanging="0"/>
              <w:rPr/>
            </w:pPr>
            <w:r>
              <w:rPr/>
              <w:t xml:space="preserve">  </w:t>
            </w:r>
          </w:p>
        </w:tc>
        <w:tc>
          <w:tcPr>
            <w:tcW w:w="376" w:type="dxa"/>
            <w:tcBorders>
              <w:bottom w:val="doub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40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2,879 </w:t>
            </w:r>
          </w:p>
        </w:tc>
        <w:tc>
          <w:tcPr>
            <w:tcW w:w="150" w:type="dxa"/>
            <w:tcBorders/>
            <w:shd w:fill="CCEEFF" w:val="clear"/>
            <w:vAlign w:val="center"/>
          </w:tcPr>
          <w:p>
            <w:pPr>
              <w:pStyle w:val="TableContents"/>
              <w:spacing w:before="0" w:after="0"/>
              <w:ind w:left="0" w:right="0" w:hanging="0"/>
              <w:rPr/>
            </w:pPr>
            <w:r>
              <w:rPr/>
              <w:t xml:space="preserve">  </w:t>
            </w:r>
          </w:p>
        </w:tc>
      </w:tr>
      <w:tr>
        <w:trPr/>
        <w:tc>
          <w:tcPr>
            <w:tcW w:w="3081"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276" w:type="dxa"/>
            <w:tcBorders/>
            <w:shd w:fill="auto" w:val="clear"/>
            <w:vAlign w:val="center"/>
          </w:tcPr>
          <w:p>
            <w:pPr>
              <w:pStyle w:val="TableContents"/>
              <w:spacing w:before="0" w:after="0"/>
              <w:ind w:left="0" w:right="0" w:hanging="0"/>
              <w:rPr/>
            </w:pPr>
            <w:r>
              <w:rPr/>
              <w:t xml:space="preserve">  </w:t>
            </w:r>
          </w:p>
        </w:tc>
        <w:tc>
          <w:tcPr>
            <w:tcW w:w="1076"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509" w:type="dxa"/>
            <w:tcBorders/>
            <w:shd w:fill="auto" w:val="clear"/>
            <w:vAlign w:val="center"/>
          </w:tcPr>
          <w:p>
            <w:pPr>
              <w:pStyle w:val="TableContents"/>
              <w:spacing w:before="0" w:after="0"/>
              <w:ind w:left="0" w:right="0" w:hanging="0"/>
              <w:rPr/>
            </w:pPr>
            <w:r>
              <w:rPr/>
              <w:t xml:space="preserve">  </w:t>
            </w:r>
          </w:p>
        </w:tc>
        <w:tc>
          <w:tcPr>
            <w:tcW w:w="942"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470" w:type="dxa"/>
            <w:tcBorders/>
            <w:shd w:fill="auto" w:val="clear"/>
            <w:vAlign w:val="center"/>
          </w:tcPr>
          <w:p>
            <w:pPr>
              <w:pStyle w:val="TableContents"/>
              <w:spacing w:before="0" w:after="0"/>
              <w:ind w:left="0" w:right="0" w:hanging="0"/>
              <w:rPr/>
            </w:pPr>
            <w:r>
              <w:rPr/>
              <w:t xml:space="preserve">  </w:t>
            </w:r>
          </w:p>
        </w:tc>
        <w:tc>
          <w:tcPr>
            <w:tcW w:w="981" w:type="dxa"/>
            <w:tcBorders/>
            <w:shd w:fill="auto" w:val="clear"/>
            <w:vAlign w:val="center"/>
          </w:tcPr>
          <w:p>
            <w:pPr>
              <w:pStyle w:val="TableContents"/>
              <w:spacing w:before="0" w:after="0"/>
              <w:ind w:left="0" w:right="0" w:hanging="0"/>
              <w:rPr/>
            </w:pPr>
            <w:r>
              <w:rPr/>
              <w:t xml:space="preserve">  </w:t>
            </w:r>
          </w:p>
        </w:tc>
        <w:tc>
          <w:tcPr>
            <w:tcW w:w="138"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pPr>
            <w:r>
              <w:rPr/>
              <w:t xml:space="preserve">  </w:t>
            </w:r>
          </w:p>
        </w:tc>
        <w:tc>
          <w:tcPr>
            <w:tcW w:w="1408" w:type="dxa"/>
            <w:tcBorders/>
            <w:shd w:fill="auto" w:val="clear"/>
            <w:vAlign w:val="center"/>
          </w:tcPr>
          <w:p>
            <w:pPr>
              <w:pStyle w:val="TableContents"/>
              <w:spacing w:before="0" w:after="0"/>
              <w:ind w:left="0" w:right="0" w:hanging="0"/>
              <w:rPr/>
            </w:pPr>
            <w:r>
              <w:rPr/>
              <w:t xml:space="preserve">  </w:t>
            </w:r>
          </w:p>
        </w:tc>
        <w:tc>
          <w:tcPr>
            <w:tcW w:w="150" w:type="dxa"/>
            <w:tcBorders/>
            <w:shd w:fill="auto" w:val="clear"/>
            <w:vAlign w:val="center"/>
          </w:tcPr>
          <w:p>
            <w:pPr>
              <w:pStyle w:val="TableContents"/>
              <w:spacing w:before="0" w:after="0"/>
              <w:ind w:left="0" w:right="0" w:hanging="0"/>
              <w:rPr/>
            </w:pPr>
            <w:r>
              <w:rPr/>
              <w:t xml:space="preserve">  </w:t>
            </w:r>
          </w:p>
        </w:tc>
      </w:tr>
      <w:tr>
        <w:trPr/>
        <w:tc>
          <w:tcPr>
            <w:tcW w:w="3081" w:type="dxa"/>
            <w:tcBorders/>
            <w:shd w:fill="CCEEFF"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December 31, 2019</w:t>
            </w:r>
          </w:p>
        </w:tc>
        <w:tc>
          <w:tcPr>
            <w:tcW w:w="133" w:type="dxa"/>
            <w:tcBorders/>
            <w:shd w:fill="CCEEFF" w:val="clear"/>
            <w:vAlign w:val="center"/>
          </w:tcPr>
          <w:p>
            <w:pPr>
              <w:pStyle w:val="TableContents"/>
              <w:spacing w:before="0" w:after="0"/>
              <w:ind w:left="0" w:right="0" w:hanging="0"/>
              <w:rPr/>
            </w:pPr>
            <w:r>
              <w:rPr/>
              <w:t xml:space="preserve">  </w:t>
            </w:r>
          </w:p>
        </w:tc>
        <w:tc>
          <w:tcPr>
            <w:tcW w:w="276" w:type="dxa"/>
            <w:tcBorders/>
            <w:shd w:fill="CCEEFF" w:val="clear"/>
            <w:vAlign w:val="center"/>
          </w:tcPr>
          <w:p>
            <w:pPr>
              <w:pStyle w:val="TableContents"/>
              <w:spacing w:before="0" w:after="0"/>
              <w:ind w:left="0" w:right="0" w:hanging="0"/>
              <w:rPr/>
            </w:pPr>
            <w:r>
              <w:rPr/>
              <w:t xml:space="preserve">  </w:t>
            </w:r>
          </w:p>
        </w:tc>
        <w:tc>
          <w:tcPr>
            <w:tcW w:w="1076"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509" w:type="dxa"/>
            <w:tcBorders/>
            <w:shd w:fill="CCEEFF" w:val="clear"/>
            <w:vAlign w:val="center"/>
          </w:tcPr>
          <w:p>
            <w:pPr>
              <w:pStyle w:val="TableContents"/>
              <w:spacing w:before="0" w:after="0"/>
              <w:ind w:left="0" w:right="0" w:hanging="0"/>
              <w:rPr/>
            </w:pPr>
            <w:r>
              <w:rPr/>
              <w:t xml:space="preserve">  </w:t>
            </w:r>
          </w:p>
        </w:tc>
        <w:tc>
          <w:tcPr>
            <w:tcW w:w="942"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470" w:type="dxa"/>
            <w:tcBorders/>
            <w:shd w:fill="CCEEFF" w:val="clear"/>
            <w:vAlign w:val="center"/>
          </w:tcPr>
          <w:p>
            <w:pPr>
              <w:pStyle w:val="TableContents"/>
              <w:spacing w:before="0" w:after="0"/>
              <w:ind w:left="0" w:right="0" w:hanging="0"/>
              <w:rPr/>
            </w:pPr>
            <w:r>
              <w:rPr/>
              <w:t xml:space="preserve">  </w:t>
            </w:r>
          </w:p>
        </w:tc>
        <w:tc>
          <w:tcPr>
            <w:tcW w:w="981" w:type="dxa"/>
            <w:tcBorders/>
            <w:shd w:fill="CCEEFF" w:val="clear"/>
            <w:vAlign w:val="center"/>
          </w:tcPr>
          <w:p>
            <w:pPr>
              <w:pStyle w:val="TableContents"/>
              <w:spacing w:before="0" w:after="0"/>
              <w:ind w:left="0" w:right="0" w:hanging="0"/>
              <w:rPr/>
            </w:pPr>
            <w:r>
              <w:rPr/>
              <w:t xml:space="preserve">  </w:t>
            </w:r>
          </w:p>
        </w:tc>
        <w:tc>
          <w:tcPr>
            <w:tcW w:w="138"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pPr>
            <w:r>
              <w:rPr/>
              <w:t xml:space="preserve">  </w:t>
            </w:r>
          </w:p>
        </w:tc>
        <w:tc>
          <w:tcPr>
            <w:tcW w:w="1408" w:type="dxa"/>
            <w:tcBorders/>
            <w:shd w:fill="CCEEFF" w:val="clear"/>
            <w:vAlign w:val="center"/>
          </w:tcPr>
          <w:p>
            <w:pPr>
              <w:pStyle w:val="TableContents"/>
              <w:spacing w:before="0" w:after="0"/>
              <w:ind w:left="0" w:right="0" w:hanging="0"/>
              <w:rPr/>
            </w:pPr>
            <w:r>
              <w:rPr/>
              <w:t xml:space="preserve">  </w:t>
            </w:r>
          </w:p>
        </w:tc>
        <w:tc>
          <w:tcPr>
            <w:tcW w:w="150" w:type="dxa"/>
            <w:tcBorders/>
            <w:shd w:fill="CCEEFF" w:val="clear"/>
            <w:vAlign w:val="center"/>
          </w:tcPr>
          <w:p>
            <w:pPr>
              <w:pStyle w:val="TableContents"/>
              <w:spacing w:before="0" w:after="0"/>
              <w:ind w:left="0" w:right="0" w:hanging="0"/>
              <w:rPr/>
            </w:pPr>
            <w:r>
              <w:rPr/>
              <w:t xml:space="preserve">  </w:t>
            </w:r>
          </w:p>
        </w:tc>
      </w:tr>
      <w:tr>
        <w:trPr/>
        <w:tc>
          <w:tcPr>
            <w:tcW w:w="308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Available-for-sale securities: </w:t>
            </w:r>
          </w:p>
        </w:tc>
        <w:tc>
          <w:tcPr>
            <w:tcW w:w="133" w:type="dxa"/>
            <w:tcBorders/>
            <w:shd w:fill="auto" w:val="clear"/>
            <w:vAlign w:val="center"/>
          </w:tcPr>
          <w:p>
            <w:pPr>
              <w:pStyle w:val="TableContents"/>
              <w:spacing w:before="0" w:after="0"/>
              <w:ind w:left="0" w:right="0" w:hanging="0"/>
              <w:rPr/>
            </w:pPr>
            <w:r>
              <w:rPr/>
              <w:t xml:space="preserve">  </w:t>
            </w:r>
          </w:p>
        </w:tc>
        <w:tc>
          <w:tcPr>
            <w:tcW w:w="276" w:type="dxa"/>
            <w:tcBorders/>
            <w:shd w:fill="auto" w:val="clear"/>
            <w:vAlign w:val="center"/>
          </w:tcPr>
          <w:p>
            <w:pPr>
              <w:pStyle w:val="TableContents"/>
              <w:spacing w:before="0" w:after="0"/>
              <w:ind w:left="0" w:right="0" w:hanging="0"/>
              <w:rPr/>
            </w:pPr>
            <w:r>
              <w:rPr/>
              <w:t xml:space="preserve">  </w:t>
            </w:r>
          </w:p>
        </w:tc>
        <w:tc>
          <w:tcPr>
            <w:tcW w:w="1076"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509" w:type="dxa"/>
            <w:tcBorders/>
            <w:shd w:fill="auto" w:val="clear"/>
            <w:vAlign w:val="center"/>
          </w:tcPr>
          <w:p>
            <w:pPr>
              <w:pStyle w:val="TableContents"/>
              <w:spacing w:before="0" w:after="0"/>
              <w:ind w:left="0" w:right="0" w:hanging="0"/>
              <w:rPr/>
            </w:pPr>
            <w:r>
              <w:rPr/>
              <w:t xml:space="preserve">  </w:t>
            </w:r>
          </w:p>
        </w:tc>
        <w:tc>
          <w:tcPr>
            <w:tcW w:w="942"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470" w:type="dxa"/>
            <w:tcBorders/>
            <w:shd w:fill="auto" w:val="clear"/>
            <w:vAlign w:val="center"/>
          </w:tcPr>
          <w:p>
            <w:pPr>
              <w:pStyle w:val="TableContents"/>
              <w:spacing w:before="0" w:after="0"/>
              <w:ind w:left="0" w:right="0" w:hanging="0"/>
              <w:rPr/>
            </w:pPr>
            <w:r>
              <w:rPr/>
              <w:t xml:space="preserve">  </w:t>
            </w:r>
          </w:p>
        </w:tc>
        <w:tc>
          <w:tcPr>
            <w:tcW w:w="981" w:type="dxa"/>
            <w:tcBorders/>
            <w:shd w:fill="auto" w:val="clear"/>
            <w:vAlign w:val="center"/>
          </w:tcPr>
          <w:p>
            <w:pPr>
              <w:pStyle w:val="TableContents"/>
              <w:spacing w:before="0" w:after="0"/>
              <w:ind w:left="0" w:right="0" w:hanging="0"/>
              <w:rPr/>
            </w:pPr>
            <w:r>
              <w:rPr/>
              <w:t xml:space="preserve">  </w:t>
            </w:r>
          </w:p>
        </w:tc>
        <w:tc>
          <w:tcPr>
            <w:tcW w:w="138"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pPr>
            <w:r>
              <w:rPr/>
              <w:t xml:space="preserve">  </w:t>
            </w:r>
          </w:p>
        </w:tc>
        <w:tc>
          <w:tcPr>
            <w:tcW w:w="1408" w:type="dxa"/>
            <w:tcBorders/>
            <w:shd w:fill="auto" w:val="clear"/>
            <w:vAlign w:val="center"/>
          </w:tcPr>
          <w:p>
            <w:pPr>
              <w:pStyle w:val="TableContents"/>
              <w:spacing w:before="0" w:after="0"/>
              <w:ind w:left="0" w:right="0" w:hanging="0"/>
              <w:rPr/>
            </w:pPr>
            <w:r>
              <w:rPr/>
              <w:t xml:space="preserve">  </w:t>
            </w:r>
          </w:p>
        </w:tc>
        <w:tc>
          <w:tcPr>
            <w:tcW w:w="150" w:type="dxa"/>
            <w:tcBorders/>
            <w:shd w:fill="auto" w:val="clear"/>
            <w:vAlign w:val="center"/>
          </w:tcPr>
          <w:p>
            <w:pPr>
              <w:pStyle w:val="TableContents"/>
              <w:spacing w:before="0" w:after="0"/>
              <w:ind w:left="0" w:right="0" w:hanging="0"/>
              <w:rPr/>
            </w:pPr>
            <w:r>
              <w:rPr/>
              <w:t xml:space="preserve">  </w:t>
            </w:r>
          </w:p>
        </w:tc>
      </w:tr>
      <w:tr>
        <w:trPr/>
        <w:tc>
          <w:tcPr>
            <w:tcW w:w="308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bonds and notes </w:t>
            </w:r>
          </w:p>
        </w:tc>
        <w:tc>
          <w:tcPr>
            <w:tcW w:w="133" w:type="dxa"/>
            <w:tcBorders/>
            <w:shd w:fill="CCEEFF" w:val="clear"/>
            <w:vAlign w:val="center"/>
          </w:tcPr>
          <w:p>
            <w:pPr>
              <w:pStyle w:val="TableContents"/>
              <w:spacing w:before="0" w:after="0"/>
              <w:ind w:left="0" w:right="0" w:hanging="0"/>
              <w:rPr/>
            </w:pPr>
            <w:r>
              <w:rPr/>
              <w:t xml:space="preserve">  </w:t>
            </w:r>
          </w:p>
        </w:tc>
        <w:tc>
          <w:tcPr>
            <w:tcW w:w="2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7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1,814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50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4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21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4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8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 </w:t>
            </w:r>
          </w:p>
        </w:tc>
        <w:tc>
          <w:tcPr>
            <w:tcW w:w="13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0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1,832 </w:t>
            </w:r>
          </w:p>
        </w:tc>
        <w:tc>
          <w:tcPr>
            <w:tcW w:w="150" w:type="dxa"/>
            <w:tcBorders/>
            <w:shd w:fill="CCEEFF" w:val="clear"/>
            <w:vAlign w:val="center"/>
          </w:tcPr>
          <w:p>
            <w:pPr>
              <w:pStyle w:val="TableContents"/>
              <w:spacing w:before="0" w:after="0"/>
              <w:ind w:left="0" w:right="0" w:hanging="0"/>
              <w:rPr/>
            </w:pPr>
            <w:r>
              <w:rPr/>
              <w:t xml:space="preserve">  </w:t>
            </w:r>
          </w:p>
        </w:tc>
      </w:tr>
      <w:tr>
        <w:trPr/>
        <w:tc>
          <w:tcPr>
            <w:tcW w:w="308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Municipal bonds </w:t>
            </w:r>
          </w:p>
        </w:tc>
        <w:tc>
          <w:tcPr>
            <w:tcW w:w="133" w:type="dxa"/>
            <w:tcBorders/>
            <w:shd w:fill="auto" w:val="clear"/>
            <w:vAlign w:val="center"/>
          </w:tcPr>
          <w:p>
            <w:pPr>
              <w:pStyle w:val="TableContents"/>
              <w:spacing w:before="0" w:after="0"/>
              <w:ind w:left="0" w:right="0" w:hanging="0"/>
              <w:rPr/>
            </w:pPr>
            <w:r>
              <w:rPr/>
              <w:t xml:space="preserve">  </w:t>
            </w:r>
          </w:p>
        </w:tc>
        <w:tc>
          <w:tcPr>
            <w:tcW w:w="27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076"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2,707 </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50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4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w:t>
            </w:r>
          </w:p>
        </w:tc>
        <w:tc>
          <w:tcPr>
            <w:tcW w:w="133"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470"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81"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 </w:t>
            </w:r>
          </w:p>
        </w:tc>
        <w:tc>
          <w:tcPr>
            <w:tcW w:w="13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408"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2,711 </w:t>
            </w:r>
          </w:p>
        </w:tc>
        <w:tc>
          <w:tcPr>
            <w:tcW w:w="150" w:type="dxa"/>
            <w:tcBorders/>
            <w:shd w:fill="auto" w:val="clear"/>
            <w:vAlign w:val="center"/>
          </w:tcPr>
          <w:p>
            <w:pPr>
              <w:pStyle w:val="TableContents"/>
              <w:spacing w:before="0" w:after="0"/>
              <w:ind w:left="0" w:right="0" w:hanging="0"/>
              <w:rPr/>
            </w:pPr>
            <w:r>
              <w:rPr/>
              <w:t xml:space="preserve">  </w:t>
            </w:r>
          </w:p>
        </w:tc>
      </w:tr>
      <w:tr>
        <w:trPr/>
        <w:tc>
          <w:tcPr>
            <w:tcW w:w="3081"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available-for-sale securities </w:t>
            </w:r>
          </w:p>
        </w:tc>
        <w:tc>
          <w:tcPr>
            <w:tcW w:w="133" w:type="dxa"/>
            <w:tcBorders/>
            <w:shd w:fill="CCEEFF" w:val="clear"/>
            <w:vAlign w:val="center"/>
          </w:tcPr>
          <w:p>
            <w:pPr>
              <w:pStyle w:val="TableContents"/>
              <w:spacing w:before="0" w:after="0"/>
              <w:ind w:left="0" w:right="0" w:hanging="0"/>
              <w:rPr/>
            </w:pPr>
            <w:r>
              <w:rPr/>
              <w:t xml:space="preserve">  </w:t>
            </w:r>
          </w:p>
        </w:tc>
        <w:tc>
          <w:tcPr>
            <w:tcW w:w="27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4,521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50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26 </w:t>
            </w:r>
          </w:p>
        </w:tc>
        <w:tc>
          <w:tcPr>
            <w:tcW w:w="133"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4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 </w:t>
            </w:r>
          </w:p>
        </w:tc>
        <w:tc>
          <w:tcPr>
            <w:tcW w:w="13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37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0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4,543 </w:t>
            </w:r>
          </w:p>
        </w:tc>
        <w:tc>
          <w:tcPr>
            <w:tcW w:w="150"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0" w:right="0" w:hanging="0"/>
        <w:rPr/>
      </w:pPr>
      <w:r>
        <w:rPr/>
        <w:t> </w:t>
      </w:r>
    </w:p>
    <w:p>
      <w:pPr>
        <w:pStyle w:val="TextBody"/>
        <w:spacing w:before="0" w:after="0"/>
        <w:ind w:left="0" w:right="0" w:hanging="0"/>
        <w:rPr>
          <w:rFonts w:ascii="times new roman;times" w:hAnsi="times new roman;times"/>
          <w:sz w:val="20"/>
        </w:rPr>
      </w:pPr>
      <w:r>
        <w:rPr>
          <w:rFonts w:ascii="Times New Roman" w:hAnsi="Times New Roman"/>
          <w:sz w:val="20"/>
        </w:rPr>
        <w:t>Maturities of marketable securities classified as available-for-sale securities were</w:t>
      </w:r>
      <w:r>
        <w:rPr>
          <w:rFonts w:ascii="times new roman;times" w:hAnsi="times new roman;times"/>
          <w:sz w:val="20"/>
        </w:rPr>
        <w:t xml:space="preserve"> </w:t>
      </w:r>
      <w:r>
        <w:rPr>
          <w:rFonts w:ascii="Times New Roman" w:hAnsi="Times New Roman"/>
          <w:sz w:val="20"/>
        </w:rPr>
        <w:t>as follows at December 31, 2020:</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741"/>
        <w:gridCol w:w="185"/>
        <w:gridCol w:w="277"/>
        <w:gridCol w:w="1075"/>
        <w:gridCol w:w="186"/>
        <w:gridCol w:w="185"/>
        <w:gridCol w:w="187"/>
        <w:gridCol w:w="1119"/>
        <w:gridCol w:w="209"/>
      </w:tblGrid>
      <w:tr>
        <w:trPr/>
        <w:tc>
          <w:tcPr>
            <w:tcW w:w="4741" w:type="dxa"/>
            <w:tcBorders/>
            <w:shd w:fill="auto" w:val="clear"/>
            <w:vAlign w:val="center"/>
          </w:tcPr>
          <w:p>
            <w:pPr>
              <w:pStyle w:val="TableContents"/>
              <w:spacing w:before="0" w:after="0"/>
              <w:ind w:left="0" w:right="0" w:hanging="0"/>
              <w:rPr/>
            </w:pPr>
            <w:r>
              <w:rPr/>
              <w:t xml:space="preserve">  </w:t>
            </w:r>
          </w:p>
        </w:tc>
        <w:tc>
          <w:tcPr>
            <w:tcW w:w="185" w:type="dxa"/>
            <w:tcBorders/>
            <w:shd w:fill="auto" w:val="clear"/>
            <w:vAlign w:val="center"/>
          </w:tcPr>
          <w:p>
            <w:pPr>
              <w:pStyle w:val="TableContents"/>
              <w:spacing w:before="0" w:after="0"/>
              <w:ind w:left="0" w:right="0" w:hanging="0"/>
              <w:rPr/>
            </w:pPr>
            <w:r>
              <w:rPr/>
              <w:t xml:space="preserve">  </w:t>
            </w:r>
          </w:p>
        </w:tc>
        <w:tc>
          <w:tcPr>
            <w:tcW w:w="1352"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Amortized </w:t>
            </w:r>
          </w:p>
        </w:tc>
        <w:tc>
          <w:tcPr>
            <w:tcW w:w="186" w:type="dxa"/>
            <w:tcBorders/>
            <w:shd w:fill="auto" w:val="clear"/>
            <w:vAlign w:val="center"/>
          </w:tcPr>
          <w:p>
            <w:pPr>
              <w:pStyle w:val="TableContents"/>
              <w:spacing w:before="0" w:after="0"/>
              <w:ind w:left="0" w:right="0" w:hanging="0"/>
              <w:rPr/>
            </w:pPr>
            <w:r>
              <w:rPr/>
              <w:t xml:space="preserve">  </w:t>
            </w:r>
          </w:p>
        </w:tc>
        <w:tc>
          <w:tcPr>
            <w:tcW w:w="185" w:type="dxa"/>
            <w:tcBorders/>
            <w:shd w:fill="auto" w:val="clear"/>
            <w:vAlign w:val="center"/>
          </w:tcPr>
          <w:p>
            <w:pPr>
              <w:pStyle w:val="TableContents"/>
              <w:spacing w:before="0" w:after="0"/>
              <w:ind w:left="0" w:right="0" w:hanging="0"/>
              <w:rPr/>
            </w:pPr>
            <w:r>
              <w:rPr/>
              <w:t xml:space="preserve">  </w:t>
            </w:r>
          </w:p>
        </w:tc>
        <w:tc>
          <w:tcPr>
            <w:tcW w:w="1306"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Estimated </w:t>
            </w:r>
          </w:p>
        </w:tc>
        <w:tc>
          <w:tcPr>
            <w:tcW w:w="209" w:type="dxa"/>
            <w:tcBorders/>
            <w:shd w:fill="auto" w:val="clear"/>
            <w:vAlign w:val="center"/>
          </w:tcPr>
          <w:p>
            <w:pPr>
              <w:pStyle w:val="TableContents"/>
              <w:spacing w:before="0" w:after="0"/>
              <w:ind w:left="0" w:right="0" w:hanging="0"/>
              <w:rPr/>
            </w:pPr>
            <w:r>
              <w:rPr/>
              <w:t xml:space="preserve">  </w:t>
            </w:r>
          </w:p>
        </w:tc>
      </w:tr>
      <w:tr>
        <w:trPr/>
        <w:tc>
          <w:tcPr>
            <w:tcW w:w="4741" w:type="dxa"/>
            <w:tcBorders/>
            <w:shd w:fill="auto" w:val="clear"/>
            <w:vAlign w:val="center"/>
          </w:tcPr>
          <w:p>
            <w:pPr>
              <w:pStyle w:val="TableContents"/>
              <w:spacing w:before="0" w:after="0"/>
              <w:ind w:left="0" w:right="0" w:hanging="0"/>
              <w:rPr/>
            </w:pPr>
            <w:r>
              <w:rPr/>
              <w:t xml:space="preserve">  </w:t>
            </w:r>
          </w:p>
        </w:tc>
        <w:tc>
          <w:tcPr>
            <w:tcW w:w="185" w:type="dxa"/>
            <w:tcBorders/>
            <w:shd w:fill="auto" w:val="clear"/>
            <w:vAlign w:val="center"/>
          </w:tcPr>
          <w:p>
            <w:pPr>
              <w:pStyle w:val="TableContents"/>
              <w:spacing w:before="0" w:after="0"/>
              <w:ind w:left="0" w:right="0" w:hanging="0"/>
              <w:rPr/>
            </w:pPr>
            <w:r>
              <w:rPr/>
              <w:t xml:space="preserve">  </w:t>
            </w:r>
          </w:p>
        </w:tc>
        <w:tc>
          <w:tcPr>
            <w:tcW w:w="135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cost </w:t>
            </w:r>
          </w:p>
        </w:tc>
        <w:tc>
          <w:tcPr>
            <w:tcW w:w="186" w:type="dxa"/>
            <w:tcBorders/>
            <w:shd w:fill="auto" w:val="clear"/>
            <w:vAlign w:val="center"/>
          </w:tcPr>
          <w:p>
            <w:pPr>
              <w:pStyle w:val="TableContents"/>
              <w:spacing w:before="0" w:after="0"/>
              <w:ind w:left="0" w:right="0" w:hanging="0"/>
              <w:rPr/>
            </w:pPr>
            <w:r>
              <w:rPr/>
              <w:t xml:space="preserve">  </w:t>
            </w:r>
          </w:p>
        </w:tc>
        <w:tc>
          <w:tcPr>
            <w:tcW w:w="185" w:type="dxa"/>
            <w:tcBorders/>
            <w:shd w:fill="auto" w:val="clear"/>
            <w:vAlign w:val="center"/>
          </w:tcPr>
          <w:p>
            <w:pPr>
              <w:pStyle w:val="TableContents"/>
              <w:spacing w:before="0" w:after="0"/>
              <w:ind w:left="0" w:right="0" w:hanging="0"/>
              <w:rPr/>
            </w:pPr>
            <w:r>
              <w:rPr/>
              <w:t xml:space="preserve">  </w:t>
            </w:r>
          </w:p>
        </w:tc>
        <w:tc>
          <w:tcPr>
            <w:tcW w:w="1306"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fair value </w:t>
            </w:r>
          </w:p>
        </w:tc>
        <w:tc>
          <w:tcPr>
            <w:tcW w:w="209" w:type="dxa"/>
            <w:tcBorders/>
            <w:shd w:fill="auto" w:val="clear"/>
            <w:vAlign w:val="center"/>
          </w:tcPr>
          <w:p>
            <w:pPr>
              <w:pStyle w:val="TableContents"/>
              <w:spacing w:before="0" w:after="0"/>
              <w:ind w:left="0" w:right="0" w:hanging="0"/>
              <w:rPr/>
            </w:pPr>
            <w:r>
              <w:rPr/>
              <w:t xml:space="preserve">  </w:t>
            </w:r>
          </w:p>
        </w:tc>
      </w:tr>
      <w:tr>
        <w:trPr/>
        <w:tc>
          <w:tcPr>
            <w:tcW w:w="4741" w:type="dxa"/>
            <w:tcBorders/>
            <w:shd w:fill="auto" w:val="clear"/>
            <w:vAlign w:val="center"/>
          </w:tcPr>
          <w:p>
            <w:pPr>
              <w:pStyle w:val="TableContents"/>
              <w:spacing w:before="0" w:after="0"/>
              <w:ind w:left="0" w:right="0" w:hanging="0"/>
              <w:rPr/>
            </w:pPr>
            <w:r>
              <w:rPr/>
              <w:t xml:space="preserve">  </w:t>
            </w:r>
          </w:p>
        </w:tc>
        <w:tc>
          <w:tcPr>
            <w:tcW w:w="185" w:type="dxa"/>
            <w:tcBorders/>
            <w:shd w:fill="auto" w:val="clear"/>
            <w:vAlign w:val="center"/>
          </w:tcPr>
          <w:p>
            <w:pPr>
              <w:pStyle w:val="TableContents"/>
              <w:spacing w:before="0" w:after="0"/>
              <w:ind w:left="0" w:right="0" w:hanging="0"/>
              <w:rPr/>
            </w:pPr>
            <w:r>
              <w:rPr/>
              <w:t xml:space="preserve">  </w:t>
            </w:r>
          </w:p>
        </w:tc>
        <w:tc>
          <w:tcPr>
            <w:tcW w:w="277" w:type="dxa"/>
            <w:tcBorders/>
            <w:shd w:fill="auto" w:val="clear"/>
            <w:vAlign w:val="center"/>
          </w:tcPr>
          <w:p>
            <w:pPr>
              <w:pStyle w:val="TableContents"/>
              <w:spacing w:before="0" w:after="0"/>
              <w:ind w:left="0" w:right="0" w:hanging="0"/>
              <w:rPr/>
            </w:pPr>
            <w:r>
              <w:rPr/>
              <w:t xml:space="preserve">  </w:t>
            </w:r>
          </w:p>
        </w:tc>
        <w:tc>
          <w:tcPr>
            <w:tcW w:w="1075" w:type="dxa"/>
            <w:tcBorders/>
            <w:shd w:fill="auto" w:val="clear"/>
            <w:vAlign w:val="center"/>
          </w:tcPr>
          <w:p>
            <w:pPr>
              <w:pStyle w:val="TableContents"/>
              <w:spacing w:before="0" w:after="0"/>
              <w:ind w:left="0" w:right="0" w:hanging="0"/>
              <w:rPr/>
            </w:pPr>
            <w:r>
              <w:rPr/>
              <w:t xml:space="preserve">  </w:t>
            </w:r>
          </w:p>
        </w:tc>
        <w:tc>
          <w:tcPr>
            <w:tcW w:w="186" w:type="dxa"/>
            <w:tcBorders/>
            <w:shd w:fill="auto" w:val="clear"/>
            <w:vAlign w:val="center"/>
          </w:tcPr>
          <w:p>
            <w:pPr>
              <w:pStyle w:val="TableContents"/>
              <w:spacing w:before="0" w:after="0"/>
              <w:ind w:left="0" w:right="0" w:hanging="0"/>
              <w:rPr/>
            </w:pPr>
            <w:r>
              <w:rPr/>
              <w:t xml:space="preserve">  </w:t>
            </w:r>
          </w:p>
        </w:tc>
        <w:tc>
          <w:tcPr>
            <w:tcW w:w="185"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pPr>
            <w:r>
              <w:rPr/>
              <w:t xml:space="preserve">  </w:t>
            </w:r>
          </w:p>
        </w:tc>
        <w:tc>
          <w:tcPr>
            <w:tcW w:w="1119" w:type="dxa"/>
            <w:tcBorders/>
            <w:shd w:fill="auto" w:val="clear"/>
            <w:vAlign w:val="center"/>
          </w:tcPr>
          <w:p>
            <w:pPr>
              <w:pStyle w:val="TableContents"/>
              <w:spacing w:before="0" w:after="0"/>
              <w:ind w:left="0" w:right="0" w:hanging="0"/>
              <w:rPr/>
            </w:pPr>
            <w:r>
              <w:rPr/>
              <w:t xml:space="preserve">  </w:t>
            </w:r>
          </w:p>
        </w:tc>
        <w:tc>
          <w:tcPr>
            <w:tcW w:w="209" w:type="dxa"/>
            <w:tcBorders/>
            <w:shd w:fill="auto" w:val="clear"/>
            <w:vAlign w:val="center"/>
          </w:tcPr>
          <w:p>
            <w:pPr>
              <w:pStyle w:val="TableContents"/>
              <w:spacing w:before="0" w:after="0"/>
              <w:ind w:left="0" w:right="0" w:hanging="0"/>
              <w:rPr/>
            </w:pPr>
            <w:r>
              <w:rPr/>
              <w:t xml:space="preserve">  </w:t>
            </w:r>
          </w:p>
        </w:tc>
      </w:tr>
      <w:tr>
        <w:trPr/>
        <w:tc>
          <w:tcPr>
            <w:tcW w:w="474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Due within one year </w:t>
            </w:r>
          </w:p>
        </w:tc>
        <w:tc>
          <w:tcPr>
            <w:tcW w:w="185" w:type="dxa"/>
            <w:tcBorders/>
            <w:shd w:fill="CCEEFF" w:val="clear"/>
            <w:vAlign w:val="center"/>
          </w:tcPr>
          <w:p>
            <w:pPr>
              <w:pStyle w:val="TableContents"/>
              <w:spacing w:before="0" w:after="0"/>
              <w:ind w:left="0" w:right="0" w:hanging="0"/>
              <w:rPr/>
            </w:pPr>
            <w:r>
              <w:rPr/>
              <w:t xml:space="preserve">  </w:t>
            </w:r>
          </w:p>
        </w:tc>
        <w:tc>
          <w:tcPr>
            <w:tcW w:w="27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7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1,106 </w:t>
            </w:r>
          </w:p>
        </w:tc>
        <w:tc>
          <w:tcPr>
            <w:tcW w:w="186" w:type="dxa"/>
            <w:tcBorders/>
            <w:shd w:fill="CCEEFF" w:val="clear"/>
            <w:vAlign w:val="center"/>
          </w:tcPr>
          <w:p>
            <w:pPr>
              <w:pStyle w:val="TableContents"/>
              <w:spacing w:before="0" w:after="0"/>
              <w:ind w:left="0" w:right="0" w:hanging="0"/>
              <w:rPr/>
            </w:pPr>
            <w:r>
              <w:rPr/>
              <w:t xml:space="preserve">  </w:t>
            </w:r>
          </w:p>
        </w:tc>
        <w:tc>
          <w:tcPr>
            <w:tcW w:w="185"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111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1,117 </w:t>
            </w:r>
          </w:p>
        </w:tc>
        <w:tc>
          <w:tcPr>
            <w:tcW w:w="209" w:type="dxa"/>
            <w:tcBorders/>
            <w:shd w:fill="CCEEFF" w:val="clear"/>
            <w:vAlign w:val="center"/>
          </w:tcPr>
          <w:p>
            <w:pPr>
              <w:pStyle w:val="TableContents"/>
              <w:spacing w:before="0" w:after="0"/>
              <w:ind w:left="0" w:right="0" w:hanging="0"/>
              <w:rPr/>
            </w:pPr>
            <w:r>
              <w:rPr/>
              <w:t xml:space="preserve">  </w:t>
            </w:r>
          </w:p>
        </w:tc>
      </w:tr>
      <w:tr>
        <w:trPr/>
        <w:tc>
          <w:tcPr>
            <w:tcW w:w="47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Due after one year through five years </w:t>
            </w:r>
          </w:p>
        </w:tc>
        <w:tc>
          <w:tcPr>
            <w:tcW w:w="185" w:type="dxa"/>
            <w:tcBorders/>
            <w:shd w:fill="auto" w:val="clear"/>
            <w:vAlign w:val="center"/>
          </w:tcPr>
          <w:p>
            <w:pPr>
              <w:pStyle w:val="TableContents"/>
              <w:spacing w:before="0" w:after="0"/>
              <w:ind w:left="0" w:right="0" w:hanging="0"/>
              <w:rPr/>
            </w:pPr>
            <w:r>
              <w:rPr/>
              <w:t xml:space="preserve">  </w:t>
            </w:r>
          </w:p>
        </w:tc>
        <w:tc>
          <w:tcPr>
            <w:tcW w:w="277"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075"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1,742 </w:t>
            </w:r>
          </w:p>
        </w:tc>
        <w:tc>
          <w:tcPr>
            <w:tcW w:w="186" w:type="dxa"/>
            <w:tcBorders/>
            <w:shd w:fill="auto" w:val="clear"/>
            <w:vAlign w:val="center"/>
          </w:tcPr>
          <w:p>
            <w:pPr>
              <w:pStyle w:val="TableContents"/>
              <w:spacing w:before="0" w:after="0"/>
              <w:ind w:left="0" w:right="0" w:hanging="0"/>
              <w:rPr/>
            </w:pPr>
            <w:r>
              <w:rPr/>
              <w:t xml:space="preserve">  </w:t>
            </w:r>
          </w:p>
        </w:tc>
        <w:tc>
          <w:tcPr>
            <w:tcW w:w="185" w:type="dxa"/>
            <w:tcBorders/>
            <w:shd w:fill="auto" w:val="clear"/>
            <w:vAlign w:val="center"/>
          </w:tcPr>
          <w:p>
            <w:pPr>
              <w:pStyle w:val="TableContents"/>
              <w:spacing w:before="0" w:after="0"/>
              <w:ind w:left="0" w:right="0" w:hanging="0"/>
              <w:rPr/>
            </w:pPr>
            <w:r>
              <w:rPr/>
              <w:t xml:space="preserve">  </w:t>
            </w:r>
          </w:p>
        </w:tc>
        <w:tc>
          <w:tcPr>
            <w:tcW w:w="187"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119"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1,762 </w:t>
            </w:r>
          </w:p>
        </w:tc>
        <w:tc>
          <w:tcPr>
            <w:tcW w:w="209" w:type="dxa"/>
            <w:tcBorders/>
            <w:shd w:fill="auto" w:val="clear"/>
            <w:vAlign w:val="center"/>
          </w:tcPr>
          <w:p>
            <w:pPr>
              <w:pStyle w:val="TableContents"/>
              <w:spacing w:before="0" w:after="0"/>
              <w:ind w:left="0" w:right="0" w:hanging="0"/>
              <w:rPr/>
            </w:pPr>
            <w:r>
              <w:rPr/>
              <w:t xml:space="preserve">  </w:t>
            </w:r>
          </w:p>
        </w:tc>
      </w:tr>
      <w:tr>
        <w:trPr/>
        <w:tc>
          <w:tcPr>
            <w:tcW w:w="474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available-for-sale securities </w:t>
            </w:r>
          </w:p>
        </w:tc>
        <w:tc>
          <w:tcPr>
            <w:tcW w:w="185" w:type="dxa"/>
            <w:tcBorders/>
            <w:shd w:fill="CCEEFF" w:val="clear"/>
            <w:vAlign w:val="center"/>
          </w:tcPr>
          <w:p>
            <w:pPr>
              <w:pStyle w:val="TableContents"/>
              <w:spacing w:before="0" w:after="0"/>
              <w:ind w:left="0" w:right="0" w:hanging="0"/>
              <w:rPr/>
            </w:pPr>
            <w:r>
              <w:rPr/>
              <w:t xml:space="preserve">  </w:t>
            </w:r>
          </w:p>
        </w:tc>
        <w:tc>
          <w:tcPr>
            <w:tcW w:w="2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7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2,848 </w:t>
            </w:r>
          </w:p>
        </w:tc>
        <w:tc>
          <w:tcPr>
            <w:tcW w:w="186" w:type="dxa"/>
            <w:tcBorders/>
            <w:shd w:fill="CCEEFF" w:val="clear"/>
            <w:vAlign w:val="center"/>
          </w:tcPr>
          <w:p>
            <w:pPr>
              <w:pStyle w:val="TableContents"/>
              <w:spacing w:before="0" w:after="0"/>
              <w:ind w:left="0" w:right="0" w:hanging="0"/>
              <w:rPr/>
            </w:pPr>
            <w:r>
              <w:rPr/>
              <w:t xml:space="preserve">  </w:t>
            </w:r>
          </w:p>
        </w:tc>
        <w:tc>
          <w:tcPr>
            <w:tcW w:w="185" w:type="dxa"/>
            <w:tcBorders/>
            <w:shd w:fill="CCEEFF" w:val="clear"/>
            <w:vAlign w:val="center"/>
          </w:tcPr>
          <w:p>
            <w:pPr>
              <w:pStyle w:val="TableContents"/>
              <w:spacing w:before="0" w:after="0"/>
              <w:ind w:left="0" w:right="0" w:hanging="0"/>
              <w:rPr/>
            </w:pPr>
            <w:r>
              <w:rPr/>
              <w:t xml:space="preserve">  </w:t>
            </w:r>
          </w:p>
        </w:tc>
        <w:tc>
          <w:tcPr>
            <w:tcW w:w="187" w:type="dxa"/>
            <w:tcBorders>
              <w:bottom w:val="doub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1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2,879 </w:t>
            </w:r>
          </w:p>
        </w:tc>
        <w:tc>
          <w:tcPr>
            <w:tcW w:w="209"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0" w:right="0" w:hanging="0"/>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There were no debt securities in an unrealized loss position as of December 31, 2020.</w:t>
      </w:r>
      <w:r>
        <w:rPr>
          <w:rFonts w:ascii="times new roman;times" w:hAnsi="times new roman;times"/>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F-15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3. Intangible Assets</w:t>
      </w:r>
    </w:p>
    <w:p>
      <w:pPr>
        <w:pStyle w:val="TextBody"/>
        <w:spacing w:before="0" w:after="0"/>
        <w:ind w:left="0" w:right="0" w:hanging="0"/>
        <w:jc w:val="both"/>
        <w:rPr/>
      </w:pPr>
      <w:r>
        <w:rPr/>
        <w:t> </w:t>
      </w:r>
    </w:p>
    <w:p>
      <w:pPr>
        <w:pStyle w:val="TextBody"/>
        <w:spacing w:before="0" w:after="0"/>
        <w:ind w:left="0" w:right="0" w:hanging="0"/>
        <w:rPr>
          <w:rFonts w:ascii="times new roman;times" w:hAnsi="times new roman;times"/>
          <w:sz w:val="20"/>
        </w:rPr>
      </w:pPr>
      <w:r>
        <w:rPr>
          <w:rFonts w:ascii="Times New Roman" w:hAnsi="Times New Roman"/>
          <w:sz w:val="20"/>
        </w:rPr>
        <w:t>Intangible assets as of December 31, 2020, and 2019</w:t>
      </w:r>
      <w:r>
        <w:rPr>
          <w:rFonts w:ascii="times new roman;times" w:hAnsi="times new roman;times"/>
          <w:sz w:val="20"/>
        </w:rPr>
        <w:t xml:space="preserve"> </w:t>
      </w:r>
      <w:r>
        <w:rPr>
          <w:rFonts w:ascii="Times New Roman" w:hAnsi="Times New Roman"/>
          <w:sz w:val="20"/>
        </w:rPr>
        <w:t>consisted of the following:</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3943"/>
        <w:gridCol w:w="153"/>
        <w:gridCol w:w="317"/>
        <w:gridCol w:w="448"/>
        <w:gridCol w:w="724"/>
        <w:gridCol w:w="725"/>
        <w:gridCol w:w="153"/>
        <w:gridCol w:w="154"/>
        <w:gridCol w:w="218"/>
        <w:gridCol w:w="832"/>
        <w:gridCol w:w="153"/>
        <w:gridCol w:w="154"/>
        <w:gridCol w:w="217"/>
        <w:gridCol w:w="813"/>
        <w:gridCol w:w="180"/>
      </w:tblGrid>
      <w:tr>
        <w:trPr/>
        <w:tc>
          <w:tcPr>
            <w:tcW w:w="3943" w:type="dxa"/>
            <w:tcBorders/>
            <w:shd w:fill="auto" w:val="clear"/>
            <w:vAlign w:val="center"/>
          </w:tcPr>
          <w:p>
            <w:pPr>
              <w:pStyle w:val="TableContents"/>
              <w:spacing w:before="0" w:after="0"/>
              <w:ind w:left="0" w:right="0" w:hanging="0"/>
              <w:rPr/>
            </w:pPr>
            <w:r>
              <w:rPr/>
              <w:t xml:space="preserve">  </w:t>
            </w:r>
          </w:p>
        </w:tc>
        <w:tc>
          <w:tcPr>
            <w:tcW w:w="153" w:type="dxa"/>
            <w:tcBorders/>
            <w:shd w:fill="auto" w:val="clear"/>
            <w:vAlign w:val="center"/>
          </w:tcPr>
          <w:p>
            <w:pPr>
              <w:pStyle w:val="TableContents"/>
              <w:spacing w:before="0" w:after="0"/>
              <w:ind w:left="0" w:right="0" w:hanging="0"/>
              <w:rPr/>
            </w:pPr>
            <w:r>
              <w:rPr/>
              <w:t xml:space="preserve">  </w:t>
            </w:r>
          </w:p>
        </w:tc>
        <w:tc>
          <w:tcPr>
            <w:tcW w:w="2214" w:type="dxa"/>
            <w:gridSpan w:val="4"/>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Estimated useful lives </w:t>
            </w:r>
          </w:p>
        </w:tc>
        <w:tc>
          <w:tcPr>
            <w:tcW w:w="15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387"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180" w:type="dxa"/>
            <w:tcBorders/>
            <w:shd w:fill="auto" w:val="clear"/>
            <w:vAlign w:val="center"/>
          </w:tcPr>
          <w:p>
            <w:pPr>
              <w:pStyle w:val="TableContents"/>
              <w:spacing w:before="0" w:after="0"/>
              <w:ind w:left="0" w:right="0" w:hanging="0"/>
              <w:rPr/>
            </w:pPr>
            <w:r>
              <w:rPr/>
              <w:t xml:space="preserve">  </w:t>
            </w:r>
          </w:p>
        </w:tc>
      </w:tr>
      <w:tr>
        <w:trPr/>
        <w:tc>
          <w:tcPr>
            <w:tcW w:w="3943" w:type="dxa"/>
            <w:tcBorders/>
            <w:shd w:fill="auto" w:val="clear"/>
            <w:vAlign w:val="center"/>
          </w:tcPr>
          <w:p>
            <w:pPr>
              <w:pStyle w:val="TableContents"/>
              <w:spacing w:before="0" w:after="0"/>
              <w:ind w:left="0" w:right="0" w:hanging="0"/>
              <w:rPr/>
            </w:pPr>
            <w:r>
              <w:rPr/>
              <w:t xml:space="preserve">  </w:t>
            </w:r>
          </w:p>
        </w:tc>
        <w:tc>
          <w:tcPr>
            <w:tcW w:w="153" w:type="dxa"/>
            <w:tcBorders/>
            <w:shd w:fill="auto" w:val="clear"/>
            <w:vAlign w:val="center"/>
          </w:tcPr>
          <w:p>
            <w:pPr>
              <w:pStyle w:val="TableContents"/>
              <w:spacing w:before="0" w:after="0"/>
              <w:ind w:left="0" w:right="0" w:hanging="0"/>
              <w:rPr/>
            </w:pPr>
            <w:r>
              <w:rPr/>
              <w:t xml:space="preserve">  </w:t>
            </w:r>
          </w:p>
        </w:tc>
        <w:tc>
          <w:tcPr>
            <w:tcW w:w="2214" w:type="dxa"/>
            <w:gridSpan w:val="4"/>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(in years) </w:t>
            </w:r>
          </w:p>
        </w:tc>
        <w:tc>
          <w:tcPr>
            <w:tcW w:w="15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1050"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15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1030"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180" w:type="dxa"/>
            <w:tcBorders/>
            <w:shd w:fill="auto" w:val="clear"/>
            <w:vAlign w:val="center"/>
          </w:tcPr>
          <w:p>
            <w:pPr>
              <w:pStyle w:val="TableContents"/>
              <w:spacing w:before="0" w:after="0"/>
              <w:ind w:left="0" w:right="0" w:hanging="0"/>
              <w:rPr/>
            </w:pPr>
            <w:r>
              <w:rPr/>
              <w:t xml:space="preserve">  </w:t>
            </w:r>
          </w:p>
        </w:tc>
      </w:tr>
      <w:tr>
        <w:trPr/>
        <w:tc>
          <w:tcPr>
            <w:tcW w:w="394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Tradename </w:t>
            </w:r>
          </w:p>
        </w:tc>
        <w:tc>
          <w:tcPr>
            <w:tcW w:w="153" w:type="dxa"/>
            <w:tcBorders/>
            <w:shd w:fill="CCEEFF" w:val="clear"/>
            <w:vAlign w:val="center"/>
          </w:tcPr>
          <w:p>
            <w:pPr>
              <w:pStyle w:val="TableContents"/>
              <w:spacing w:before="0" w:after="0"/>
              <w:ind w:left="0" w:right="0" w:hanging="0"/>
              <w:rPr/>
            </w:pPr>
            <w:r>
              <w:rPr/>
              <w:t xml:space="preserve">  </w:t>
            </w:r>
          </w:p>
        </w:tc>
        <w:tc>
          <w:tcPr>
            <w:tcW w:w="317" w:type="dxa"/>
            <w:tcBorders/>
            <w:shd w:fill="CCEEFF" w:val="clear"/>
            <w:vAlign w:val="center"/>
          </w:tcPr>
          <w:p>
            <w:pPr>
              <w:pStyle w:val="TableContents"/>
              <w:spacing w:before="0" w:after="0"/>
              <w:ind w:left="0" w:right="0" w:hanging="0"/>
              <w:rPr/>
            </w:pPr>
            <w:r>
              <w:rPr/>
              <w:t xml:space="preserve">  </w:t>
            </w:r>
          </w:p>
        </w:tc>
        <w:tc>
          <w:tcPr>
            <w:tcW w:w="44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 </w:t>
            </w:r>
          </w:p>
        </w:tc>
        <w:tc>
          <w:tcPr>
            <w:tcW w:w="724"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2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7 </w:t>
            </w:r>
          </w:p>
        </w:tc>
        <w:tc>
          <w:tcPr>
            <w:tcW w:w="15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 </w:t>
            </w:r>
          </w:p>
        </w:tc>
        <w:tc>
          <w:tcPr>
            <w:tcW w:w="8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555 </w:t>
            </w:r>
          </w:p>
        </w:tc>
        <w:tc>
          <w:tcPr>
            <w:tcW w:w="15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1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555 </w:t>
            </w:r>
          </w:p>
        </w:tc>
        <w:tc>
          <w:tcPr>
            <w:tcW w:w="180" w:type="dxa"/>
            <w:tcBorders/>
            <w:shd w:fill="CCEEFF" w:val="clear"/>
            <w:vAlign w:val="center"/>
          </w:tcPr>
          <w:p>
            <w:pPr>
              <w:pStyle w:val="TableContents"/>
              <w:spacing w:before="0" w:after="0"/>
              <w:ind w:left="0" w:right="0" w:hanging="0"/>
              <w:rPr/>
            </w:pPr>
            <w:r>
              <w:rPr/>
              <w:t xml:space="preserve">  </w:t>
            </w:r>
          </w:p>
        </w:tc>
      </w:tr>
      <w:tr>
        <w:trPr/>
        <w:tc>
          <w:tcPr>
            <w:tcW w:w="394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Patents and technological know-how </w:t>
            </w:r>
          </w:p>
        </w:tc>
        <w:tc>
          <w:tcPr>
            <w:tcW w:w="153" w:type="dxa"/>
            <w:tcBorders/>
            <w:shd w:fill="auto" w:val="clear"/>
            <w:vAlign w:val="center"/>
          </w:tcPr>
          <w:p>
            <w:pPr>
              <w:pStyle w:val="TableContents"/>
              <w:spacing w:before="0" w:after="0"/>
              <w:ind w:left="0" w:right="0" w:hanging="0"/>
              <w:rPr/>
            </w:pPr>
            <w:r>
              <w:rPr/>
              <w:t xml:space="preserve">  </w:t>
            </w:r>
          </w:p>
        </w:tc>
        <w:tc>
          <w:tcPr>
            <w:tcW w:w="317" w:type="dxa"/>
            <w:tcBorders/>
            <w:shd w:fill="auto" w:val="clear"/>
            <w:vAlign w:val="center"/>
          </w:tcPr>
          <w:p>
            <w:pPr>
              <w:pStyle w:val="TableContents"/>
              <w:spacing w:before="0" w:after="0"/>
              <w:ind w:left="0" w:right="0" w:hanging="0"/>
              <w:rPr/>
            </w:pPr>
            <w:r>
              <w:rPr/>
              <w:t xml:space="preserve">  </w:t>
            </w:r>
          </w:p>
        </w:tc>
        <w:tc>
          <w:tcPr>
            <w:tcW w:w="448" w:type="dxa"/>
            <w:tcBorders/>
            <w:shd w:fill="auto" w:val="clear"/>
            <w:vAlign w:val="center"/>
          </w:tcPr>
          <w:p>
            <w:pPr>
              <w:pStyle w:val="TableContents"/>
              <w:spacing w:before="0" w:after="0"/>
              <w:ind w:left="0" w:right="0" w:hanging="0"/>
              <w:rPr/>
            </w:pPr>
            <w:r>
              <w:rPr/>
              <w:t xml:space="preserve">  </w:t>
            </w:r>
          </w:p>
        </w:tc>
        <w:tc>
          <w:tcPr>
            <w:tcW w:w="724"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10 </w:t>
            </w:r>
          </w:p>
        </w:tc>
        <w:tc>
          <w:tcPr>
            <w:tcW w:w="725" w:type="dxa"/>
            <w:tcBorders/>
            <w:shd w:fill="auto" w:val="clear"/>
            <w:vAlign w:val="center"/>
          </w:tcPr>
          <w:p>
            <w:pPr>
              <w:pStyle w:val="TableContents"/>
              <w:spacing w:before="0" w:after="0"/>
              <w:ind w:left="0" w:right="0" w:hanging="0"/>
              <w:jc w:val="right"/>
              <w:rPr/>
            </w:pPr>
            <w:r>
              <w:rPr/>
              <w:t xml:space="preserve">  </w:t>
            </w:r>
          </w:p>
        </w:tc>
        <w:tc>
          <w:tcPr>
            <w:tcW w:w="15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8" w:type="dxa"/>
            <w:tcBorders/>
            <w:shd w:fill="auto" w:val="clear"/>
            <w:vAlign w:val="center"/>
          </w:tcPr>
          <w:p>
            <w:pPr>
              <w:pStyle w:val="TableContents"/>
              <w:spacing w:before="0" w:after="0"/>
              <w:ind w:left="0" w:right="0" w:hanging="0"/>
              <w:rPr/>
            </w:pPr>
            <w:r>
              <w:rPr/>
              <w:t xml:space="preserve">  </w:t>
            </w:r>
          </w:p>
        </w:tc>
        <w:tc>
          <w:tcPr>
            <w:tcW w:w="83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25,427 </w:t>
            </w:r>
          </w:p>
        </w:tc>
        <w:tc>
          <w:tcPr>
            <w:tcW w:w="15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7" w:type="dxa"/>
            <w:tcBorders/>
            <w:shd w:fill="auto" w:val="clear"/>
            <w:vAlign w:val="center"/>
          </w:tcPr>
          <w:p>
            <w:pPr>
              <w:pStyle w:val="TableContents"/>
              <w:spacing w:before="0" w:after="0"/>
              <w:ind w:left="0" w:right="0" w:hanging="0"/>
              <w:rPr/>
            </w:pPr>
            <w:r>
              <w:rPr/>
              <w:t xml:space="preserve">  </w:t>
            </w:r>
          </w:p>
        </w:tc>
        <w:tc>
          <w:tcPr>
            <w:tcW w:w="81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18,494 </w:t>
            </w:r>
          </w:p>
        </w:tc>
        <w:tc>
          <w:tcPr>
            <w:tcW w:w="180" w:type="dxa"/>
            <w:tcBorders/>
            <w:shd w:fill="auto" w:val="clear"/>
            <w:vAlign w:val="center"/>
          </w:tcPr>
          <w:p>
            <w:pPr>
              <w:pStyle w:val="TableContents"/>
              <w:spacing w:before="0" w:after="0"/>
              <w:ind w:left="0" w:right="0" w:hanging="0"/>
              <w:rPr/>
            </w:pPr>
            <w:r>
              <w:rPr/>
              <w:t xml:space="preserve">  </w:t>
            </w:r>
          </w:p>
        </w:tc>
      </w:tr>
      <w:tr>
        <w:trPr/>
        <w:tc>
          <w:tcPr>
            <w:tcW w:w="394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Proprietary software </w:t>
            </w:r>
          </w:p>
        </w:tc>
        <w:tc>
          <w:tcPr>
            <w:tcW w:w="153" w:type="dxa"/>
            <w:tcBorders/>
            <w:shd w:fill="CCEEFF" w:val="clear"/>
            <w:vAlign w:val="center"/>
          </w:tcPr>
          <w:p>
            <w:pPr>
              <w:pStyle w:val="TableContents"/>
              <w:spacing w:before="0" w:after="0"/>
              <w:ind w:left="0" w:right="0" w:hanging="0"/>
              <w:rPr/>
            </w:pPr>
            <w:r>
              <w:rPr/>
              <w:t xml:space="preserve">  </w:t>
            </w:r>
          </w:p>
        </w:tc>
        <w:tc>
          <w:tcPr>
            <w:tcW w:w="317" w:type="dxa"/>
            <w:tcBorders/>
            <w:shd w:fill="CCEEFF" w:val="clear"/>
            <w:vAlign w:val="center"/>
          </w:tcPr>
          <w:p>
            <w:pPr>
              <w:pStyle w:val="TableContents"/>
              <w:spacing w:before="0" w:after="0"/>
              <w:ind w:left="0" w:right="0" w:hanging="0"/>
              <w:rPr/>
            </w:pPr>
            <w:r>
              <w:rPr/>
              <w:t xml:space="preserve">  </w:t>
            </w:r>
          </w:p>
        </w:tc>
        <w:tc>
          <w:tcPr>
            <w:tcW w:w="44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 </w:t>
            </w:r>
          </w:p>
        </w:tc>
        <w:tc>
          <w:tcPr>
            <w:tcW w:w="724"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2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15 </w:t>
            </w:r>
          </w:p>
        </w:tc>
        <w:tc>
          <w:tcPr>
            <w:tcW w:w="15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8" w:type="dxa"/>
            <w:tcBorders/>
            <w:shd w:fill="CCEEFF" w:val="clear"/>
            <w:vAlign w:val="center"/>
          </w:tcPr>
          <w:p>
            <w:pPr>
              <w:pStyle w:val="TableContents"/>
              <w:spacing w:before="0" w:after="0"/>
              <w:ind w:left="0" w:right="0" w:hanging="0"/>
              <w:rPr/>
            </w:pPr>
            <w:r>
              <w:rPr/>
              <w:t xml:space="preserve">  </w:t>
            </w:r>
          </w:p>
        </w:tc>
        <w:tc>
          <w:tcPr>
            <w:tcW w:w="8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2,981 </w:t>
            </w:r>
          </w:p>
        </w:tc>
        <w:tc>
          <w:tcPr>
            <w:tcW w:w="15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7" w:type="dxa"/>
            <w:tcBorders/>
            <w:shd w:fill="CCEEFF" w:val="clear"/>
            <w:vAlign w:val="center"/>
          </w:tcPr>
          <w:p>
            <w:pPr>
              <w:pStyle w:val="TableContents"/>
              <w:spacing w:before="0" w:after="0"/>
              <w:ind w:left="0" w:right="0" w:hanging="0"/>
              <w:rPr/>
            </w:pPr>
            <w:r>
              <w:rPr/>
              <w:t xml:space="preserve">  </w:t>
            </w:r>
          </w:p>
        </w:tc>
        <w:tc>
          <w:tcPr>
            <w:tcW w:w="81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2,981 </w:t>
            </w:r>
          </w:p>
        </w:tc>
        <w:tc>
          <w:tcPr>
            <w:tcW w:w="180" w:type="dxa"/>
            <w:tcBorders/>
            <w:shd w:fill="CCEEFF" w:val="clear"/>
            <w:vAlign w:val="center"/>
          </w:tcPr>
          <w:p>
            <w:pPr>
              <w:pStyle w:val="TableContents"/>
              <w:spacing w:before="0" w:after="0"/>
              <w:ind w:left="0" w:right="0" w:hanging="0"/>
              <w:rPr/>
            </w:pPr>
            <w:r>
              <w:rPr/>
              <w:t xml:space="preserve">  </w:t>
            </w:r>
          </w:p>
        </w:tc>
      </w:tr>
      <w:tr>
        <w:trPr/>
        <w:tc>
          <w:tcPr>
            <w:tcW w:w="394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w:t>
            </w:r>
          </w:p>
        </w:tc>
        <w:tc>
          <w:tcPr>
            <w:tcW w:w="153" w:type="dxa"/>
            <w:tcBorders/>
            <w:shd w:fill="auto" w:val="clear"/>
            <w:vAlign w:val="center"/>
          </w:tcPr>
          <w:p>
            <w:pPr>
              <w:pStyle w:val="TableContents"/>
              <w:spacing w:before="0" w:after="0"/>
              <w:ind w:left="0" w:right="0" w:hanging="0"/>
              <w:rPr/>
            </w:pPr>
            <w:r>
              <w:rPr/>
              <w:t xml:space="preserve">  </w:t>
            </w:r>
          </w:p>
        </w:tc>
        <w:tc>
          <w:tcPr>
            <w:tcW w:w="317" w:type="dxa"/>
            <w:tcBorders/>
            <w:shd w:fill="auto" w:val="clear"/>
            <w:vAlign w:val="center"/>
          </w:tcPr>
          <w:p>
            <w:pPr>
              <w:pStyle w:val="TableContents"/>
              <w:spacing w:before="0" w:after="0"/>
              <w:ind w:left="0" w:right="0" w:hanging="0"/>
              <w:rPr/>
            </w:pPr>
            <w:r>
              <w:rPr/>
              <w:t xml:space="preserve">  </w:t>
            </w:r>
          </w:p>
        </w:tc>
        <w:tc>
          <w:tcPr>
            <w:tcW w:w="44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 </w:t>
            </w:r>
          </w:p>
        </w:tc>
        <w:tc>
          <w:tcPr>
            <w:tcW w:w="724"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2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5 </w:t>
            </w:r>
          </w:p>
        </w:tc>
        <w:tc>
          <w:tcPr>
            <w:tcW w:w="15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3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323 </w:t>
            </w:r>
          </w:p>
        </w:tc>
        <w:tc>
          <w:tcPr>
            <w:tcW w:w="15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7"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13"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323 </w:t>
            </w:r>
          </w:p>
        </w:tc>
        <w:tc>
          <w:tcPr>
            <w:tcW w:w="180" w:type="dxa"/>
            <w:tcBorders/>
            <w:shd w:fill="auto" w:val="clear"/>
            <w:vAlign w:val="center"/>
          </w:tcPr>
          <w:p>
            <w:pPr>
              <w:pStyle w:val="TableContents"/>
              <w:spacing w:before="0" w:after="0"/>
              <w:ind w:left="0" w:right="0" w:hanging="0"/>
              <w:rPr/>
            </w:pPr>
            <w:r>
              <w:rPr/>
              <w:t xml:space="preserve">  </w:t>
            </w:r>
          </w:p>
        </w:tc>
      </w:tr>
      <w:tr>
        <w:trPr/>
        <w:tc>
          <w:tcPr>
            <w:tcW w:w="394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intangible assets, gross </w:t>
            </w:r>
          </w:p>
        </w:tc>
        <w:tc>
          <w:tcPr>
            <w:tcW w:w="153" w:type="dxa"/>
            <w:tcBorders/>
            <w:shd w:fill="CCEEFF" w:val="clear"/>
            <w:vAlign w:val="center"/>
          </w:tcPr>
          <w:p>
            <w:pPr>
              <w:pStyle w:val="TableContents"/>
              <w:spacing w:before="0" w:after="0"/>
              <w:ind w:left="0" w:right="0" w:hanging="0"/>
              <w:rPr/>
            </w:pPr>
            <w:r>
              <w:rPr/>
              <w:t xml:space="preserve">  </w:t>
            </w:r>
          </w:p>
        </w:tc>
        <w:tc>
          <w:tcPr>
            <w:tcW w:w="317" w:type="dxa"/>
            <w:tcBorders/>
            <w:shd w:fill="CCEEFF" w:val="clear"/>
            <w:vAlign w:val="center"/>
          </w:tcPr>
          <w:p>
            <w:pPr>
              <w:pStyle w:val="TableContents"/>
              <w:spacing w:before="0" w:after="0"/>
              <w:ind w:left="0" w:right="0" w:hanging="0"/>
              <w:rPr/>
            </w:pPr>
            <w:r>
              <w:rPr/>
              <w:t xml:space="preserve">  </w:t>
            </w:r>
          </w:p>
        </w:tc>
        <w:tc>
          <w:tcPr>
            <w:tcW w:w="448" w:type="dxa"/>
            <w:tcBorders/>
            <w:shd w:fill="CCEEFF" w:val="clear"/>
            <w:vAlign w:val="center"/>
          </w:tcPr>
          <w:p>
            <w:pPr>
              <w:pStyle w:val="TableContents"/>
              <w:spacing w:before="0" w:after="0"/>
              <w:ind w:left="0" w:right="0" w:hanging="0"/>
              <w:rPr/>
            </w:pPr>
            <w:r>
              <w:rPr/>
              <w:t xml:space="preserve">  </w:t>
            </w:r>
          </w:p>
        </w:tc>
        <w:tc>
          <w:tcPr>
            <w:tcW w:w="724" w:type="dxa"/>
            <w:tcBorders/>
            <w:shd w:fill="CCEEFF" w:val="clear"/>
            <w:vAlign w:val="center"/>
          </w:tcPr>
          <w:p>
            <w:pPr>
              <w:pStyle w:val="TableContents"/>
              <w:spacing w:before="0" w:after="0"/>
              <w:ind w:left="0" w:right="0" w:hanging="0"/>
              <w:rPr/>
            </w:pPr>
            <w:r>
              <w:rPr/>
              <w:t xml:space="preserve">  </w:t>
            </w:r>
          </w:p>
        </w:tc>
        <w:tc>
          <w:tcPr>
            <w:tcW w:w="725" w:type="dxa"/>
            <w:tcBorders/>
            <w:shd w:fill="CCEEFF" w:val="clear"/>
            <w:vAlign w:val="center"/>
          </w:tcPr>
          <w:p>
            <w:pPr>
              <w:pStyle w:val="TableContents"/>
              <w:spacing w:before="0" w:after="0"/>
              <w:ind w:left="0" w:right="0" w:hanging="0"/>
              <w:jc w:val="right"/>
              <w:rPr/>
            </w:pPr>
            <w:r>
              <w:rPr/>
              <w:t xml:space="preserve">  </w:t>
            </w:r>
          </w:p>
        </w:tc>
        <w:tc>
          <w:tcPr>
            <w:tcW w:w="15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8" w:type="dxa"/>
            <w:tcBorders/>
            <w:shd w:fill="CCEEFF" w:val="clear"/>
            <w:vAlign w:val="center"/>
          </w:tcPr>
          <w:p>
            <w:pPr>
              <w:pStyle w:val="TableContents"/>
              <w:spacing w:before="0" w:after="0"/>
              <w:ind w:left="0" w:right="0" w:hanging="0"/>
              <w:rPr/>
            </w:pPr>
            <w:r>
              <w:rPr/>
              <w:t xml:space="preserve">  </w:t>
            </w:r>
          </w:p>
        </w:tc>
        <w:tc>
          <w:tcPr>
            <w:tcW w:w="8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29,286 </w:t>
            </w:r>
          </w:p>
        </w:tc>
        <w:tc>
          <w:tcPr>
            <w:tcW w:w="15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7" w:type="dxa"/>
            <w:tcBorders/>
            <w:shd w:fill="CCEEFF" w:val="clear"/>
            <w:vAlign w:val="center"/>
          </w:tcPr>
          <w:p>
            <w:pPr>
              <w:pStyle w:val="TableContents"/>
              <w:spacing w:before="0" w:after="0"/>
              <w:ind w:left="0" w:right="0" w:hanging="0"/>
              <w:rPr/>
            </w:pPr>
            <w:r>
              <w:rPr/>
              <w:t xml:space="preserve">  </w:t>
            </w:r>
          </w:p>
        </w:tc>
        <w:tc>
          <w:tcPr>
            <w:tcW w:w="81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22,353 </w:t>
            </w:r>
          </w:p>
        </w:tc>
        <w:tc>
          <w:tcPr>
            <w:tcW w:w="180" w:type="dxa"/>
            <w:tcBorders/>
            <w:shd w:fill="CCEEFF" w:val="clear"/>
            <w:vAlign w:val="center"/>
          </w:tcPr>
          <w:p>
            <w:pPr>
              <w:pStyle w:val="TableContents"/>
              <w:spacing w:before="0" w:after="0"/>
              <w:ind w:left="0" w:right="0" w:hanging="0"/>
              <w:rPr/>
            </w:pPr>
            <w:r>
              <w:rPr/>
              <w:t xml:space="preserve">  </w:t>
            </w:r>
          </w:p>
        </w:tc>
      </w:tr>
      <w:tr>
        <w:trPr/>
        <w:tc>
          <w:tcPr>
            <w:tcW w:w="394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Accumulated amortization </w:t>
            </w:r>
          </w:p>
        </w:tc>
        <w:tc>
          <w:tcPr>
            <w:tcW w:w="153" w:type="dxa"/>
            <w:tcBorders/>
            <w:shd w:fill="auto" w:val="clear"/>
            <w:vAlign w:val="center"/>
          </w:tcPr>
          <w:p>
            <w:pPr>
              <w:pStyle w:val="TableContents"/>
              <w:spacing w:before="0" w:after="0"/>
              <w:ind w:left="0" w:right="0" w:hanging="0"/>
              <w:rPr/>
            </w:pPr>
            <w:r>
              <w:rPr/>
              <w:t xml:space="preserve">  </w:t>
            </w:r>
          </w:p>
        </w:tc>
        <w:tc>
          <w:tcPr>
            <w:tcW w:w="317" w:type="dxa"/>
            <w:tcBorders/>
            <w:shd w:fill="auto" w:val="clear"/>
            <w:vAlign w:val="center"/>
          </w:tcPr>
          <w:p>
            <w:pPr>
              <w:pStyle w:val="TableContents"/>
              <w:spacing w:before="0" w:after="0"/>
              <w:ind w:left="0" w:right="0" w:hanging="0"/>
              <w:rPr/>
            </w:pPr>
            <w:r>
              <w:rPr/>
              <w:t xml:space="preserve">  </w:t>
            </w:r>
          </w:p>
        </w:tc>
        <w:tc>
          <w:tcPr>
            <w:tcW w:w="448" w:type="dxa"/>
            <w:tcBorders/>
            <w:shd w:fill="auto" w:val="clear"/>
            <w:vAlign w:val="center"/>
          </w:tcPr>
          <w:p>
            <w:pPr>
              <w:pStyle w:val="TableContents"/>
              <w:spacing w:before="0" w:after="0"/>
              <w:ind w:left="0" w:right="0" w:hanging="0"/>
              <w:rPr/>
            </w:pPr>
            <w:r>
              <w:rPr/>
              <w:t xml:space="preserve">  </w:t>
            </w:r>
          </w:p>
        </w:tc>
        <w:tc>
          <w:tcPr>
            <w:tcW w:w="724" w:type="dxa"/>
            <w:tcBorders/>
            <w:shd w:fill="auto" w:val="clear"/>
            <w:vAlign w:val="center"/>
          </w:tcPr>
          <w:p>
            <w:pPr>
              <w:pStyle w:val="TableContents"/>
              <w:spacing w:before="0" w:after="0"/>
              <w:ind w:left="0" w:right="0" w:hanging="0"/>
              <w:rPr/>
            </w:pPr>
            <w:r>
              <w:rPr/>
              <w:t xml:space="preserve">  </w:t>
            </w:r>
          </w:p>
        </w:tc>
        <w:tc>
          <w:tcPr>
            <w:tcW w:w="725" w:type="dxa"/>
            <w:tcBorders/>
            <w:shd w:fill="auto" w:val="clear"/>
            <w:vAlign w:val="center"/>
          </w:tcPr>
          <w:p>
            <w:pPr>
              <w:pStyle w:val="TableContents"/>
              <w:spacing w:before="0" w:after="0"/>
              <w:ind w:left="0" w:right="0" w:hanging="0"/>
              <w:rPr/>
            </w:pPr>
            <w:r>
              <w:rPr/>
              <w:t xml:space="preserve">  </w:t>
            </w:r>
          </w:p>
        </w:tc>
        <w:tc>
          <w:tcPr>
            <w:tcW w:w="153" w:type="dxa"/>
            <w:tcBorders/>
            <w:shd w:fill="auto" w:val="clear"/>
            <w:vAlign w:val="cente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0"/>
              <w:ind w:left="0" w:right="0" w:hanging="0"/>
              <w:rPr/>
            </w:pPr>
            <w:r>
              <w:rPr/>
              <w:t xml:space="preserve">  </w:t>
            </w:r>
          </w:p>
        </w:tc>
        <w:tc>
          <w:tcPr>
            <w:tcW w:w="21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3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(10,038</w:t>
            </w:r>
          </w:p>
        </w:tc>
        <w:tc>
          <w:tcPr>
            <w:tcW w:w="153"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0"/>
              <w:ind w:left="0" w:right="0" w:hanging="0"/>
              <w:rPr/>
            </w:pPr>
            <w:r>
              <w:rPr/>
              <w:t xml:space="preserve">  </w:t>
            </w:r>
          </w:p>
        </w:tc>
        <w:tc>
          <w:tcPr>
            <w:tcW w:w="217"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13"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(8,344 </w:t>
            </w:r>
          </w:p>
        </w:tc>
        <w:tc>
          <w:tcPr>
            <w:tcW w:w="18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3943"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intangible assets, net </w:t>
            </w:r>
          </w:p>
        </w:tc>
        <w:tc>
          <w:tcPr>
            <w:tcW w:w="153" w:type="dxa"/>
            <w:tcBorders/>
            <w:shd w:fill="CCEEFF" w:val="clear"/>
            <w:vAlign w:val="center"/>
          </w:tcPr>
          <w:p>
            <w:pPr>
              <w:pStyle w:val="TableContents"/>
              <w:spacing w:before="0" w:after="0"/>
              <w:ind w:left="0" w:right="0" w:hanging="0"/>
              <w:rPr/>
            </w:pPr>
            <w:r>
              <w:rPr/>
              <w:t xml:space="preserve">  </w:t>
            </w:r>
          </w:p>
        </w:tc>
        <w:tc>
          <w:tcPr>
            <w:tcW w:w="317" w:type="dxa"/>
            <w:tcBorders/>
            <w:shd w:fill="CCEEFF" w:val="clear"/>
            <w:vAlign w:val="center"/>
          </w:tcPr>
          <w:p>
            <w:pPr>
              <w:pStyle w:val="TableContents"/>
              <w:spacing w:before="0" w:after="0"/>
              <w:ind w:left="0" w:right="0" w:hanging="0"/>
              <w:rPr/>
            </w:pPr>
            <w:r>
              <w:rPr/>
              <w:t xml:space="preserve">  </w:t>
            </w:r>
          </w:p>
        </w:tc>
        <w:tc>
          <w:tcPr>
            <w:tcW w:w="448" w:type="dxa"/>
            <w:tcBorders/>
            <w:shd w:fill="CCEEFF" w:val="clear"/>
            <w:vAlign w:val="center"/>
          </w:tcPr>
          <w:p>
            <w:pPr>
              <w:pStyle w:val="TableContents"/>
              <w:spacing w:before="0" w:after="0"/>
              <w:ind w:left="0" w:right="0" w:hanging="0"/>
              <w:rPr/>
            </w:pPr>
            <w:r>
              <w:rPr/>
              <w:t xml:space="preserve">  </w:t>
            </w:r>
          </w:p>
        </w:tc>
        <w:tc>
          <w:tcPr>
            <w:tcW w:w="724" w:type="dxa"/>
            <w:tcBorders/>
            <w:shd w:fill="CCEEFF" w:val="clear"/>
            <w:vAlign w:val="center"/>
          </w:tcPr>
          <w:p>
            <w:pPr>
              <w:pStyle w:val="TableContents"/>
              <w:spacing w:before="0" w:after="0"/>
              <w:ind w:left="0" w:right="0" w:hanging="0"/>
              <w:rPr/>
            </w:pPr>
            <w:r>
              <w:rPr/>
              <w:t xml:space="preserve">  </w:t>
            </w:r>
          </w:p>
        </w:tc>
        <w:tc>
          <w:tcPr>
            <w:tcW w:w="725" w:type="dxa"/>
            <w:tcBorders/>
            <w:shd w:fill="CCEEFF" w:val="clear"/>
            <w:vAlign w:val="center"/>
          </w:tcPr>
          <w:p>
            <w:pPr>
              <w:pStyle w:val="TableContents"/>
              <w:spacing w:before="0" w:after="0"/>
              <w:ind w:left="0" w:right="0" w:hanging="0"/>
              <w:rPr/>
            </w:pPr>
            <w:r>
              <w:rPr/>
              <w:t xml:space="preserve">  </w:t>
            </w:r>
          </w:p>
        </w:tc>
        <w:tc>
          <w:tcPr>
            <w:tcW w:w="15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19,248 </w:t>
            </w:r>
          </w:p>
        </w:tc>
        <w:tc>
          <w:tcPr>
            <w:tcW w:w="153" w:type="dxa"/>
            <w:tcBorders/>
            <w:shd w:fill="CCEEFF" w:val="clear"/>
            <w:vAlign w:val="center"/>
          </w:tcPr>
          <w:p>
            <w:pPr>
              <w:pStyle w:val="TableContents"/>
              <w:spacing w:before="0" w:after="0"/>
              <w:ind w:left="0" w:right="0" w:hanging="0"/>
              <w:rPr/>
            </w:pPr>
            <w:r>
              <w:rPr/>
              <w:t xml:space="preserve">  </w:t>
            </w:r>
          </w:p>
        </w:tc>
        <w:tc>
          <w:tcPr>
            <w:tcW w:w="154" w:type="dxa"/>
            <w:tcBorders/>
            <w:shd w:fill="CCEEFF" w:val="clear"/>
            <w:vAlign w:val="center"/>
          </w:tcPr>
          <w:p>
            <w:pPr>
              <w:pStyle w:val="TableContents"/>
              <w:spacing w:before="0" w:after="0"/>
              <w:ind w:left="0" w:right="0" w:hanging="0"/>
              <w:rPr/>
            </w:pPr>
            <w:r>
              <w:rPr/>
              <w:t xml:space="preserve">  </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1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14,009 </w:t>
            </w:r>
          </w:p>
        </w:tc>
        <w:tc>
          <w:tcPr>
            <w:tcW w:w="180"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Patents and technological know-how include</w:t>
      </w:r>
      <w:r>
        <w:rPr>
          <w:rFonts w:ascii="times new roman;times" w:hAnsi="times new roman;times"/>
          <w:sz w:val="20"/>
        </w:rPr>
        <w:t> </w:t>
      </w:r>
      <w:r>
        <w:rPr>
          <w:rFonts w:ascii="Times New Roman" w:hAnsi="Times New Roman"/>
          <w:sz w:val="20"/>
        </w:rPr>
        <w:t>capitalized legal expenses, net of amortization</w:t>
      </w:r>
      <w:r>
        <w:rPr>
          <w:rFonts w:ascii="times new roman;times" w:hAnsi="times new roman;times"/>
          <w:sz w:val="20"/>
        </w:rPr>
        <w:t> </w:t>
      </w:r>
      <w:r>
        <w:rPr>
          <w:rFonts w:ascii="Times New Roman" w:hAnsi="Times New Roman"/>
          <w:sz w:val="20"/>
        </w:rPr>
        <w:t>of $</w:t>
      </w:r>
      <w:r>
        <w:rPr>
          <w:rFonts w:ascii="times new roman;times" w:hAnsi="times new roman;times"/>
          <w:sz w:val="20"/>
        </w:rPr>
        <w:t>16,582 </w:t>
      </w:r>
      <w:r>
        <w:rPr>
          <w:rFonts w:ascii="Times New Roman" w:hAnsi="Times New Roman"/>
          <w:sz w:val="20"/>
        </w:rPr>
        <w:t>related to our defense of patents from infringement by our competitors. Legal expenses have been capitalized upon satisfaction of two conditions: (a) a determination being made that a successful defense of this litigation is probable, and (b) that the monetary benefits arising out of such successful defense will be in excess of the costs for the defense.</w:t>
      </w:r>
      <w:r>
        <w:rPr>
          <w:rFonts w:ascii="times new roman;times" w:hAnsi="times new roman;times"/>
          <w:sz w:val="20"/>
        </w:rPr>
        <w:t> </w:t>
      </w:r>
      <w:r>
        <w:rPr>
          <w:rFonts w:ascii="Times New Roman" w:hAnsi="Times New Roman"/>
          <w:sz w:val="20"/>
        </w:rPr>
        <w:t xml:space="preserve">Please refer to </w:t>
      </w:r>
      <w:r>
        <w:rPr>
          <w:rFonts w:ascii="Times New Roman" w:hAnsi="Times New Roman"/>
          <w:sz w:val="20"/>
          <w:u w:val="single"/>
        </w:rPr>
        <w:t>Note</w:t>
      </w:r>
      <w:r>
        <w:rPr>
          <w:rFonts w:ascii="times new roman;times" w:hAnsi="times new roman;times"/>
          <w:sz w:val="20"/>
          <w:u w:val="single"/>
        </w:rPr>
        <w:t> </w:t>
      </w:r>
      <w:r>
        <w:rPr>
          <w:rFonts w:ascii="Times New Roman" w:hAnsi="Times New Roman"/>
          <w:sz w:val="20"/>
          <w:u w:val="single"/>
        </w:rPr>
        <w:t>8 - Commitments and Contingencies</w:t>
      </w:r>
      <w:r>
        <w:rPr>
          <w:rFonts w:ascii="times new roman;times" w:hAnsi="times new roman;times"/>
          <w:sz w:val="20"/>
          <w:u w:val="single"/>
        </w:rPr>
        <w:t> </w:t>
      </w:r>
      <w:r>
        <w:rPr>
          <w:rFonts w:ascii="Times New Roman" w:hAnsi="Times New Roman"/>
          <w:sz w:val="20"/>
        </w:rPr>
        <w:t>for additional information. </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During the years ended December 31, 2020 and 2019, amortization of these intangible assets were</w:t>
      </w:r>
      <w:r>
        <w:rPr>
          <w:rFonts w:ascii="times new roman;times" w:hAnsi="times new roman;times"/>
          <w:sz w:val="20"/>
        </w:rPr>
        <w:t xml:space="preserve"> </w:t>
      </w:r>
      <w:r>
        <w:rPr>
          <w:rFonts w:ascii="Times New Roman" w:hAnsi="Times New Roman"/>
          <w:sz w:val="20"/>
        </w:rPr>
        <w:t>$1,694</w:t>
      </w:r>
      <w:r>
        <w:rPr>
          <w:rFonts w:ascii="times new roman;times" w:hAnsi="times new roman;times"/>
          <w:sz w:val="20"/>
        </w:rPr>
        <w:t xml:space="preserve"> </w:t>
      </w:r>
      <w:r>
        <w:rPr>
          <w:rFonts w:ascii="Times New Roman" w:hAnsi="Times New Roman"/>
          <w:sz w:val="20"/>
        </w:rPr>
        <w:t>and $1,402</w:t>
      </w:r>
      <w:r>
        <w:rPr>
          <w:rFonts w:ascii="times new roman;times" w:hAnsi="times new roman;times"/>
          <w:sz w:val="20"/>
        </w:rPr>
        <w:t xml:space="preserve"> </w:t>
      </w:r>
      <w:r>
        <w:rPr>
          <w:rFonts w:ascii="Times New Roman" w:hAnsi="Times New Roman"/>
          <w:sz w:val="20"/>
        </w:rPr>
        <w:t>respectively.</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The estimated future amortization expense of intangible assets is as follows:</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836"/>
        <w:gridCol w:w="321"/>
        <w:gridCol w:w="455"/>
        <w:gridCol w:w="1700"/>
        <w:gridCol w:w="362"/>
      </w:tblGrid>
      <w:tr>
        <w:trPr/>
        <w:tc>
          <w:tcPr>
            <w:tcW w:w="5836" w:type="dxa"/>
            <w:tcBorders/>
            <w:shd w:fill="auto" w:val="clear"/>
            <w:vAlign w:val="center"/>
          </w:tcPr>
          <w:p>
            <w:pPr>
              <w:pStyle w:val="TableContents"/>
              <w:spacing w:before="0" w:after="0"/>
              <w:ind w:left="0" w:right="0" w:hanging="0"/>
              <w:rPr>
                <w:rFonts w:ascii="Times New Roman" w:hAnsi="Times New Roman"/>
                <w:b/>
                <w:sz w:val="18"/>
                <w:u w:val="single"/>
              </w:rPr>
            </w:pPr>
            <w:r>
              <w:rPr>
                <w:rFonts w:ascii="Times New Roman" w:hAnsi="Times New Roman"/>
                <w:b/>
                <w:sz w:val="18"/>
                <w:u w:val="single"/>
              </w:rPr>
              <w:t xml:space="preserve">Years ending December 31, </w:t>
            </w:r>
          </w:p>
        </w:tc>
        <w:tc>
          <w:tcPr>
            <w:tcW w:w="321" w:type="dxa"/>
            <w:tcBorders/>
            <w:shd w:fill="auto" w:val="clear"/>
            <w:vAlign w:val="center"/>
          </w:tcPr>
          <w:p>
            <w:pPr>
              <w:pStyle w:val="TableContents"/>
              <w:spacing w:before="0" w:after="0"/>
              <w:ind w:left="0" w:right="0" w:hanging="0"/>
              <w:rPr/>
            </w:pPr>
            <w:r>
              <w:rPr/>
              <w:t xml:space="preserve">  </w:t>
            </w:r>
          </w:p>
        </w:tc>
        <w:tc>
          <w:tcPr>
            <w:tcW w:w="455" w:type="dxa"/>
            <w:tcBorders/>
            <w:shd w:fill="auto" w:val="clear"/>
            <w:vAlign w:val="center"/>
          </w:tcPr>
          <w:p>
            <w:pPr>
              <w:pStyle w:val="TableContents"/>
              <w:spacing w:before="0" w:after="0"/>
              <w:ind w:left="0" w:right="0" w:hanging="0"/>
              <w:rPr/>
            </w:pPr>
            <w:r>
              <w:rPr/>
              <w:t xml:space="preserve">  </w:t>
            </w:r>
          </w:p>
        </w:tc>
        <w:tc>
          <w:tcPr>
            <w:tcW w:w="1700" w:type="dxa"/>
            <w:tcBorders/>
            <w:shd w:fill="auto" w:val="clear"/>
            <w:vAlign w:val="center"/>
          </w:tcPr>
          <w:p>
            <w:pPr>
              <w:pStyle w:val="TableContents"/>
              <w:spacing w:before="0" w:after="0"/>
              <w:ind w:left="0" w:right="0" w:hanging="0"/>
              <w:rPr/>
            </w:pPr>
            <w:r>
              <w:rPr/>
              <w:t xml:space="preserve">  </w:t>
            </w:r>
          </w:p>
        </w:tc>
        <w:tc>
          <w:tcPr>
            <w:tcW w:w="362" w:type="dxa"/>
            <w:tcBorders/>
            <w:shd w:fill="auto" w:val="clear"/>
            <w:vAlign w:val="center"/>
          </w:tcPr>
          <w:p>
            <w:pPr>
              <w:pStyle w:val="TableContents"/>
              <w:spacing w:before="0" w:after="0"/>
              <w:ind w:left="0" w:right="0" w:hanging="0"/>
              <w:rPr/>
            </w:pPr>
            <w:r>
              <w:rPr/>
              <w:t xml:space="preserve">  </w:t>
            </w:r>
          </w:p>
        </w:tc>
      </w:tr>
      <w:tr>
        <w:trPr/>
        <w:tc>
          <w:tcPr>
            <w:tcW w:w="58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2021 </w:t>
            </w:r>
          </w:p>
        </w:tc>
        <w:tc>
          <w:tcPr>
            <w:tcW w:w="321" w:type="dxa"/>
            <w:tcBorders/>
            <w:shd w:fill="CCEEFF" w:val="clear"/>
            <w:vAlign w:val="center"/>
          </w:tcPr>
          <w:p>
            <w:pPr>
              <w:pStyle w:val="TableContents"/>
              <w:spacing w:before="0" w:after="0"/>
              <w:ind w:left="0" w:right="0" w:hanging="0"/>
              <w:rPr/>
            </w:pPr>
            <w:r>
              <w:rPr/>
              <w:t xml:space="preserve">  </w:t>
            </w:r>
          </w:p>
        </w:tc>
        <w:tc>
          <w:tcPr>
            <w:tcW w:w="45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70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1,959 </w:t>
            </w:r>
          </w:p>
        </w:tc>
        <w:tc>
          <w:tcPr>
            <w:tcW w:w="362" w:type="dxa"/>
            <w:tcBorders/>
            <w:shd w:fill="CCEEFF" w:val="clear"/>
            <w:vAlign w:val="center"/>
          </w:tcPr>
          <w:p>
            <w:pPr>
              <w:pStyle w:val="TableContents"/>
              <w:spacing w:before="0" w:after="0"/>
              <w:ind w:left="0" w:right="0" w:hanging="0"/>
              <w:rPr/>
            </w:pPr>
            <w:r>
              <w:rPr/>
              <w:t xml:space="preserve">  </w:t>
            </w:r>
          </w:p>
        </w:tc>
      </w:tr>
      <w:tr>
        <w:trPr/>
        <w:tc>
          <w:tcPr>
            <w:tcW w:w="58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2022 </w:t>
            </w:r>
          </w:p>
        </w:tc>
        <w:tc>
          <w:tcPr>
            <w:tcW w:w="321" w:type="dxa"/>
            <w:tcBorders/>
            <w:shd w:fill="auto" w:val="clear"/>
            <w:vAlign w:val="center"/>
          </w:tcPr>
          <w:p>
            <w:pPr>
              <w:pStyle w:val="TableContents"/>
              <w:spacing w:before="0" w:after="0"/>
              <w:ind w:left="0" w:right="0" w:hanging="0"/>
              <w:rPr/>
            </w:pPr>
            <w:r>
              <w:rPr/>
              <w:t xml:space="preserve">  </w:t>
            </w:r>
          </w:p>
        </w:tc>
        <w:tc>
          <w:tcPr>
            <w:tcW w:w="455" w:type="dxa"/>
            <w:tcBorders/>
            <w:shd w:fill="auto" w:val="clear"/>
            <w:vAlign w:val="center"/>
          </w:tcPr>
          <w:p>
            <w:pPr>
              <w:pStyle w:val="TableContents"/>
              <w:spacing w:before="0" w:after="0"/>
              <w:ind w:left="0" w:right="0" w:hanging="0"/>
              <w:rPr/>
            </w:pPr>
            <w:r>
              <w:rPr/>
              <w:t xml:space="preserve">  </w:t>
            </w:r>
          </w:p>
        </w:tc>
        <w:tc>
          <w:tcPr>
            <w:tcW w:w="170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1,959 </w:t>
            </w:r>
          </w:p>
        </w:tc>
        <w:tc>
          <w:tcPr>
            <w:tcW w:w="362" w:type="dxa"/>
            <w:tcBorders/>
            <w:shd w:fill="auto" w:val="clear"/>
            <w:vAlign w:val="center"/>
          </w:tcPr>
          <w:p>
            <w:pPr>
              <w:pStyle w:val="TableContents"/>
              <w:spacing w:before="0" w:after="0"/>
              <w:ind w:left="0" w:right="0" w:hanging="0"/>
              <w:rPr/>
            </w:pPr>
            <w:r>
              <w:rPr/>
              <w:t xml:space="preserve">  </w:t>
            </w:r>
          </w:p>
        </w:tc>
      </w:tr>
      <w:tr>
        <w:trPr/>
        <w:tc>
          <w:tcPr>
            <w:tcW w:w="58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2023 </w:t>
            </w:r>
          </w:p>
        </w:tc>
        <w:tc>
          <w:tcPr>
            <w:tcW w:w="321" w:type="dxa"/>
            <w:tcBorders/>
            <w:shd w:fill="CCEEFF" w:val="clear"/>
            <w:vAlign w:val="center"/>
          </w:tcPr>
          <w:p>
            <w:pPr>
              <w:pStyle w:val="TableContents"/>
              <w:spacing w:before="0" w:after="0"/>
              <w:ind w:left="0" w:right="0" w:hanging="0"/>
              <w:rPr/>
            </w:pPr>
            <w:r>
              <w:rPr/>
              <w:t xml:space="preserve">  </w:t>
            </w:r>
          </w:p>
        </w:tc>
        <w:tc>
          <w:tcPr>
            <w:tcW w:w="455" w:type="dxa"/>
            <w:tcBorders/>
            <w:shd w:fill="CCEEFF" w:val="clear"/>
            <w:vAlign w:val="center"/>
          </w:tcPr>
          <w:p>
            <w:pPr>
              <w:pStyle w:val="TableContents"/>
              <w:spacing w:before="0" w:after="0"/>
              <w:ind w:left="0" w:right="0" w:hanging="0"/>
              <w:rPr/>
            </w:pPr>
            <w:r>
              <w:rPr/>
              <w:t xml:space="preserve">  </w:t>
            </w:r>
          </w:p>
        </w:tc>
        <w:tc>
          <w:tcPr>
            <w:tcW w:w="170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1,952 </w:t>
            </w:r>
          </w:p>
        </w:tc>
        <w:tc>
          <w:tcPr>
            <w:tcW w:w="362" w:type="dxa"/>
            <w:tcBorders/>
            <w:shd w:fill="CCEEFF" w:val="clear"/>
            <w:vAlign w:val="center"/>
          </w:tcPr>
          <w:p>
            <w:pPr>
              <w:pStyle w:val="TableContents"/>
              <w:spacing w:before="0" w:after="0"/>
              <w:ind w:left="0" w:right="0" w:hanging="0"/>
              <w:rPr/>
            </w:pPr>
            <w:r>
              <w:rPr/>
              <w:t xml:space="preserve">  </w:t>
            </w:r>
          </w:p>
        </w:tc>
      </w:tr>
      <w:tr>
        <w:trPr/>
        <w:tc>
          <w:tcPr>
            <w:tcW w:w="58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2024 </w:t>
            </w:r>
          </w:p>
        </w:tc>
        <w:tc>
          <w:tcPr>
            <w:tcW w:w="321" w:type="dxa"/>
            <w:tcBorders/>
            <w:shd w:fill="auto" w:val="clear"/>
            <w:vAlign w:val="center"/>
          </w:tcPr>
          <w:p>
            <w:pPr>
              <w:pStyle w:val="TableContents"/>
              <w:spacing w:before="0" w:after="0"/>
              <w:ind w:left="0" w:right="0" w:hanging="0"/>
              <w:rPr/>
            </w:pPr>
            <w:r>
              <w:rPr/>
              <w:t xml:space="preserve">  </w:t>
            </w:r>
          </w:p>
        </w:tc>
        <w:tc>
          <w:tcPr>
            <w:tcW w:w="455" w:type="dxa"/>
            <w:tcBorders/>
            <w:shd w:fill="auto" w:val="clear"/>
            <w:vAlign w:val="center"/>
          </w:tcPr>
          <w:p>
            <w:pPr>
              <w:pStyle w:val="TableContents"/>
              <w:spacing w:before="0" w:after="0"/>
              <w:ind w:left="0" w:right="0" w:hanging="0"/>
              <w:rPr/>
            </w:pPr>
            <w:r>
              <w:rPr/>
              <w:t xml:space="preserve">  </w:t>
            </w:r>
          </w:p>
        </w:tc>
        <w:tc>
          <w:tcPr>
            <w:tcW w:w="170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1,689 </w:t>
            </w:r>
          </w:p>
        </w:tc>
        <w:tc>
          <w:tcPr>
            <w:tcW w:w="362" w:type="dxa"/>
            <w:tcBorders/>
            <w:shd w:fill="auto" w:val="clear"/>
            <w:vAlign w:val="center"/>
          </w:tcPr>
          <w:p>
            <w:pPr>
              <w:pStyle w:val="TableContents"/>
              <w:spacing w:before="0" w:after="0"/>
              <w:ind w:left="0" w:right="0" w:hanging="0"/>
              <w:rPr/>
            </w:pPr>
            <w:r>
              <w:rPr/>
              <w:t xml:space="preserve">  </w:t>
            </w:r>
          </w:p>
        </w:tc>
      </w:tr>
      <w:tr>
        <w:trPr/>
        <w:tc>
          <w:tcPr>
            <w:tcW w:w="58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2025 </w:t>
            </w:r>
          </w:p>
        </w:tc>
        <w:tc>
          <w:tcPr>
            <w:tcW w:w="321" w:type="dxa"/>
            <w:tcBorders/>
            <w:shd w:fill="CCEEFF" w:val="clear"/>
            <w:vAlign w:val="center"/>
          </w:tcPr>
          <w:p>
            <w:pPr>
              <w:pStyle w:val="TableContents"/>
              <w:spacing w:before="0" w:after="0"/>
              <w:ind w:left="0" w:right="0" w:hanging="0"/>
              <w:rPr/>
            </w:pPr>
            <w:r>
              <w:rPr/>
              <w:t xml:space="preserve">  </w:t>
            </w:r>
          </w:p>
        </w:tc>
        <w:tc>
          <w:tcPr>
            <w:tcW w:w="455" w:type="dxa"/>
            <w:tcBorders/>
            <w:shd w:fill="CCEEFF" w:val="clear"/>
            <w:vAlign w:val="center"/>
          </w:tcPr>
          <w:p>
            <w:pPr>
              <w:pStyle w:val="TableContents"/>
              <w:spacing w:before="0" w:after="0"/>
              <w:ind w:left="0" w:right="0" w:hanging="0"/>
              <w:rPr/>
            </w:pPr>
            <w:r>
              <w:rPr/>
              <w:t xml:space="preserve">  </w:t>
            </w:r>
          </w:p>
        </w:tc>
        <w:tc>
          <w:tcPr>
            <w:tcW w:w="170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1,628 </w:t>
            </w:r>
          </w:p>
        </w:tc>
        <w:tc>
          <w:tcPr>
            <w:tcW w:w="362" w:type="dxa"/>
            <w:tcBorders/>
            <w:shd w:fill="CCEEFF" w:val="clear"/>
            <w:vAlign w:val="center"/>
          </w:tcPr>
          <w:p>
            <w:pPr>
              <w:pStyle w:val="TableContents"/>
              <w:spacing w:before="0" w:after="0"/>
              <w:ind w:left="0" w:right="0" w:hanging="0"/>
              <w:rPr/>
            </w:pPr>
            <w:r>
              <w:rPr/>
              <w:t xml:space="preserve">  </w:t>
            </w:r>
          </w:p>
        </w:tc>
      </w:tr>
      <w:tr>
        <w:trPr/>
        <w:tc>
          <w:tcPr>
            <w:tcW w:w="58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Thereafter </w:t>
            </w:r>
          </w:p>
        </w:tc>
        <w:tc>
          <w:tcPr>
            <w:tcW w:w="321" w:type="dxa"/>
            <w:tcBorders/>
            <w:shd w:fill="auto" w:val="clear"/>
            <w:vAlign w:val="center"/>
          </w:tcPr>
          <w:p>
            <w:pPr>
              <w:pStyle w:val="TableContents"/>
              <w:spacing w:before="0" w:after="0"/>
              <w:ind w:left="0" w:right="0" w:hanging="0"/>
              <w:rPr/>
            </w:pPr>
            <w:r>
              <w:rPr/>
              <w:t xml:space="preserve">  </w:t>
            </w:r>
          </w:p>
        </w:tc>
        <w:tc>
          <w:tcPr>
            <w:tcW w:w="45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70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10,061 </w:t>
            </w:r>
          </w:p>
        </w:tc>
        <w:tc>
          <w:tcPr>
            <w:tcW w:w="362" w:type="dxa"/>
            <w:tcBorders/>
            <w:shd w:fill="auto" w:val="clear"/>
            <w:vAlign w:val="center"/>
          </w:tcPr>
          <w:p>
            <w:pPr>
              <w:pStyle w:val="TableContents"/>
              <w:spacing w:before="0" w:after="0"/>
              <w:ind w:left="0" w:right="0" w:hanging="0"/>
              <w:rPr/>
            </w:pPr>
            <w:r>
              <w:rPr/>
              <w:t xml:space="preserve">  </w:t>
            </w:r>
          </w:p>
        </w:tc>
      </w:tr>
      <w:tr>
        <w:trPr/>
        <w:tc>
          <w:tcPr>
            <w:tcW w:w="58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321" w:type="dxa"/>
            <w:tcBorders/>
            <w:shd w:fill="CCEEFF" w:val="clear"/>
            <w:vAlign w:val="center"/>
          </w:tcPr>
          <w:p>
            <w:pPr>
              <w:pStyle w:val="TableContents"/>
              <w:spacing w:before="0" w:after="0"/>
              <w:ind w:left="0" w:right="0" w:hanging="0"/>
              <w:rPr/>
            </w:pPr>
            <w:r>
              <w:rPr/>
              <w:t xml:space="preserve">  </w:t>
            </w:r>
          </w:p>
        </w:tc>
        <w:tc>
          <w:tcPr>
            <w:tcW w:w="45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70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19,248 </w:t>
            </w:r>
          </w:p>
        </w:tc>
        <w:tc>
          <w:tcPr>
            <w:tcW w:w="362"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144" w:right="144" w:hanging="0"/>
        <w:jc w:val="both"/>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F-16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4</w:t>
      </w:r>
      <w:r>
        <w:rPr>
          <w:rFonts w:ascii="Times New Roman" w:hAnsi="Times New Roman"/>
          <w:b/>
          <w:sz w:val="20"/>
        </w:rPr>
        <w:t>. Inventories</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Inventories, net of reserves, consisted of the following:</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3395"/>
        <w:gridCol w:w="307"/>
        <w:gridCol w:w="436"/>
        <w:gridCol w:w="1512"/>
        <w:gridCol w:w="307"/>
        <w:gridCol w:w="308"/>
        <w:gridCol w:w="435"/>
        <w:gridCol w:w="1628"/>
        <w:gridCol w:w="346"/>
      </w:tblGrid>
      <w:tr>
        <w:trPr/>
        <w:tc>
          <w:tcPr>
            <w:tcW w:w="3395" w:type="dxa"/>
            <w:tcBorders/>
            <w:shd w:fill="auto" w:val="clear"/>
            <w:vAlign w:val="center"/>
          </w:tcPr>
          <w:p>
            <w:pPr>
              <w:pStyle w:val="TableContents"/>
              <w:spacing w:before="0" w:after="0"/>
              <w:ind w:left="0" w:right="0" w:hanging="0"/>
              <w:rPr/>
            </w:pPr>
            <w:r>
              <w:rPr/>
              <w:t xml:space="preserve">  </w:t>
            </w:r>
          </w:p>
        </w:tc>
        <w:tc>
          <w:tcPr>
            <w:tcW w:w="307" w:type="dxa"/>
            <w:tcBorders/>
            <w:shd w:fill="auto" w:val="clear"/>
            <w:vAlign w:val="center"/>
          </w:tcPr>
          <w:p>
            <w:pPr>
              <w:pStyle w:val="TableContents"/>
              <w:spacing w:before="0" w:after="0"/>
              <w:ind w:left="0" w:right="0" w:hanging="0"/>
              <w:rPr/>
            </w:pPr>
            <w:r>
              <w:rPr/>
              <w:t xml:space="preserve">  </w:t>
            </w:r>
          </w:p>
        </w:tc>
        <w:tc>
          <w:tcPr>
            <w:tcW w:w="4626"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346" w:type="dxa"/>
            <w:tcBorders/>
            <w:shd w:fill="auto" w:val="clear"/>
            <w:vAlign w:val="center"/>
          </w:tcPr>
          <w:p>
            <w:pPr>
              <w:pStyle w:val="TableContents"/>
              <w:spacing w:before="0" w:after="0"/>
              <w:ind w:left="0" w:right="0" w:hanging="0"/>
              <w:rPr/>
            </w:pPr>
            <w:r>
              <w:rPr/>
              <w:t xml:space="preserve">  </w:t>
            </w:r>
          </w:p>
        </w:tc>
      </w:tr>
      <w:tr>
        <w:trPr/>
        <w:tc>
          <w:tcPr>
            <w:tcW w:w="3395" w:type="dxa"/>
            <w:tcBorders/>
            <w:shd w:fill="auto" w:val="clear"/>
            <w:vAlign w:val="center"/>
          </w:tcPr>
          <w:p>
            <w:pPr>
              <w:pStyle w:val="TableContents"/>
              <w:spacing w:before="0" w:after="0"/>
              <w:ind w:left="0" w:right="0" w:hanging="0"/>
              <w:rPr/>
            </w:pPr>
            <w:r>
              <w:rPr/>
              <w:t xml:space="preserve">  </w:t>
            </w:r>
          </w:p>
        </w:tc>
        <w:tc>
          <w:tcPr>
            <w:tcW w:w="307" w:type="dxa"/>
            <w:tcBorders/>
            <w:shd w:fill="auto" w:val="clear"/>
            <w:vAlign w:val="center"/>
          </w:tcPr>
          <w:p>
            <w:pPr>
              <w:pStyle w:val="TableContents"/>
              <w:spacing w:before="0" w:after="0"/>
              <w:ind w:left="0" w:right="0" w:hanging="0"/>
              <w:rPr/>
            </w:pPr>
            <w:r>
              <w:rPr/>
              <w:t xml:space="preserve">  </w:t>
            </w:r>
          </w:p>
        </w:tc>
        <w:tc>
          <w:tcPr>
            <w:tcW w:w="194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307" w:type="dxa"/>
            <w:tcBorders/>
            <w:shd w:fill="auto" w:val="clear"/>
            <w:vAlign w:val="center"/>
          </w:tcPr>
          <w:p>
            <w:pPr>
              <w:pStyle w:val="TableContents"/>
              <w:spacing w:before="0" w:after="0"/>
              <w:ind w:left="0" w:right="0" w:hanging="0"/>
              <w:rPr/>
            </w:pPr>
            <w:r>
              <w:rPr/>
              <w:t xml:space="preserve">  </w:t>
            </w:r>
          </w:p>
        </w:tc>
        <w:tc>
          <w:tcPr>
            <w:tcW w:w="308" w:type="dxa"/>
            <w:tcBorders/>
            <w:shd w:fill="auto" w:val="clear"/>
            <w:vAlign w:val="center"/>
          </w:tcPr>
          <w:p>
            <w:pPr>
              <w:pStyle w:val="TableContents"/>
              <w:spacing w:before="0" w:after="0"/>
              <w:ind w:left="0" w:right="0" w:hanging="0"/>
              <w:rPr/>
            </w:pPr>
            <w:r>
              <w:rPr/>
              <w:t xml:space="preserve">  </w:t>
            </w:r>
          </w:p>
        </w:tc>
        <w:tc>
          <w:tcPr>
            <w:tcW w:w="2063"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346" w:type="dxa"/>
            <w:tcBorders/>
            <w:shd w:fill="auto" w:val="clear"/>
            <w:vAlign w:val="center"/>
          </w:tcPr>
          <w:p>
            <w:pPr>
              <w:pStyle w:val="TableContents"/>
              <w:spacing w:before="0" w:after="0"/>
              <w:ind w:left="0" w:right="0" w:hanging="0"/>
              <w:rPr/>
            </w:pPr>
            <w:r>
              <w:rPr/>
              <w:t xml:space="preserve">  </w:t>
            </w:r>
          </w:p>
        </w:tc>
      </w:tr>
      <w:tr>
        <w:trPr/>
        <w:tc>
          <w:tcPr>
            <w:tcW w:w="33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w:t>
            </w:r>
          </w:p>
        </w:tc>
        <w:tc>
          <w:tcPr>
            <w:tcW w:w="307" w:type="dxa"/>
            <w:tcBorders/>
            <w:shd w:fill="CCEEFF" w:val="clear"/>
            <w:vAlign w:val="center"/>
          </w:tcPr>
          <w:p>
            <w:pPr>
              <w:pStyle w:val="TableContents"/>
              <w:spacing w:before="0" w:after="0"/>
              <w:ind w:left="0" w:right="0" w:hanging="0"/>
              <w:rPr/>
            </w:pPr>
            <w:r>
              <w:rPr/>
              <w:t xml:space="preserve">  </w:t>
            </w:r>
          </w:p>
        </w:tc>
        <w:tc>
          <w:tcPr>
            <w:tcW w:w="436" w:type="dxa"/>
            <w:tcBorders/>
            <w:shd w:fill="CCEEFF" w:val="clear"/>
            <w:vAlign w:val="center"/>
          </w:tcPr>
          <w:p>
            <w:pPr>
              <w:pStyle w:val="TableContents"/>
              <w:spacing w:before="0" w:after="0"/>
              <w:ind w:left="0" w:right="0" w:hanging="0"/>
              <w:rPr/>
            </w:pPr>
            <w:r>
              <w:rPr/>
              <w:t xml:space="preserve">  </w:t>
            </w:r>
          </w:p>
        </w:tc>
        <w:tc>
          <w:tcPr>
            <w:tcW w:w="1512" w:type="dxa"/>
            <w:tcBorders/>
            <w:shd w:fill="CCEEFF" w:val="clear"/>
            <w:vAlign w:val="center"/>
          </w:tcPr>
          <w:p>
            <w:pPr>
              <w:pStyle w:val="TableContents"/>
              <w:spacing w:before="0" w:after="0"/>
              <w:ind w:left="0" w:right="0" w:hanging="0"/>
              <w:rPr/>
            </w:pPr>
            <w:r>
              <w:rPr/>
              <w:t xml:space="preserve">  </w:t>
            </w:r>
          </w:p>
        </w:tc>
        <w:tc>
          <w:tcPr>
            <w:tcW w:w="307" w:type="dxa"/>
            <w:tcBorders/>
            <w:shd w:fill="CCEEFF" w:val="clear"/>
            <w:vAlign w:val="center"/>
          </w:tcPr>
          <w:p>
            <w:pPr>
              <w:pStyle w:val="TableContents"/>
              <w:spacing w:before="0" w:after="0"/>
              <w:ind w:left="0" w:right="0" w:hanging="0"/>
              <w:rPr/>
            </w:pPr>
            <w:r>
              <w:rPr/>
              <w:t xml:space="preserve">  </w:t>
            </w:r>
          </w:p>
        </w:tc>
        <w:tc>
          <w:tcPr>
            <w:tcW w:w="308" w:type="dxa"/>
            <w:tcBorders/>
            <w:shd w:fill="CCEEFF" w:val="clear"/>
            <w:vAlign w:val="center"/>
          </w:tcPr>
          <w:p>
            <w:pPr>
              <w:pStyle w:val="TableContents"/>
              <w:spacing w:before="0" w:after="0"/>
              <w:ind w:left="0" w:right="0" w:hanging="0"/>
              <w:rPr/>
            </w:pPr>
            <w:r>
              <w:rPr/>
              <w:t xml:space="preserve">  </w:t>
            </w:r>
          </w:p>
        </w:tc>
        <w:tc>
          <w:tcPr>
            <w:tcW w:w="435" w:type="dxa"/>
            <w:tcBorders/>
            <w:shd w:fill="CCEEFF" w:val="clear"/>
            <w:vAlign w:val="center"/>
          </w:tcPr>
          <w:p>
            <w:pPr>
              <w:pStyle w:val="TableContents"/>
              <w:spacing w:before="0" w:after="0"/>
              <w:ind w:left="0" w:right="0" w:hanging="0"/>
              <w:rPr/>
            </w:pPr>
            <w:r>
              <w:rPr/>
              <w:t xml:space="preserve">  </w:t>
            </w:r>
          </w:p>
        </w:tc>
        <w:tc>
          <w:tcPr>
            <w:tcW w:w="1628" w:type="dxa"/>
            <w:tcBorders/>
            <w:shd w:fill="CCEEFF" w:val="clear"/>
            <w:vAlign w:val="center"/>
          </w:tcPr>
          <w:p>
            <w:pPr>
              <w:pStyle w:val="TableContents"/>
              <w:spacing w:before="0" w:after="0"/>
              <w:ind w:left="0" w:right="0" w:hanging="0"/>
              <w:rPr/>
            </w:pPr>
            <w:r>
              <w:rPr/>
              <w:t xml:space="preserve">  </w:t>
            </w:r>
          </w:p>
        </w:tc>
        <w:tc>
          <w:tcPr>
            <w:tcW w:w="346" w:type="dxa"/>
            <w:tcBorders/>
            <w:shd w:fill="CCEEFF" w:val="clear"/>
            <w:vAlign w:val="center"/>
          </w:tcPr>
          <w:p>
            <w:pPr>
              <w:pStyle w:val="TableContents"/>
              <w:spacing w:before="0" w:after="0"/>
              <w:ind w:left="0" w:right="0" w:hanging="0"/>
              <w:rPr/>
            </w:pPr>
            <w:r>
              <w:rPr/>
              <w:t xml:space="preserve">  </w:t>
            </w:r>
          </w:p>
        </w:tc>
      </w:tr>
      <w:tr>
        <w:trPr/>
        <w:tc>
          <w:tcPr>
            <w:tcW w:w="3395"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Raw materials </w:t>
            </w:r>
          </w:p>
        </w:tc>
        <w:tc>
          <w:tcPr>
            <w:tcW w:w="307" w:type="dxa"/>
            <w:tcBorders/>
            <w:shd w:fill="auto" w:val="clear"/>
            <w:vAlign w:val="center"/>
          </w:tcPr>
          <w:p>
            <w:pPr>
              <w:pStyle w:val="TableContents"/>
              <w:spacing w:before="0" w:after="0"/>
              <w:ind w:left="0" w:right="0" w:hanging="0"/>
              <w:rPr/>
            </w:pPr>
            <w:r>
              <w:rPr/>
              <w:t xml:space="preserve">  </w:t>
            </w:r>
          </w:p>
        </w:tc>
        <w:tc>
          <w:tcPr>
            <w:tcW w:w="4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51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1,182 </w:t>
            </w:r>
          </w:p>
        </w:tc>
        <w:tc>
          <w:tcPr>
            <w:tcW w:w="307" w:type="dxa"/>
            <w:tcBorders/>
            <w:shd w:fill="auto" w:val="clear"/>
            <w:vAlign w:val="center"/>
          </w:tcPr>
          <w:p>
            <w:pPr>
              <w:pStyle w:val="TableContents"/>
              <w:spacing w:before="0" w:after="0"/>
              <w:ind w:left="0" w:right="0" w:hanging="0"/>
              <w:rPr/>
            </w:pPr>
            <w:r>
              <w:rPr/>
              <w:t xml:space="preserve">  </w:t>
            </w:r>
          </w:p>
        </w:tc>
        <w:tc>
          <w:tcPr>
            <w:tcW w:w="308" w:type="dxa"/>
            <w:tcBorders/>
            <w:shd w:fill="auto" w:val="clear"/>
            <w:vAlign w:val="center"/>
          </w:tcPr>
          <w:p>
            <w:pPr>
              <w:pStyle w:val="TableContents"/>
              <w:spacing w:before="0" w:after="0"/>
              <w:ind w:left="0" w:right="0" w:hanging="0"/>
              <w:rPr/>
            </w:pPr>
            <w:r>
              <w:rPr/>
              <w:t xml:space="preserve">  </w:t>
            </w:r>
          </w:p>
        </w:tc>
        <w:tc>
          <w:tcPr>
            <w:tcW w:w="4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2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847 </w:t>
            </w:r>
          </w:p>
        </w:tc>
        <w:tc>
          <w:tcPr>
            <w:tcW w:w="346" w:type="dxa"/>
            <w:tcBorders/>
            <w:shd w:fill="auto" w:val="clear"/>
            <w:vAlign w:val="center"/>
          </w:tcPr>
          <w:p>
            <w:pPr>
              <w:pStyle w:val="TableContents"/>
              <w:spacing w:before="0" w:after="0"/>
              <w:ind w:left="0" w:right="0" w:hanging="0"/>
              <w:rPr/>
            </w:pPr>
            <w:r>
              <w:rPr/>
              <w:t xml:space="preserve">  </w:t>
            </w:r>
          </w:p>
        </w:tc>
      </w:tr>
      <w:tr>
        <w:trPr/>
        <w:tc>
          <w:tcPr>
            <w:tcW w:w="3395" w:type="dxa"/>
            <w:tcBorders/>
            <w:shd w:fill="CCEEFF"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Finished goods </w:t>
            </w:r>
          </w:p>
        </w:tc>
        <w:tc>
          <w:tcPr>
            <w:tcW w:w="307" w:type="dxa"/>
            <w:tcBorders/>
            <w:shd w:fill="CCEEFF" w:val="clear"/>
            <w:vAlign w:val="center"/>
          </w:tcPr>
          <w:p>
            <w:pPr>
              <w:pStyle w:val="TableContents"/>
              <w:spacing w:before="0" w:after="0"/>
              <w:ind w:left="0" w:right="0" w:hanging="0"/>
              <w:rPr/>
            </w:pPr>
            <w:r>
              <w:rPr/>
              <w:t xml:space="preserve">  </w:t>
            </w:r>
          </w:p>
        </w:tc>
        <w:tc>
          <w:tcPr>
            <w:tcW w:w="43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512"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9,281 </w:t>
            </w:r>
          </w:p>
        </w:tc>
        <w:tc>
          <w:tcPr>
            <w:tcW w:w="307" w:type="dxa"/>
            <w:tcBorders/>
            <w:shd w:fill="CCEEFF" w:val="clear"/>
            <w:vAlign w:val="center"/>
          </w:tcPr>
          <w:p>
            <w:pPr>
              <w:pStyle w:val="TableContents"/>
              <w:spacing w:before="0" w:after="0"/>
              <w:ind w:left="0" w:right="0" w:hanging="0"/>
              <w:rPr/>
            </w:pPr>
            <w:r>
              <w:rPr/>
              <w:t xml:space="preserve">  </w:t>
            </w:r>
          </w:p>
        </w:tc>
        <w:tc>
          <w:tcPr>
            <w:tcW w:w="308" w:type="dxa"/>
            <w:tcBorders/>
            <w:shd w:fill="CCEEFF" w:val="clear"/>
            <w:vAlign w:val="center"/>
          </w:tcPr>
          <w:p>
            <w:pPr>
              <w:pStyle w:val="TableContents"/>
              <w:spacing w:before="0" w:after="0"/>
              <w:ind w:left="0" w:right="0" w:hanging="0"/>
              <w:rPr/>
            </w:pPr>
            <w:r>
              <w:rPr/>
              <w:t xml:space="preserve">  </w:t>
            </w:r>
          </w:p>
        </w:tc>
        <w:tc>
          <w:tcPr>
            <w:tcW w:w="43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628"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10,594 </w:t>
            </w:r>
          </w:p>
        </w:tc>
        <w:tc>
          <w:tcPr>
            <w:tcW w:w="346" w:type="dxa"/>
            <w:tcBorders/>
            <w:shd w:fill="CCEEFF" w:val="clear"/>
            <w:vAlign w:val="center"/>
          </w:tcPr>
          <w:p>
            <w:pPr>
              <w:pStyle w:val="TableContents"/>
              <w:spacing w:before="0" w:after="0"/>
              <w:ind w:left="0" w:right="0" w:hanging="0"/>
              <w:rPr/>
            </w:pPr>
            <w:r>
              <w:rPr/>
              <w:t xml:space="preserve">  </w:t>
            </w:r>
          </w:p>
        </w:tc>
      </w:tr>
      <w:tr>
        <w:trPr/>
        <w:tc>
          <w:tcPr>
            <w:tcW w:w="3395"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Total </w:t>
            </w:r>
          </w:p>
        </w:tc>
        <w:tc>
          <w:tcPr>
            <w:tcW w:w="307" w:type="dxa"/>
            <w:tcBorders/>
            <w:shd w:fill="auto" w:val="clear"/>
            <w:vAlign w:val="center"/>
          </w:tcPr>
          <w:p>
            <w:pPr>
              <w:pStyle w:val="TableContents"/>
              <w:spacing w:before="0" w:after="0"/>
              <w:ind w:left="0" w:right="0" w:hanging="0"/>
              <w:rPr/>
            </w:pPr>
            <w:r>
              <w:rPr/>
              <w:t xml:space="preserve">  </w:t>
            </w:r>
          </w:p>
        </w:tc>
        <w:tc>
          <w:tcPr>
            <w:tcW w:w="43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51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10,463</w:t>
            </w:r>
          </w:p>
        </w:tc>
        <w:tc>
          <w:tcPr>
            <w:tcW w:w="307" w:type="dxa"/>
            <w:tcBorders/>
            <w:shd w:fill="auto" w:val="clear"/>
            <w:vAlign w:val="center"/>
          </w:tcPr>
          <w:p>
            <w:pPr>
              <w:pStyle w:val="TableContents"/>
              <w:spacing w:before="0" w:after="0"/>
              <w:ind w:left="0" w:right="0" w:hanging="0"/>
              <w:rPr/>
            </w:pPr>
            <w:r>
              <w:rPr/>
              <w:t xml:space="preserve">  </w:t>
            </w:r>
          </w:p>
        </w:tc>
        <w:tc>
          <w:tcPr>
            <w:tcW w:w="308" w:type="dxa"/>
            <w:tcBorders/>
            <w:shd w:fill="auto" w:val="clear"/>
            <w:vAlign w:val="center"/>
          </w:tcPr>
          <w:p>
            <w:pPr>
              <w:pStyle w:val="TableContents"/>
              <w:spacing w:before="0" w:after="0"/>
              <w:ind w:left="0" w:right="0" w:hanging="0"/>
              <w:rPr/>
            </w:pPr>
            <w:r>
              <w:rPr/>
              <w:t xml:space="preserve">  </w:t>
            </w:r>
          </w:p>
        </w:tc>
        <w:tc>
          <w:tcPr>
            <w:tcW w:w="4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2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11,441 </w:t>
            </w:r>
          </w:p>
        </w:tc>
        <w:tc>
          <w:tcPr>
            <w:tcW w:w="346" w:type="dxa"/>
            <w:tcBorders/>
            <w:shd w:fill="auto" w:val="clear"/>
            <w:vAlign w:val="center"/>
          </w:tcPr>
          <w:p>
            <w:pPr>
              <w:pStyle w:val="TableContents"/>
              <w:spacing w:before="0" w:after="0"/>
              <w:ind w:left="0" w:right="0" w:hanging="0"/>
              <w:rPr/>
            </w:pPr>
            <w:r>
              <w:rPr/>
              <w:t xml:space="preserve">  </w:t>
            </w:r>
          </w:p>
        </w:tc>
      </w:tr>
      <w:tr>
        <w:trPr/>
        <w:tc>
          <w:tcPr>
            <w:tcW w:w="33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Long-term: </w:t>
            </w:r>
          </w:p>
        </w:tc>
        <w:tc>
          <w:tcPr>
            <w:tcW w:w="307" w:type="dxa"/>
            <w:tcBorders/>
            <w:shd w:fill="CCEEFF" w:val="clear"/>
            <w:vAlign w:val="center"/>
          </w:tcPr>
          <w:p>
            <w:pPr>
              <w:pStyle w:val="TableContents"/>
              <w:spacing w:before="0" w:after="0"/>
              <w:ind w:left="0" w:right="0" w:hanging="0"/>
              <w:rPr/>
            </w:pPr>
            <w:r>
              <w:rPr/>
              <w:t xml:space="preserve">  </w:t>
            </w:r>
          </w:p>
        </w:tc>
        <w:tc>
          <w:tcPr>
            <w:tcW w:w="436" w:type="dxa"/>
            <w:tcBorders/>
            <w:shd w:fill="CCEEFF" w:val="clear"/>
            <w:vAlign w:val="center"/>
          </w:tcPr>
          <w:p>
            <w:pPr>
              <w:pStyle w:val="TableContents"/>
              <w:spacing w:before="0" w:after="0"/>
              <w:ind w:left="0" w:right="0" w:hanging="0"/>
              <w:rPr/>
            </w:pPr>
            <w:r>
              <w:rPr/>
              <w:t xml:space="preserve">  </w:t>
            </w:r>
          </w:p>
        </w:tc>
        <w:tc>
          <w:tcPr>
            <w:tcW w:w="1512" w:type="dxa"/>
            <w:tcBorders/>
            <w:shd w:fill="CCEEFF" w:val="clear"/>
            <w:vAlign w:val="center"/>
          </w:tcPr>
          <w:p>
            <w:pPr>
              <w:pStyle w:val="TableContents"/>
              <w:spacing w:before="0" w:after="0"/>
              <w:ind w:left="0" w:right="0" w:hanging="0"/>
              <w:rPr/>
            </w:pPr>
            <w:r>
              <w:rPr/>
              <w:t xml:space="preserve">  </w:t>
            </w:r>
          </w:p>
        </w:tc>
        <w:tc>
          <w:tcPr>
            <w:tcW w:w="307" w:type="dxa"/>
            <w:tcBorders/>
            <w:shd w:fill="CCEEFF" w:val="clear"/>
            <w:vAlign w:val="center"/>
          </w:tcPr>
          <w:p>
            <w:pPr>
              <w:pStyle w:val="TableContents"/>
              <w:spacing w:before="0" w:after="0"/>
              <w:ind w:left="0" w:right="0" w:hanging="0"/>
              <w:rPr/>
            </w:pPr>
            <w:r>
              <w:rPr/>
              <w:t xml:space="preserve">  </w:t>
            </w:r>
          </w:p>
        </w:tc>
        <w:tc>
          <w:tcPr>
            <w:tcW w:w="308" w:type="dxa"/>
            <w:tcBorders/>
            <w:shd w:fill="CCEEFF" w:val="clear"/>
            <w:vAlign w:val="center"/>
          </w:tcPr>
          <w:p>
            <w:pPr>
              <w:pStyle w:val="TableContents"/>
              <w:spacing w:before="0" w:after="0"/>
              <w:ind w:left="0" w:right="0" w:hanging="0"/>
              <w:rPr/>
            </w:pPr>
            <w:r>
              <w:rPr/>
              <w:t xml:space="preserve">  </w:t>
            </w:r>
          </w:p>
        </w:tc>
        <w:tc>
          <w:tcPr>
            <w:tcW w:w="435" w:type="dxa"/>
            <w:tcBorders/>
            <w:shd w:fill="CCEEFF" w:val="clear"/>
            <w:vAlign w:val="center"/>
          </w:tcPr>
          <w:p>
            <w:pPr>
              <w:pStyle w:val="TableContents"/>
              <w:spacing w:before="0" w:after="0"/>
              <w:ind w:left="0" w:right="0" w:hanging="0"/>
              <w:rPr/>
            </w:pPr>
            <w:r>
              <w:rPr/>
              <w:t xml:space="preserve">  </w:t>
            </w:r>
          </w:p>
        </w:tc>
        <w:tc>
          <w:tcPr>
            <w:tcW w:w="1628" w:type="dxa"/>
            <w:tcBorders/>
            <w:shd w:fill="CCEEFF" w:val="clear"/>
            <w:vAlign w:val="center"/>
          </w:tcPr>
          <w:p>
            <w:pPr>
              <w:pStyle w:val="TableContents"/>
              <w:spacing w:before="0" w:after="0"/>
              <w:ind w:left="0" w:right="0" w:hanging="0"/>
              <w:rPr/>
            </w:pPr>
            <w:r>
              <w:rPr/>
              <w:t xml:space="preserve">  </w:t>
            </w:r>
          </w:p>
        </w:tc>
        <w:tc>
          <w:tcPr>
            <w:tcW w:w="346" w:type="dxa"/>
            <w:tcBorders/>
            <w:shd w:fill="CCEEFF" w:val="clear"/>
            <w:vAlign w:val="center"/>
          </w:tcPr>
          <w:p>
            <w:pPr>
              <w:pStyle w:val="TableContents"/>
              <w:spacing w:before="0" w:after="0"/>
              <w:ind w:left="0" w:right="0" w:hanging="0"/>
              <w:rPr/>
            </w:pPr>
            <w:r>
              <w:rPr/>
              <w:t xml:space="preserve">  </w:t>
            </w:r>
          </w:p>
        </w:tc>
      </w:tr>
      <w:tr>
        <w:trPr/>
        <w:tc>
          <w:tcPr>
            <w:tcW w:w="3395"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Raw materials </w:t>
            </w:r>
          </w:p>
        </w:tc>
        <w:tc>
          <w:tcPr>
            <w:tcW w:w="307" w:type="dxa"/>
            <w:tcBorders/>
            <w:shd w:fill="auto" w:val="clear"/>
            <w:vAlign w:val="center"/>
          </w:tcPr>
          <w:p>
            <w:pPr>
              <w:pStyle w:val="TableContents"/>
              <w:spacing w:before="0" w:after="0"/>
              <w:ind w:left="0" w:right="0" w:hanging="0"/>
              <w:rPr/>
            </w:pPr>
            <w:r>
              <w:rPr/>
              <w:t xml:space="preserve">  </w:t>
            </w:r>
          </w:p>
        </w:tc>
        <w:tc>
          <w:tcPr>
            <w:tcW w:w="4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51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1,977 </w:t>
            </w:r>
          </w:p>
        </w:tc>
        <w:tc>
          <w:tcPr>
            <w:tcW w:w="307" w:type="dxa"/>
            <w:tcBorders/>
            <w:shd w:fill="auto" w:val="clear"/>
            <w:vAlign w:val="center"/>
          </w:tcPr>
          <w:p>
            <w:pPr>
              <w:pStyle w:val="TableContents"/>
              <w:spacing w:before="0" w:after="0"/>
              <w:ind w:left="0" w:right="0" w:hanging="0"/>
              <w:rPr/>
            </w:pPr>
            <w:r>
              <w:rPr/>
              <w:t xml:space="preserve">  </w:t>
            </w:r>
          </w:p>
        </w:tc>
        <w:tc>
          <w:tcPr>
            <w:tcW w:w="308" w:type="dxa"/>
            <w:tcBorders/>
            <w:shd w:fill="auto" w:val="clear"/>
            <w:vAlign w:val="center"/>
          </w:tcPr>
          <w:p>
            <w:pPr>
              <w:pStyle w:val="TableContents"/>
              <w:spacing w:before="0" w:after="0"/>
              <w:ind w:left="0" w:right="0" w:hanging="0"/>
              <w:rPr/>
            </w:pPr>
            <w:r>
              <w:rPr/>
              <w:t xml:space="preserve">  </w:t>
            </w:r>
          </w:p>
        </w:tc>
        <w:tc>
          <w:tcPr>
            <w:tcW w:w="4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2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1,915 </w:t>
            </w:r>
          </w:p>
        </w:tc>
        <w:tc>
          <w:tcPr>
            <w:tcW w:w="346" w:type="dxa"/>
            <w:tcBorders/>
            <w:shd w:fill="auto" w:val="clear"/>
            <w:vAlign w:val="center"/>
          </w:tcPr>
          <w:p>
            <w:pPr>
              <w:pStyle w:val="TableContents"/>
              <w:spacing w:before="0" w:after="0"/>
              <w:ind w:left="0" w:right="0" w:hanging="0"/>
              <w:rPr/>
            </w:pPr>
            <w:r>
              <w:rPr/>
              <w:t xml:space="preserve">  </w:t>
            </w:r>
          </w:p>
        </w:tc>
      </w:tr>
      <w:tr>
        <w:trPr/>
        <w:tc>
          <w:tcPr>
            <w:tcW w:w="3395" w:type="dxa"/>
            <w:tcBorders/>
            <w:shd w:fill="CCEEFF"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Finished goods </w:t>
            </w:r>
          </w:p>
        </w:tc>
        <w:tc>
          <w:tcPr>
            <w:tcW w:w="307" w:type="dxa"/>
            <w:tcBorders/>
            <w:shd w:fill="CCEEFF" w:val="clear"/>
            <w:vAlign w:val="center"/>
          </w:tcPr>
          <w:p>
            <w:pPr>
              <w:pStyle w:val="TableContents"/>
              <w:spacing w:before="0" w:after="0"/>
              <w:ind w:left="0" w:right="0" w:hanging="0"/>
              <w:rPr/>
            </w:pPr>
            <w:r>
              <w:rPr/>
              <w:t xml:space="preserve">  </w:t>
            </w:r>
          </w:p>
        </w:tc>
        <w:tc>
          <w:tcPr>
            <w:tcW w:w="43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512"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2,613 </w:t>
            </w:r>
          </w:p>
        </w:tc>
        <w:tc>
          <w:tcPr>
            <w:tcW w:w="307" w:type="dxa"/>
            <w:tcBorders/>
            <w:shd w:fill="CCEEFF" w:val="clear"/>
            <w:vAlign w:val="center"/>
          </w:tcPr>
          <w:p>
            <w:pPr>
              <w:pStyle w:val="TableContents"/>
              <w:spacing w:before="0" w:after="0"/>
              <w:ind w:left="0" w:right="0" w:hanging="0"/>
              <w:rPr/>
            </w:pPr>
            <w:r>
              <w:rPr/>
              <w:t xml:space="preserve">  </w:t>
            </w:r>
          </w:p>
        </w:tc>
        <w:tc>
          <w:tcPr>
            <w:tcW w:w="308" w:type="dxa"/>
            <w:tcBorders/>
            <w:shd w:fill="CCEEFF" w:val="clear"/>
            <w:vAlign w:val="center"/>
          </w:tcPr>
          <w:p>
            <w:pPr>
              <w:pStyle w:val="TableContents"/>
              <w:spacing w:before="0" w:after="0"/>
              <w:ind w:left="0" w:right="0" w:hanging="0"/>
              <w:rPr/>
            </w:pPr>
            <w:r>
              <w:rPr/>
              <w:t xml:space="preserve">  </w:t>
            </w:r>
          </w:p>
        </w:tc>
        <w:tc>
          <w:tcPr>
            <w:tcW w:w="43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628"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4,369 </w:t>
            </w:r>
          </w:p>
        </w:tc>
        <w:tc>
          <w:tcPr>
            <w:tcW w:w="346" w:type="dxa"/>
            <w:tcBorders/>
            <w:shd w:fill="CCEEFF" w:val="clear"/>
            <w:vAlign w:val="center"/>
          </w:tcPr>
          <w:p>
            <w:pPr>
              <w:pStyle w:val="TableContents"/>
              <w:spacing w:before="0" w:after="0"/>
              <w:ind w:left="0" w:right="0" w:hanging="0"/>
              <w:rPr/>
            </w:pPr>
            <w:r>
              <w:rPr/>
              <w:t xml:space="preserve">  </w:t>
            </w:r>
          </w:p>
        </w:tc>
      </w:tr>
      <w:tr>
        <w:trPr/>
        <w:tc>
          <w:tcPr>
            <w:tcW w:w="3395"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Total </w:t>
            </w:r>
          </w:p>
        </w:tc>
        <w:tc>
          <w:tcPr>
            <w:tcW w:w="307" w:type="dxa"/>
            <w:tcBorders/>
            <w:shd w:fill="auto" w:val="clear"/>
            <w:vAlign w:val="center"/>
          </w:tcPr>
          <w:p>
            <w:pPr>
              <w:pStyle w:val="TableContents"/>
              <w:spacing w:before="0" w:after="0"/>
              <w:ind w:left="0" w:right="0" w:hanging="0"/>
              <w:rPr/>
            </w:pPr>
            <w:r>
              <w:rPr/>
              <w:t xml:space="preserve">  </w:t>
            </w:r>
          </w:p>
        </w:tc>
        <w:tc>
          <w:tcPr>
            <w:tcW w:w="43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51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4,590 </w:t>
            </w:r>
          </w:p>
        </w:tc>
        <w:tc>
          <w:tcPr>
            <w:tcW w:w="307" w:type="dxa"/>
            <w:tcBorders/>
            <w:shd w:fill="auto" w:val="clear"/>
            <w:vAlign w:val="center"/>
          </w:tcPr>
          <w:p>
            <w:pPr>
              <w:pStyle w:val="TableContents"/>
              <w:spacing w:before="0" w:after="0"/>
              <w:ind w:left="0" w:right="0" w:hanging="0"/>
              <w:rPr/>
            </w:pPr>
            <w:r>
              <w:rPr/>
              <w:t xml:space="preserve">  </w:t>
            </w:r>
          </w:p>
        </w:tc>
        <w:tc>
          <w:tcPr>
            <w:tcW w:w="308" w:type="dxa"/>
            <w:tcBorders/>
            <w:shd w:fill="auto" w:val="clear"/>
            <w:vAlign w:val="center"/>
          </w:tcPr>
          <w:p>
            <w:pPr>
              <w:pStyle w:val="TableContents"/>
              <w:spacing w:before="0" w:after="0"/>
              <w:ind w:left="0" w:right="0" w:hanging="0"/>
              <w:rPr/>
            </w:pPr>
            <w:r>
              <w:rPr/>
              <w:t xml:space="preserve">  </w:t>
            </w:r>
          </w:p>
        </w:tc>
        <w:tc>
          <w:tcPr>
            <w:tcW w:w="4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2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6,284 </w:t>
            </w:r>
          </w:p>
        </w:tc>
        <w:tc>
          <w:tcPr>
            <w:tcW w:w="346" w:type="dxa"/>
            <w:tcBorders/>
            <w:shd w:fill="auto" w:val="clear"/>
            <w:vAlign w:val="center"/>
          </w:tcPr>
          <w:p>
            <w:pPr>
              <w:pStyle w:val="TableContents"/>
              <w:spacing w:before="0" w:after="0"/>
              <w:ind w:left="0" w:right="0" w:hanging="0"/>
              <w:rPr/>
            </w:pPr>
            <w:r>
              <w:rPr/>
              <w:t xml:space="preserve">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losses incurred on valuation of inventory at the lower of cost or market value and write-off of obsolete inventory amounted to $1,517</w:t>
      </w:r>
      <w:r>
        <w:rPr>
          <w:rFonts w:ascii="times new roman;times" w:hAnsi="times new roman;times"/>
          <w:sz w:val="20"/>
        </w:rPr>
        <w:t xml:space="preserve"> </w:t>
      </w:r>
      <w:r>
        <w:rPr>
          <w:rFonts w:ascii="Times New Roman" w:hAnsi="Times New Roman"/>
          <w:sz w:val="20"/>
        </w:rPr>
        <w:t>and $891</w:t>
      </w:r>
      <w:r>
        <w:rPr>
          <w:rFonts w:ascii="times new roman;times" w:hAnsi="times new roman;times"/>
          <w:sz w:val="20"/>
        </w:rPr>
        <w:t xml:space="preserve"> </w:t>
      </w:r>
      <w:r>
        <w:rPr>
          <w:rFonts w:ascii="Times New Roman" w:hAnsi="Times New Roman"/>
          <w:sz w:val="20"/>
        </w:rPr>
        <w:t>during the years ended December 31, 2020 and 2019, respectively.</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5. Property and Equipment</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Major classifications of property and equipment and estimated useful lives were as follows:</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4480"/>
        <w:gridCol w:w="147"/>
        <w:gridCol w:w="287"/>
        <w:gridCol w:w="408"/>
        <w:gridCol w:w="659"/>
        <w:gridCol w:w="767"/>
        <w:gridCol w:w="147"/>
        <w:gridCol w:w="208"/>
        <w:gridCol w:w="669"/>
        <w:gridCol w:w="221"/>
        <w:gridCol w:w="147"/>
        <w:gridCol w:w="209"/>
        <w:gridCol w:w="669"/>
        <w:gridCol w:w="166"/>
      </w:tblGrid>
      <w:tr>
        <w:trPr/>
        <w:tc>
          <w:tcPr>
            <w:tcW w:w="4480" w:type="dxa"/>
            <w:tcBorders/>
            <w:shd w:fill="auto" w:val="clear"/>
            <w:vAlign w:val="center"/>
          </w:tcPr>
          <w:p>
            <w:pPr>
              <w:pStyle w:val="TableContents"/>
              <w:spacing w:before="0" w:after="0"/>
              <w:ind w:left="0" w:right="0" w:hanging="0"/>
              <w:rPr/>
            </w:pPr>
            <w:r>
              <w:rPr/>
              <w:t xml:space="preserve">  </w:t>
            </w:r>
          </w:p>
        </w:tc>
        <w:tc>
          <w:tcPr>
            <w:tcW w:w="147" w:type="dxa"/>
            <w:tcBorders/>
            <w:shd w:fill="auto" w:val="clear"/>
            <w:vAlign w:val="center"/>
          </w:tcPr>
          <w:p>
            <w:pPr>
              <w:pStyle w:val="TableContents"/>
              <w:spacing w:before="0" w:after="0"/>
              <w:ind w:left="0" w:right="0" w:hanging="0"/>
              <w:rPr/>
            </w:pPr>
            <w:r>
              <w:rPr/>
              <w:t xml:space="preserve">  </w:t>
            </w:r>
          </w:p>
        </w:tc>
        <w:tc>
          <w:tcPr>
            <w:tcW w:w="2121" w:type="dxa"/>
            <w:gridSpan w:val="4"/>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Estimated useful lives </w:t>
            </w:r>
          </w:p>
        </w:tc>
        <w:tc>
          <w:tcPr>
            <w:tcW w:w="147" w:type="dxa"/>
            <w:tcBorders/>
            <w:shd w:fill="auto" w:val="clear"/>
            <w:vAlign w:val="center"/>
          </w:tcPr>
          <w:p>
            <w:pPr>
              <w:pStyle w:val="TableContents"/>
              <w:spacing w:before="0" w:after="0"/>
              <w:ind w:left="0" w:right="0" w:hanging="0"/>
              <w:rPr/>
            </w:pPr>
            <w:r>
              <w:rPr/>
              <w:t xml:space="preserve">  </w:t>
            </w:r>
          </w:p>
        </w:tc>
        <w:tc>
          <w:tcPr>
            <w:tcW w:w="2123"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166" w:type="dxa"/>
            <w:tcBorders/>
            <w:shd w:fill="auto" w:val="clear"/>
            <w:vAlign w:val="center"/>
          </w:tcPr>
          <w:p>
            <w:pPr>
              <w:pStyle w:val="TableContents"/>
              <w:spacing w:before="0" w:after="0"/>
              <w:ind w:left="0" w:right="0" w:hanging="0"/>
              <w:rPr/>
            </w:pPr>
            <w:r>
              <w:rPr/>
              <w:t xml:space="preserve">  </w:t>
            </w:r>
          </w:p>
        </w:tc>
      </w:tr>
      <w:tr>
        <w:trPr/>
        <w:tc>
          <w:tcPr>
            <w:tcW w:w="4480" w:type="dxa"/>
            <w:tcBorders/>
            <w:shd w:fill="auto" w:val="clear"/>
            <w:vAlign w:val="center"/>
          </w:tcPr>
          <w:p>
            <w:pPr>
              <w:pStyle w:val="TableContents"/>
              <w:spacing w:before="0" w:after="0"/>
              <w:ind w:left="0" w:right="0" w:hanging="0"/>
              <w:rPr/>
            </w:pPr>
            <w:r>
              <w:rPr/>
              <w:t xml:space="preserve">  </w:t>
            </w:r>
          </w:p>
        </w:tc>
        <w:tc>
          <w:tcPr>
            <w:tcW w:w="147" w:type="dxa"/>
            <w:tcBorders/>
            <w:shd w:fill="auto" w:val="clear"/>
            <w:vAlign w:val="center"/>
          </w:tcPr>
          <w:p>
            <w:pPr>
              <w:pStyle w:val="TableContents"/>
              <w:spacing w:before="0" w:after="0"/>
              <w:ind w:left="0" w:right="0" w:hanging="0"/>
              <w:rPr/>
            </w:pPr>
            <w:r>
              <w:rPr/>
              <w:t xml:space="preserve">  </w:t>
            </w:r>
          </w:p>
        </w:tc>
        <w:tc>
          <w:tcPr>
            <w:tcW w:w="2121" w:type="dxa"/>
            <w:gridSpan w:val="4"/>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in years </w:t>
            </w:r>
          </w:p>
        </w:tc>
        <w:tc>
          <w:tcPr>
            <w:tcW w:w="147" w:type="dxa"/>
            <w:tcBorders/>
            <w:shd w:fill="auto" w:val="clear"/>
            <w:vAlign w:val="center"/>
          </w:tcPr>
          <w:p>
            <w:pPr>
              <w:pStyle w:val="TableContents"/>
              <w:spacing w:before="0" w:after="0"/>
              <w:ind w:left="0" w:right="0" w:hanging="0"/>
              <w:rPr/>
            </w:pPr>
            <w:r>
              <w:rPr/>
              <w:t xml:space="preserve">  </w:t>
            </w:r>
          </w:p>
        </w:tc>
        <w:tc>
          <w:tcPr>
            <w:tcW w:w="87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221" w:type="dxa"/>
            <w:tcBorders/>
            <w:shd w:fill="auto" w:val="clear"/>
            <w:vAlign w:val="center"/>
          </w:tcPr>
          <w:p>
            <w:pPr>
              <w:pStyle w:val="TableContents"/>
              <w:spacing w:before="0" w:after="0"/>
              <w:ind w:left="0" w:right="0" w:hanging="0"/>
              <w:rPr/>
            </w:pPr>
            <w:r>
              <w:rPr/>
              <w:t xml:space="preserve">  </w:t>
            </w:r>
          </w:p>
        </w:tc>
        <w:tc>
          <w:tcPr>
            <w:tcW w:w="147" w:type="dxa"/>
            <w:tcBorders/>
            <w:shd w:fill="auto" w:val="clear"/>
            <w:vAlign w:val="center"/>
          </w:tcPr>
          <w:p>
            <w:pPr>
              <w:pStyle w:val="TableContents"/>
              <w:spacing w:before="0" w:after="0"/>
              <w:ind w:left="0" w:right="0" w:hanging="0"/>
              <w:rPr/>
            </w:pPr>
            <w:r>
              <w:rPr/>
              <w:t xml:space="preserve">  </w:t>
            </w:r>
          </w:p>
        </w:tc>
        <w:tc>
          <w:tcPr>
            <w:tcW w:w="87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166" w:type="dxa"/>
            <w:tcBorders/>
            <w:shd w:fill="auto" w:val="clear"/>
            <w:vAlign w:val="center"/>
          </w:tcPr>
          <w:p>
            <w:pPr>
              <w:pStyle w:val="TableContents"/>
              <w:spacing w:before="0" w:after="0"/>
              <w:ind w:left="0" w:right="0" w:hanging="0"/>
              <w:rPr/>
            </w:pPr>
            <w:r>
              <w:rPr/>
              <w:t xml:space="preserve">  </w:t>
            </w:r>
          </w:p>
        </w:tc>
      </w:tr>
      <w:tr>
        <w:trPr/>
        <w:tc>
          <w:tcPr>
            <w:tcW w:w="44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Office furniture and equipment </w:t>
            </w:r>
          </w:p>
        </w:tc>
        <w:tc>
          <w:tcPr>
            <w:tcW w:w="147" w:type="dxa"/>
            <w:tcBorders/>
            <w:shd w:fill="CCEEFF" w:val="clear"/>
            <w:vAlign w:val="center"/>
          </w:tcPr>
          <w:p>
            <w:pPr>
              <w:pStyle w:val="TableContents"/>
              <w:spacing w:before="0" w:after="0"/>
              <w:ind w:left="0" w:right="0" w:hanging="0"/>
              <w:rPr/>
            </w:pPr>
            <w:r>
              <w:rPr/>
              <w:t xml:space="preserve">  </w:t>
            </w:r>
          </w:p>
        </w:tc>
        <w:tc>
          <w:tcPr>
            <w:tcW w:w="287" w:type="dxa"/>
            <w:tcBorders/>
            <w:shd w:fill="CCEEFF" w:val="clear"/>
            <w:vAlign w:val="center"/>
          </w:tcPr>
          <w:p>
            <w:pPr>
              <w:pStyle w:val="TableContents"/>
              <w:spacing w:before="0" w:after="0"/>
              <w:ind w:left="0" w:right="0" w:hanging="0"/>
              <w:rPr/>
            </w:pPr>
            <w:r>
              <w:rPr/>
              <w:t xml:space="preserve">  </w:t>
            </w:r>
          </w:p>
        </w:tc>
        <w:tc>
          <w:tcPr>
            <w:tcW w:w="40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 </w:t>
            </w:r>
          </w:p>
        </w:tc>
        <w:tc>
          <w:tcPr>
            <w:tcW w:w="659"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6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10  </w:t>
            </w:r>
          </w:p>
        </w:tc>
        <w:tc>
          <w:tcPr>
            <w:tcW w:w="147" w:type="dxa"/>
            <w:tcBorders/>
            <w:shd w:fill="CCEEFF" w:val="clear"/>
            <w:vAlign w:val="center"/>
          </w:tcPr>
          <w:p>
            <w:pPr>
              <w:pStyle w:val="TableContents"/>
              <w:spacing w:before="0" w:after="0"/>
              <w:ind w:left="0" w:right="0" w:hanging="0"/>
              <w:rPr/>
            </w:pPr>
            <w:r>
              <w:rPr/>
              <w:t xml:space="preserve">  </w:t>
            </w:r>
          </w:p>
        </w:tc>
        <w:tc>
          <w:tcPr>
            <w:tcW w:w="20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6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5,219 </w:t>
            </w:r>
          </w:p>
        </w:tc>
        <w:tc>
          <w:tcPr>
            <w:tcW w:w="221" w:type="dxa"/>
            <w:tcBorders/>
            <w:shd w:fill="CCEEFF" w:val="clear"/>
            <w:vAlign w:val="center"/>
          </w:tcPr>
          <w:p>
            <w:pPr>
              <w:pStyle w:val="TableContents"/>
              <w:spacing w:before="0" w:after="0"/>
              <w:ind w:left="0" w:right="0" w:hanging="0"/>
              <w:rPr/>
            </w:pPr>
            <w:r>
              <w:rPr/>
              <w:t xml:space="preserve">  </w:t>
            </w:r>
          </w:p>
        </w:tc>
        <w:tc>
          <w:tcPr>
            <w:tcW w:w="147" w:type="dxa"/>
            <w:tcBorders/>
            <w:shd w:fill="CCEEFF" w:val="clear"/>
            <w:vAlign w:val="center"/>
          </w:tcPr>
          <w:p>
            <w:pPr>
              <w:pStyle w:val="TableContents"/>
              <w:spacing w:before="0" w:after="0"/>
              <w:ind w:left="0" w:right="0" w:hanging="0"/>
              <w:rPr/>
            </w:pPr>
            <w:r>
              <w:rPr/>
              <w:t xml:space="preserve">  </w:t>
            </w:r>
          </w:p>
        </w:tc>
        <w:tc>
          <w:tcPr>
            <w:tcW w:w="20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6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4,979 </w:t>
            </w:r>
          </w:p>
        </w:tc>
        <w:tc>
          <w:tcPr>
            <w:tcW w:w="166" w:type="dxa"/>
            <w:tcBorders/>
            <w:shd w:fill="CCEEFF" w:val="clear"/>
            <w:vAlign w:val="center"/>
          </w:tcPr>
          <w:p>
            <w:pPr>
              <w:pStyle w:val="TableContents"/>
              <w:spacing w:before="0" w:after="0"/>
              <w:ind w:left="0" w:right="0" w:hanging="0"/>
              <w:rPr/>
            </w:pPr>
            <w:r>
              <w:rPr/>
              <w:t xml:space="preserve">  </w:t>
            </w:r>
          </w:p>
        </w:tc>
      </w:tr>
      <w:tr>
        <w:trPr/>
        <w:tc>
          <w:tcPr>
            <w:tcW w:w="448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Leasehold improvements </w:t>
            </w:r>
          </w:p>
        </w:tc>
        <w:tc>
          <w:tcPr>
            <w:tcW w:w="147" w:type="dxa"/>
            <w:tcBorders/>
            <w:shd w:fill="auto" w:val="clear"/>
            <w:vAlign w:val="center"/>
          </w:tcPr>
          <w:p>
            <w:pPr>
              <w:pStyle w:val="TableContents"/>
              <w:spacing w:before="0" w:after="0"/>
              <w:ind w:left="0" w:right="0" w:hanging="0"/>
              <w:rPr/>
            </w:pPr>
            <w:r>
              <w:rPr/>
              <w:t xml:space="preserve">  </w:t>
            </w:r>
          </w:p>
        </w:tc>
        <w:tc>
          <w:tcPr>
            <w:tcW w:w="287" w:type="dxa"/>
            <w:tcBorders/>
            <w:shd w:fill="auto" w:val="clear"/>
            <w:vAlign w:val="center"/>
          </w:tcPr>
          <w:p>
            <w:pPr>
              <w:pStyle w:val="TableContents"/>
              <w:spacing w:before="0" w:after="0"/>
              <w:ind w:left="0" w:right="0" w:hanging="0"/>
              <w:rPr/>
            </w:pPr>
            <w:r>
              <w:rPr/>
              <w:t xml:space="preserve">  </w:t>
            </w:r>
          </w:p>
        </w:tc>
        <w:tc>
          <w:tcPr>
            <w:tcW w:w="40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 </w:t>
            </w:r>
          </w:p>
        </w:tc>
        <w:tc>
          <w:tcPr>
            <w:tcW w:w="659"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6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10  </w:t>
            </w:r>
          </w:p>
        </w:tc>
        <w:tc>
          <w:tcPr>
            <w:tcW w:w="147" w:type="dxa"/>
            <w:tcBorders/>
            <w:shd w:fill="auto" w:val="clear"/>
            <w:vAlign w:val="center"/>
          </w:tcPr>
          <w:p>
            <w:pPr>
              <w:pStyle w:val="TableContents"/>
              <w:spacing w:before="0" w:after="0"/>
              <w:ind w:left="0" w:right="0" w:hanging="0"/>
              <w:rPr/>
            </w:pPr>
            <w:r>
              <w:rPr/>
              <w:t xml:space="preserve">  </w:t>
            </w:r>
          </w:p>
        </w:tc>
        <w:tc>
          <w:tcPr>
            <w:tcW w:w="208" w:type="dxa"/>
            <w:tcBorders/>
            <w:shd w:fill="auto" w:val="clear"/>
            <w:vAlign w:val="center"/>
          </w:tcPr>
          <w:p>
            <w:pPr>
              <w:pStyle w:val="TableContents"/>
              <w:spacing w:before="0" w:after="0"/>
              <w:ind w:left="0" w:right="0" w:hanging="0"/>
              <w:rPr/>
            </w:pPr>
            <w:r>
              <w:rPr/>
              <w:t xml:space="preserve">  </w:t>
            </w:r>
          </w:p>
        </w:tc>
        <w:tc>
          <w:tcPr>
            <w:tcW w:w="66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1,610 </w:t>
            </w:r>
          </w:p>
        </w:tc>
        <w:tc>
          <w:tcPr>
            <w:tcW w:w="221" w:type="dxa"/>
            <w:tcBorders/>
            <w:shd w:fill="auto" w:val="clear"/>
            <w:vAlign w:val="center"/>
          </w:tcPr>
          <w:p>
            <w:pPr>
              <w:pStyle w:val="TableContents"/>
              <w:spacing w:before="0" w:after="0"/>
              <w:ind w:left="0" w:right="0" w:hanging="0"/>
              <w:rPr/>
            </w:pPr>
            <w:r>
              <w:rPr/>
              <w:t xml:space="preserve">  </w:t>
            </w:r>
          </w:p>
        </w:tc>
        <w:tc>
          <w:tcPr>
            <w:tcW w:w="147" w:type="dxa"/>
            <w:tcBorders/>
            <w:shd w:fill="auto" w:val="clear"/>
            <w:vAlign w:val="center"/>
          </w:tcPr>
          <w:p>
            <w:pPr>
              <w:pStyle w:val="TableContents"/>
              <w:spacing w:before="0" w:after="0"/>
              <w:ind w:left="0" w:right="0" w:hanging="0"/>
              <w:rPr/>
            </w:pPr>
            <w:r>
              <w:rPr/>
              <w:t xml:space="preserve">  </w:t>
            </w:r>
          </w:p>
        </w:tc>
        <w:tc>
          <w:tcPr>
            <w:tcW w:w="209" w:type="dxa"/>
            <w:tcBorders/>
            <w:shd w:fill="auto" w:val="clear"/>
            <w:vAlign w:val="center"/>
          </w:tcPr>
          <w:p>
            <w:pPr>
              <w:pStyle w:val="TableContents"/>
              <w:spacing w:before="0" w:after="0"/>
              <w:ind w:left="0" w:right="0" w:hanging="0"/>
              <w:rPr/>
            </w:pPr>
            <w:r>
              <w:rPr/>
              <w:t xml:space="preserve">  </w:t>
            </w:r>
          </w:p>
        </w:tc>
        <w:tc>
          <w:tcPr>
            <w:tcW w:w="66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1,609 </w:t>
            </w:r>
          </w:p>
        </w:tc>
        <w:tc>
          <w:tcPr>
            <w:tcW w:w="166" w:type="dxa"/>
            <w:tcBorders/>
            <w:shd w:fill="auto" w:val="clear"/>
            <w:vAlign w:val="center"/>
          </w:tcPr>
          <w:p>
            <w:pPr>
              <w:pStyle w:val="TableContents"/>
              <w:spacing w:before="0" w:after="0"/>
              <w:ind w:left="0" w:right="0" w:hanging="0"/>
              <w:rPr/>
            </w:pPr>
            <w:r>
              <w:rPr/>
              <w:t xml:space="preserve">  </w:t>
            </w:r>
          </w:p>
        </w:tc>
      </w:tr>
      <w:tr>
        <w:trPr/>
        <w:tc>
          <w:tcPr>
            <w:tcW w:w="44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Vehicles </w:t>
            </w:r>
          </w:p>
        </w:tc>
        <w:tc>
          <w:tcPr>
            <w:tcW w:w="147" w:type="dxa"/>
            <w:tcBorders/>
            <w:shd w:fill="CCEEFF" w:val="clear"/>
            <w:vAlign w:val="center"/>
          </w:tcPr>
          <w:p>
            <w:pPr>
              <w:pStyle w:val="TableContents"/>
              <w:spacing w:before="0" w:after="0"/>
              <w:ind w:left="0" w:right="0" w:hanging="0"/>
              <w:rPr/>
            </w:pPr>
            <w:r>
              <w:rPr/>
              <w:t xml:space="preserve">  </w:t>
            </w:r>
          </w:p>
        </w:tc>
        <w:tc>
          <w:tcPr>
            <w:tcW w:w="287" w:type="dxa"/>
            <w:tcBorders/>
            <w:shd w:fill="CCEEFF" w:val="clear"/>
            <w:vAlign w:val="center"/>
          </w:tcPr>
          <w:p>
            <w:pPr>
              <w:pStyle w:val="TableContents"/>
              <w:spacing w:before="0" w:after="0"/>
              <w:ind w:left="0" w:right="0" w:hanging="0"/>
              <w:rPr/>
            </w:pPr>
            <w:r>
              <w:rPr/>
              <w:t xml:space="preserve">  </w:t>
            </w:r>
          </w:p>
        </w:tc>
        <w:tc>
          <w:tcPr>
            <w:tcW w:w="40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 </w:t>
            </w:r>
          </w:p>
        </w:tc>
        <w:tc>
          <w:tcPr>
            <w:tcW w:w="659"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6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10  </w:t>
            </w:r>
          </w:p>
        </w:tc>
        <w:tc>
          <w:tcPr>
            <w:tcW w:w="147" w:type="dxa"/>
            <w:tcBorders/>
            <w:shd w:fill="CCEEFF" w:val="clear"/>
            <w:vAlign w:val="center"/>
          </w:tcPr>
          <w:p>
            <w:pPr>
              <w:pStyle w:val="TableContents"/>
              <w:spacing w:before="0" w:after="0"/>
              <w:ind w:left="0" w:right="0" w:hanging="0"/>
              <w:rPr/>
            </w:pPr>
            <w:r>
              <w:rPr/>
              <w:t xml:space="preserve">  </w:t>
            </w:r>
          </w:p>
        </w:tc>
        <w:tc>
          <w:tcPr>
            <w:tcW w:w="208" w:type="dxa"/>
            <w:tcBorders/>
            <w:shd w:fill="CCEEFF" w:val="clear"/>
            <w:vAlign w:val="center"/>
          </w:tcPr>
          <w:p>
            <w:pPr>
              <w:pStyle w:val="TableContents"/>
              <w:spacing w:before="0" w:after="0"/>
              <w:ind w:left="0" w:right="0" w:hanging="0"/>
              <w:rPr/>
            </w:pPr>
            <w:r>
              <w:rPr/>
              <w:t xml:space="preserve">  </w:t>
            </w:r>
          </w:p>
        </w:tc>
        <w:tc>
          <w:tcPr>
            <w:tcW w:w="66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206 </w:t>
            </w:r>
          </w:p>
        </w:tc>
        <w:tc>
          <w:tcPr>
            <w:tcW w:w="221" w:type="dxa"/>
            <w:tcBorders/>
            <w:shd w:fill="CCEEFF" w:val="clear"/>
            <w:vAlign w:val="center"/>
          </w:tcPr>
          <w:p>
            <w:pPr>
              <w:pStyle w:val="TableContents"/>
              <w:spacing w:before="0" w:after="0"/>
              <w:ind w:left="0" w:right="0" w:hanging="0"/>
              <w:rPr/>
            </w:pPr>
            <w:r>
              <w:rPr/>
              <w:t xml:space="preserve">   </w:t>
            </w:r>
          </w:p>
        </w:tc>
        <w:tc>
          <w:tcPr>
            <w:tcW w:w="147" w:type="dxa"/>
            <w:tcBorders/>
            <w:shd w:fill="CCEEFF" w:val="clear"/>
            <w:vAlign w:val="center"/>
          </w:tcPr>
          <w:p>
            <w:pPr>
              <w:pStyle w:val="TableContents"/>
              <w:spacing w:before="0" w:after="0"/>
              <w:ind w:left="0" w:right="0" w:hanging="0"/>
              <w:rPr/>
            </w:pPr>
            <w:r>
              <w:rPr/>
              <w:t xml:space="preserve">  </w:t>
            </w:r>
          </w:p>
        </w:tc>
        <w:tc>
          <w:tcPr>
            <w:tcW w:w="209" w:type="dxa"/>
            <w:tcBorders/>
            <w:shd w:fill="CCEEFF" w:val="clear"/>
            <w:vAlign w:val="center"/>
          </w:tcPr>
          <w:p>
            <w:pPr>
              <w:pStyle w:val="TableContents"/>
              <w:spacing w:before="0" w:after="0"/>
              <w:ind w:left="0" w:right="0" w:hanging="0"/>
              <w:rPr/>
            </w:pPr>
            <w:r>
              <w:rPr/>
              <w:t xml:space="preserve">  </w:t>
            </w:r>
          </w:p>
        </w:tc>
        <w:tc>
          <w:tcPr>
            <w:tcW w:w="66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206 </w:t>
            </w:r>
          </w:p>
        </w:tc>
        <w:tc>
          <w:tcPr>
            <w:tcW w:w="166" w:type="dxa"/>
            <w:tcBorders/>
            <w:shd w:fill="CCEEFF" w:val="clear"/>
            <w:vAlign w:val="center"/>
          </w:tcPr>
          <w:p>
            <w:pPr>
              <w:pStyle w:val="TableContents"/>
              <w:spacing w:before="0" w:after="0"/>
              <w:ind w:left="0" w:right="0" w:hanging="0"/>
              <w:rPr/>
            </w:pPr>
            <w:r>
              <w:rPr/>
              <w:t xml:space="preserve">  </w:t>
            </w:r>
          </w:p>
        </w:tc>
      </w:tr>
      <w:tr>
        <w:trPr/>
        <w:tc>
          <w:tcPr>
            <w:tcW w:w="448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Manufacturing and test equipment </w:t>
            </w:r>
          </w:p>
        </w:tc>
        <w:tc>
          <w:tcPr>
            <w:tcW w:w="147" w:type="dxa"/>
            <w:tcBorders/>
            <w:shd w:fill="auto" w:val="clear"/>
            <w:vAlign w:val="center"/>
          </w:tcPr>
          <w:p>
            <w:pPr>
              <w:pStyle w:val="TableContents"/>
              <w:spacing w:before="0" w:after="0"/>
              <w:ind w:left="0" w:right="0" w:hanging="0"/>
              <w:rPr/>
            </w:pPr>
            <w:r>
              <w:rPr/>
              <w:t xml:space="preserve">  </w:t>
            </w:r>
          </w:p>
        </w:tc>
        <w:tc>
          <w:tcPr>
            <w:tcW w:w="287" w:type="dxa"/>
            <w:tcBorders/>
            <w:shd w:fill="auto" w:val="clear"/>
            <w:vAlign w:val="center"/>
          </w:tcPr>
          <w:p>
            <w:pPr>
              <w:pStyle w:val="TableContents"/>
              <w:spacing w:before="0" w:after="0"/>
              <w:ind w:left="0" w:right="0" w:hanging="0"/>
              <w:rPr/>
            </w:pPr>
            <w:r>
              <w:rPr/>
              <w:t xml:space="preserve">  </w:t>
            </w:r>
          </w:p>
        </w:tc>
        <w:tc>
          <w:tcPr>
            <w:tcW w:w="40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 </w:t>
            </w:r>
          </w:p>
        </w:tc>
        <w:tc>
          <w:tcPr>
            <w:tcW w:w="659"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6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10  </w:t>
            </w:r>
          </w:p>
        </w:tc>
        <w:tc>
          <w:tcPr>
            <w:tcW w:w="147" w:type="dxa"/>
            <w:tcBorders/>
            <w:shd w:fill="auto" w:val="clear"/>
            <w:vAlign w:val="center"/>
          </w:tcPr>
          <w:p>
            <w:pPr>
              <w:pStyle w:val="TableContents"/>
              <w:spacing w:before="0" w:after="0"/>
              <w:ind w:left="0" w:right="0" w:hanging="0"/>
              <w:rPr/>
            </w:pPr>
            <w:r>
              <w:rPr/>
              <w:t xml:space="preserve">  </w:t>
            </w:r>
          </w:p>
        </w:tc>
        <w:tc>
          <w:tcPr>
            <w:tcW w:w="20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669"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2,833 </w:t>
            </w:r>
          </w:p>
        </w:tc>
        <w:tc>
          <w:tcPr>
            <w:tcW w:w="221" w:type="dxa"/>
            <w:tcBorders/>
            <w:shd w:fill="auto" w:val="clear"/>
            <w:vAlign w:val="center"/>
          </w:tcPr>
          <w:p>
            <w:pPr>
              <w:pStyle w:val="TableContents"/>
              <w:spacing w:before="0" w:after="0"/>
              <w:ind w:left="0" w:right="0" w:hanging="0"/>
              <w:rPr/>
            </w:pPr>
            <w:r>
              <w:rPr/>
              <w:t xml:space="preserve">  </w:t>
            </w:r>
          </w:p>
        </w:tc>
        <w:tc>
          <w:tcPr>
            <w:tcW w:w="147" w:type="dxa"/>
            <w:tcBorders/>
            <w:shd w:fill="auto" w:val="clear"/>
            <w:vAlign w:val="center"/>
          </w:tcPr>
          <w:p>
            <w:pPr>
              <w:pStyle w:val="TableContents"/>
              <w:spacing w:before="0" w:after="0"/>
              <w:ind w:left="0" w:right="0" w:hanging="0"/>
              <w:rPr/>
            </w:pPr>
            <w:r>
              <w:rPr/>
              <w:t xml:space="preserve">  </w:t>
            </w:r>
          </w:p>
        </w:tc>
        <w:tc>
          <w:tcPr>
            <w:tcW w:w="20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669"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2,779 </w:t>
            </w:r>
          </w:p>
        </w:tc>
        <w:tc>
          <w:tcPr>
            <w:tcW w:w="166" w:type="dxa"/>
            <w:tcBorders/>
            <w:shd w:fill="auto" w:val="clear"/>
            <w:vAlign w:val="center"/>
          </w:tcPr>
          <w:p>
            <w:pPr>
              <w:pStyle w:val="TableContents"/>
              <w:spacing w:before="0" w:after="0"/>
              <w:ind w:left="0" w:right="0" w:hanging="0"/>
              <w:rPr/>
            </w:pPr>
            <w:r>
              <w:rPr/>
              <w:t xml:space="preserve">  </w:t>
            </w:r>
          </w:p>
        </w:tc>
      </w:tr>
      <w:tr>
        <w:trPr/>
        <w:tc>
          <w:tcPr>
            <w:tcW w:w="4480" w:type="dxa"/>
            <w:tcBorders/>
            <w:shd w:fill="CCEEFF" w:val="clear"/>
            <w:vAlign w:val="center"/>
          </w:tcPr>
          <w:p>
            <w:pPr>
              <w:pStyle w:val="TableContents"/>
              <w:spacing w:before="0" w:after="0"/>
              <w:ind w:left="0" w:right="0" w:hanging="0"/>
              <w:rPr/>
            </w:pPr>
            <w:r>
              <w:rPr/>
              <w:t xml:space="preserve">  </w:t>
            </w:r>
          </w:p>
        </w:tc>
        <w:tc>
          <w:tcPr>
            <w:tcW w:w="147" w:type="dxa"/>
            <w:tcBorders/>
            <w:shd w:fill="CCEEFF" w:val="clear"/>
            <w:vAlign w:val="center"/>
          </w:tcPr>
          <w:p>
            <w:pPr>
              <w:pStyle w:val="TableContents"/>
              <w:spacing w:before="0" w:after="0"/>
              <w:ind w:left="0" w:right="0" w:hanging="0"/>
              <w:rPr/>
            </w:pPr>
            <w:r>
              <w:rPr/>
              <w:t xml:space="preserve">  </w:t>
            </w:r>
          </w:p>
        </w:tc>
        <w:tc>
          <w:tcPr>
            <w:tcW w:w="287" w:type="dxa"/>
            <w:tcBorders/>
            <w:shd w:fill="CCEEFF" w:val="clear"/>
            <w:vAlign w:val="center"/>
          </w:tcPr>
          <w:p>
            <w:pPr>
              <w:pStyle w:val="TableContents"/>
              <w:spacing w:before="0" w:after="0"/>
              <w:ind w:left="0" w:right="0" w:hanging="0"/>
              <w:rPr/>
            </w:pPr>
            <w:r>
              <w:rPr/>
              <w:t xml:space="preserve">  </w:t>
            </w:r>
          </w:p>
        </w:tc>
        <w:tc>
          <w:tcPr>
            <w:tcW w:w="408" w:type="dxa"/>
            <w:tcBorders/>
            <w:shd w:fill="CCEEFF" w:val="clear"/>
            <w:vAlign w:val="center"/>
          </w:tcPr>
          <w:p>
            <w:pPr>
              <w:pStyle w:val="TableContents"/>
              <w:spacing w:before="0" w:after="0"/>
              <w:ind w:left="0" w:right="0" w:hanging="0"/>
              <w:jc w:val="right"/>
              <w:rPr/>
            </w:pPr>
            <w:r>
              <w:rPr/>
              <w:t xml:space="preserve">  </w:t>
            </w:r>
          </w:p>
        </w:tc>
        <w:tc>
          <w:tcPr>
            <w:tcW w:w="659" w:type="dxa"/>
            <w:tcBorders/>
            <w:shd w:fill="CCEEFF" w:val="clear"/>
            <w:vAlign w:val="center"/>
          </w:tcPr>
          <w:p>
            <w:pPr>
              <w:pStyle w:val="TableContents"/>
              <w:spacing w:before="0" w:after="0"/>
              <w:ind w:left="0" w:right="0" w:hanging="0"/>
              <w:rPr/>
            </w:pPr>
            <w:r>
              <w:rPr/>
              <w:t xml:space="preserve">  </w:t>
            </w:r>
          </w:p>
        </w:tc>
        <w:tc>
          <w:tcPr>
            <w:tcW w:w="767" w:type="dxa"/>
            <w:tcBorders/>
            <w:shd w:fill="CCEEFF" w:val="clear"/>
            <w:vAlign w:val="center"/>
          </w:tcPr>
          <w:p>
            <w:pPr>
              <w:pStyle w:val="TableContents"/>
              <w:spacing w:before="0" w:after="0"/>
              <w:ind w:left="0" w:right="0" w:hanging="0"/>
              <w:rPr/>
            </w:pPr>
            <w:r>
              <w:rPr/>
              <w:t xml:space="preserve">  </w:t>
            </w:r>
          </w:p>
        </w:tc>
        <w:tc>
          <w:tcPr>
            <w:tcW w:w="147" w:type="dxa"/>
            <w:tcBorders/>
            <w:shd w:fill="CCEEFF" w:val="clear"/>
            <w:vAlign w:val="center"/>
          </w:tcPr>
          <w:p>
            <w:pPr>
              <w:pStyle w:val="TableContents"/>
              <w:spacing w:before="0" w:after="0"/>
              <w:ind w:left="0" w:right="0" w:hanging="0"/>
              <w:rPr/>
            </w:pPr>
            <w:r>
              <w:rPr/>
              <w:t xml:space="preserve">  </w:t>
            </w:r>
          </w:p>
        </w:tc>
        <w:tc>
          <w:tcPr>
            <w:tcW w:w="208" w:type="dxa"/>
            <w:tcBorders/>
            <w:shd w:fill="CCEEFF" w:val="clear"/>
            <w:vAlign w:val="center"/>
          </w:tcPr>
          <w:p>
            <w:pPr>
              <w:pStyle w:val="TableContents"/>
              <w:spacing w:before="0" w:after="0"/>
              <w:ind w:left="0" w:right="0" w:hanging="0"/>
              <w:rPr/>
            </w:pPr>
            <w:r>
              <w:rPr/>
              <w:t xml:space="preserve">  </w:t>
            </w:r>
          </w:p>
        </w:tc>
        <w:tc>
          <w:tcPr>
            <w:tcW w:w="66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9,868 </w:t>
            </w:r>
          </w:p>
        </w:tc>
        <w:tc>
          <w:tcPr>
            <w:tcW w:w="221" w:type="dxa"/>
            <w:tcBorders/>
            <w:shd w:fill="CCEEFF" w:val="clear"/>
            <w:vAlign w:val="center"/>
          </w:tcPr>
          <w:p>
            <w:pPr>
              <w:pStyle w:val="TableContents"/>
              <w:spacing w:before="0" w:after="0"/>
              <w:ind w:left="0" w:right="0" w:hanging="0"/>
              <w:rPr/>
            </w:pPr>
            <w:r>
              <w:rPr/>
              <w:t xml:space="preserve">  </w:t>
            </w:r>
          </w:p>
        </w:tc>
        <w:tc>
          <w:tcPr>
            <w:tcW w:w="147" w:type="dxa"/>
            <w:tcBorders/>
            <w:shd w:fill="CCEEFF" w:val="clear"/>
            <w:vAlign w:val="center"/>
          </w:tcPr>
          <w:p>
            <w:pPr>
              <w:pStyle w:val="TableContents"/>
              <w:spacing w:before="0" w:after="0"/>
              <w:ind w:left="0" w:right="0" w:hanging="0"/>
              <w:rPr/>
            </w:pPr>
            <w:r>
              <w:rPr/>
              <w:t xml:space="preserve">  </w:t>
            </w:r>
          </w:p>
        </w:tc>
        <w:tc>
          <w:tcPr>
            <w:tcW w:w="209" w:type="dxa"/>
            <w:tcBorders/>
            <w:shd w:fill="CCEEFF" w:val="clear"/>
            <w:vAlign w:val="center"/>
          </w:tcPr>
          <w:p>
            <w:pPr>
              <w:pStyle w:val="TableContents"/>
              <w:spacing w:before="0" w:after="0"/>
              <w:ind w:left="0" w:right="0" w:hanging="0"/>
              <w:rPr/>
            </w:pPr>
            <w:r>
              <w:rPr/>
              <w:t xml:space="preserve">  </w:t>
            </w:r>
          </w:p>
        </w:tc>
        <w:tc>
          <w:tcPr>
            <w:tcW w:w="66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9,573 </w:t>
            </w:r>
          </w:p>
        </w:tc>
        <w:tc>
          <w:tcPr>
            <w:tcW w:w="166" w:type="dxa"/>
            <w:tcBorders/>
            <w:shd w:fill="CCEEFF" w:val="clear"/>
            <w:vAlign w:val="center"/>
          </w:tcPr>
          <w:p>
            <w:pPr>
              <w:pStyle w:val="TableContents"/>
              <w:spacing w:before="0" w:after="0"/>
              <w:ind w:left="0" w:right="0" w:hanging="0"/>
              <w:rPr/>
            </w:pPr>
            <w:r>
              <w:rPr/>
              <w:t xml:space="preserve">  </w:t>
            </w:r>
          </w:p>
        </w:tc>
      </w:tr>
      <w:tr>
        <w:trPr/>
        <w:tc>
          <w:tcPr>
            <w:tcW w:w="448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Accumulated depreciation and amortization </w:t>
            </w:r>
          </w:p>
        </w:tc>
        <w:tc>
          <w:tcPr>
            <w:tcW w:w="147" w:type="dxa"/>
            <w:tcBorders/>
            <w:shd w:fill="auto" w:val="clear"/>
            <w:vAlign w:val="center"/>
          </w:tcPr>
          <w:p>
            <w:pPr>
              <w:pStyle w:val="TableContents"/>
              <w:spacing w:before="0" w:after="0"/>
              <w:ind w:left="0" w:right="0" w:hanging="0"/>
              <w:rPr/>
            </w:pPr>
            <w:r>
              <w:rPr/>
              <w:t xml:space="preserve">  </w:t>
            </w:r>
          </w:p>
        </w:tc>
        <w:tc>
          <w:tcPr>
            <w:tcW w:w="287" w:type="dxa"/>
            <w:tcBorders/>
            <w:shd w:fill="auto" w:val="clear"/>
            <w:vAlign w:val="center"/>
          </w:tcPr>
          <w:p>
            <w:pPr>
              <w:pStyle w:val="TableContents"/>
              <w:spacing w:before="0" w:after="0"/>
              <w:ind w:left="0" w:right="0" w:hanging="0"/>
              <w:rPr/>
            </w:pPr>
            <w:r>
              <w:rPr/>
              <w:t xml:space="preserve">  </w:t>
            </w:r>
          </w:p>
        </w:tc>
        <w:tc>
          <w:tcPr>
            <w:tcW w:w="408" w:type="dxa"/>
            <w:tcBorders/>
            <w:shd w:fill="auto" w:val="clear"/>
            <w:vAlign w:val="center"/>
          </w:tcPr>
          <w:p>
            <w:pPr>
              <w:pStyle w:val="TableContents"/>
              <w:spacing w:before="0" w:after="0"/>
              <w:ind w:left="0" w:right="0" w:hanging="0"/>
              <w:jc w:val="right"/>
              <w:rPr/>
            </w:pPr>
            <w:r>
              <w:rPr/>
              <w:t xml:space="preserve">  </w:t>
            </w:r>
          </w:p>
        </w:tc>
        <w:tc>
          <w:tcPr>
            <w:tcW w:w="659" w:type="dxa"/>
            <w:tcBorders/>
            <w:shd w:fill="auto" w:val="clear"/>
            <w:vAlign w:val="center"/>
          </w:tcPr>
          <w:p>
            <w:pPr>
              <w:pStyle w:val="TableContents"/>
              <w:spacing w:before="0" w:after="0"/>
              <w:ind w:left="0" w:right="0" w:hanging="0"/>
              <w:rPr/>
            </w:pPr>
            <w:r>
              <w:rPr/>
              <w:t xml:space="preserve">  </w:t>
            </w:r>
          </w:p>
        </w:tc>
        <w:tc>
          <w:tcPr>
            <w:tcW w:w="767" w:type="dxa"/>
            <w:tcBorders/>
            <w:shd w:fill="auto" w:val="clear"/>
            <w:vAlign w:val="center"/>
          </w:tcPr>
          <w:p>
            <w:pPr>
              <w:pStyle w:val="TableContents"/>
              <w:spacing w:before="0" w:after="0"/>
              <w:ind w:left="0" w:right="0" w:hanging="0"/>
              <w:rPr/>
            </w:pPr>
            <w:r>
              <w:rPr/>
              <w:t xml:space="preserve">  </w:t>
            </w:r>
          </w:p>
        </w:tc>
        <w:tc>
          <w:tcPr>
            <w:tcW w:w="147" w:type="dxa"/>
            <w:tcBorders/>
            <w:shd w:fill="auto" w:val="clear"/>
            <w:vAlign w:val="center"/>
          </w:tcPr>
          <w:p>
            <w:pPr>
              <w:pStyle w:val="TableContents"/>
              <w:spacing w:before="0" w:after="0"/>
              <w:ind w:left="0" w:right="0" w:hanging="0"/>
              <w:rPr/>
            </w:pPr>
            <w:r>
              <w:rPr/>
              <w:t xml:space="preserve">  </w:t>
            </w:r>
          </w:p>
        </w:tc>
        <w:tc>
          <w:tcPr>
            <w:tcW w:w="20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669"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(8,962</w:t>
            </w:r>
          </w:p>
        </w:tc>
        <w:tc>
          <w:tcPr>
            <w:tcW w:w="221" w:type="dxa"/>
            <w:tcBorders/>
            <w:shd w:fill="auto" w:val="clear"/>
            <w:vAlign w:val="center"/>
          </w:tcPr>
          <w:p>
            <w:pPr>
              <w:pStyle w:val="TableContents"/>
              <w:spacing w:before="0" w:after="283"/>
              <w:rPr/>
            </w:pPr>
            <w:r>
              <w:rPr/>
              <w:t>)</w:t>
            </w:r>
          </w:p>
        </w:tc>
        <w:tc>
          <w:tcPr>
            <w:tcW w:w="147" w:type="dxa"/>
            <w:tcBorders/>
            <w:shd w:fill="auto" w:val="clear"/>
            <w:vAlign w:val="center"/>
          </w:tcPr>
          <w:p>
            <w:pPr>
              <w:pStyle w:val="TableContents"/>
              <w:spacing w:before="0" w:after="0"/>
              <w:ind w:left="0" w:right="0" w:hanging="0"/>
              <w:rPr/>
            </w:pPr>
            <w:r>
              <w:rPr/>
              <w:t xml:space="preserve">  </w:t>
            </w:r>
          </w:p>
        </w:tc>
        <w:tc>
          <w:tcPr>
            <w:tcW w:w="20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669"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(8,529</w:t>
            </w:r>
          </w:p>
        </w:tc>
        <w:tc>
          <w:tcPr>
            <w:tcW w:w="166" w:type="dxa"/>
            <w:tcBorders/>
            <w:shd w:fill="auto" w:val="clear"/>
            <w:vAlign w:val="center"/>
          </w:tcPr>
          <w:p>
            <w:pPr>
              <w:pStyle w:val="TableContents"/>
              <w:spacing w:before="0" w:after="283"/>
              <w:rPr/>
            </w:pPr>
            <w:r>
              <w:rPr/>
              <w:t>)</w:t>
            </w:r>
          </w:p>
        </w:tc>
      </w:tr>
      <w:tr>
        <w:trPr/>
        <w:tc>
          <w:tcPr>
            <w:tcW w:w="44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Property and equipment, net </w:t>
            </w:r>
          </w:p>
        </w:tc>
        <w:tc>
          <w:tcPr>
            <w:tcW w:w="147" w:type="dxa"/>
            <w:tcBorders/>
            <w:shd w:fill="CCEEFF" w:val="clear"/>
            <w:vAlign w:val="center"/>
          </w:tcPr>
          <w:p>
            <w:pPr>
              <w:pStyle w:val="TableContents"/>
              <w:spacing w:before="0" w:after="0"/>
              <w:ind w:left="0" w:right="0" w:hanging="0"/>
              <w:rPr/>
            </w:pPr>
            <w:r>
              <w:rPr/>
              <w:t xml:space="preserve">  </w:t>
            </w:r>
          </w:p>
        </w:tc>
        <w:tc>
          <w:tcPr>
            <w:tcW w:w="287" w:type="dxa"/>
            <w:tcBorders/>
            <w:shd w:fill="CCEEFF" w:val="clear"/>
            <w:vAlign w:val="center"/>
          </w:tcPr>
          <w:p>
            <w:pPr>
              <w:pStyle w:val="TableContents"/>
              <w:spacing w:before="0" w:after="0"/>
              <w:ind w:left="0" w:right="0" w:hanging="0"/>
              <w:rPr/>
            </w:pPr>
            <w:r>
              <w:rPr/>
              <w:t xml:space="preserve">  </w:t>
            </w:r>
          </w:p>
        </w:tc>
        <w:tc>
          <w:tcPr>
            <w:tcW w:w="408" w:type="dxa"/>
            <w:tcBorders/>
            <w:shd w:fill="CCEEFF" w:val="clear"/>
            <w:vAlign w:val="center"/>
          </w:tcPr>
          <w:p>
            <w:pPr>
              <w:pStyle w:val="TableContents"/>
              <w:spacing w:before="0" w:after="0"/>
              <w:ind w:left="0" w:right="0" w:hanging="0"/>
              <w:jc w:val="right"/>
              <w:rPr/>
            </w:pPr>
            <w:r>
              <w:rPr/>
              <w:t xml:space="preserve">  </w:t>
            </w:r>
          </w:p>
        </w:tc>
        <w:tc>
          <w:tcPr>
            <w:tcW w:w="659" w:type="dxa"/>
            <w:tcBorders/>
            <w:shd w:fill="CCEEFF" w:val="clear"/>
            <w:vAlign w:val="center"/>
          </w:tcPr>
          <w:p>
            <w:pPr>
              <w:pStyle w:val="TableContents"/>
              <w:spacing w:before="0" w:after="0"/>
              <w:ind w:left="0" w:right="0" w:hanging="0"/>
              <w:rPr/>
            </w:pPr>
            <w:r>
              <w:rPr/>
              <w:t xml:space="preserve">  </w:t>
            </w:r>
          </w:p>
        </w:tc>
        <w:tc>
          <w:tcPr>
            <w:tcW w:w="767" w:type="dxa"/>
            <w:tcBorders/>
            <w:shd w:fill="CCEEFF" w:val="clear"/>
            <w:vAlign w:val="center"/>
          </w:tcPr>
          <w:p>
            <w:pPr>
              <w:pStyle w:val="TableContents"/>
              <w:spacing w:before="0" w:after="0"/>
              <w:ind w:left="0" w:right="0" w:hanging="0"/>
              <w:rPr/>
            </w:pPr>
            <w:r>
              <w:rPr/>
              <w:t xml:space="preserve">  </w:t>
            </w:r>
          </w:p>
        </w:tc>
        <w:tc>
          <w:tcPr>
            <w:tcW w:w="147" w:type="dxa"/>
            <w:tcBorders/>
            <w:shd w:fill="CCEEFF" w:val="clear"/>
            <w:vAlign w:val="center"/>
          </w:tcPr>
          <w:p>
            <w:pPr>
              <w:pStyle w:val="TableContents"/>
              <w:spacing w:before="0" w:after="0"/>
              <w:ind w:left="0" w:right="0" w:hanging="0"/>
              <w:rPr/>
            </w:pPr>
            <w:r>
              <w:rPr/>
              <w:t xml:space="preserve">  </w:t>
            </w:r>
          </w:p>
        </w:tc>
        <w:tc>
          <w:tcPr>
            <w:tcW w:w="20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6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906 </w:t>
            </w:r>
          </w:p>
        </w:tc>
        <w:tc>
          <w:tcPr>
            <w:tcW w:w="221" w:type="dxa"/>
            <w:tcBorders/>
            <w:shd w:fill="CCEEFF" w:val="clear"/>
            <w:vAlign w:val="center"/>
          </w:tcPr>
          <w:p>
            <w:pPr>
              <w:pStyle w:val="TableContents"/>
              <w:spacing w:before="0" w:after="0"/>
              <w:ind w:left="0" w:right="0" w:hanging="0"/>
              <w:rPr/>
            </w:pPr>
            <w:r>
              <w:rPr/>
              <w:t xml:space="preserve">  </w:t>
            </w:r>
          </w:p>
        </w:tc>
        <w:tc>
          <w:tcPr>
            <w:tcW w:w="147" w:type="dxa"/>
            <w:tcBorders/>
            <w:shd w:fill="CCEEFF" w:val="clear"/>
            <w:vAlign w:val="center"/>
          </w:tcPr>
          <w:p>
            <w:pPr>
              <w:pStyle w:val="TableContents"/>
              <w:spacing w:before="0" w:after="0"/>
              <w:ind w:left="0" w:right="0" w:hanging="0"/>
              <w:rPr/>
            </w:pPr>
            <w:r>
              <w:rPr/>
              <w:t xml:space="preserve">  </w:t>
            </w:r>
          </w:p>
        </w:tc>
        <w:tc>
          <w:tcPr>
            <w:tcW w:w="20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6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1,044 </w:t>
            </w:r>
          </w:p>
        </w:tc>
        <w:tc>
          <w:tcPr>
            <w:tcW w:w="166"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Depreciation expense on property and equipment for the years ended December 31, 2020 and 2019 was $422</w:t>
      </w:r>
      <w:r>
        <w:rPr>
          <w:rFonts w:ascii="times new roman;times" w:hAnsi="times new roman;times"/>
          <w:sz w:val="20"/>
        </w:rPr>
        <w:t xml:space="preserve"> </w:t>
      </w:r>
      <w:r>
        <w:rPr>
          <w:rFonts w:ascii="Times New Roman" w:hAnsi="Times New Roman"/>
          <w:sz w:val="20"/>
        </w:rPr>
        <w:t>and $512, respectively.</w:t>
      </w:r>
      <w:r>
        <w:rPr>
          <w:rFonts w:ascii="times new roman;times" w:hAnsi="times new roman;times"/>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17</w:t>
            </w:r>
            <w:r>
              <w:rPr>
                <w:rFonts w:ascii="Times New Roman" w:hAnsi="Times New Roman"/>
                <w:b w:val="false"/>
                <w:i w:val="false"/>
                <w:caps w:val="false"/>
                <w:smallCaps w:val="false"/>
                <w:color w:val="000000"/>
                <w:spacing w:val="0"/>
                <w:sz w:val="20"/>
              </w:rPr>
              <w:t xml:space="preserve">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6</w:t>
      </w:r>
      <w:r>
        <w:rPr>
          <w:rFonts w:ascii="Times New Roman" w:hAnsi="Times New Roman"/>
          <w:b/>
          <w:sz w:val="20"/>
        </w:rPr>
        <w:t>. Leases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Rent expense is recognized on a straight-line basis over the period of the lease taking into account future rent escalation and holiday periods.</w:t>
        <w:br/>
        <w:br/>
        <w:t>Rent expense for the years ended December 31, 2020 and 2019 was as follows: </w:t>
      </w:r>
    </w:p>
    <w:p>
      <w:pPr>
        <w:pStyle w:val="TextBody"/>
        <w:spacing w:before="0" w:after="0"/>
        <w:ind w:left="0" w:right="0" w:hanging="0"/>
        <w:jc w:val="both"/>
        <w:rPr/>
      </w:pPr>
      <w:r>
        <w:rPr/>
      </w:r>
    </w:p>
    <w:tbl>
      <w:tblPr>
        <w:tblW w:w="3079" w:type="dxa"/>
        <w:jc w:val="left"/>
        <w:tblInd w:w="0" w:type="dxa"/>
        <w:tblCellMar>
          <w:top w:w="28" w:type="dxa"/>
          <w:left w:w="28" w:type="dxa"/>
          <w:bottom w:w="28" w:type="dxa"/>
          <w:right w:w="28" w:type="dxa"/>
        </w:tblCellMar>
      </w:tblPr>
      <w:tblGrid>
        <w:gridCol w:w="1441"/>
        <w:gridCol w:w="109"/>
        <w:gridCol w:w="227"/>
        <w:gridCol w:w="468"/>
        <w:gridCol w:w="109"/>
        <w:gridCol w:w="227"/>
        <w:gridCol w:w="498"/>
      </w:tblGrid>
      <w:tr>
        <w:trPr/>
        <w:tc>
          <w:tcPr>
            <w:tcW w:w="1441" w:type="dxa"/>
            <w:tcBorders/>
            <w:shd w:fill="auto" w:val="clear"/>
            <w:vAlign w:val="center"/>
          </w:tcPr>
          <w:p>
            <w:pPr>
              <w:pStyle w:val="TableContents"/>
              <w:spacing w:before="0" w:after="283"/>
              <w:rPr/>
            </w:pPr>
            <w:r>
              <w:rPr/>
            </w:r>
          </w:p>
        </w:tc>
        <w:tc>
          <w:tcPr>
            <w:tcW w:w="109" w:type="dxa"/>
            <w:tcBorders/>
            <w:shd w:fill="auto" w:val="clear"/>
            <w:vAlign w:val="center"/>
          </w:tcPr>
          <w:p>
            <w:pPr>
              <w:pStyle w:val="TableContents"/>
              <w:spacing w:before="0" w:after="283"/>
              <w:rPr/>
            </w:pPr>
            <w:r>
              <w:rPr/>
            </w:r>
          </w:p>
        </w:tc>
        <w:tc>
          <w:tcPr>
            <w:tcW w:w="1529" w:type="dxa"/>
            <w:gridSpan w:val="5"/>
            <w:tcBorders/>
            <w:shd w:fill="auto" w:val="clear"/>
            <w:vAlign w:val="center"/>
          </w:tcPr>
          <w:p>
            <w:pPr>
              <w:pStyle w:val="TableContents"/>
              <w:spacing w:before="0" w:after="283"/>
              <w:jc w:val="center"/>
              <w:rPr>
                <w:b/>
                <w:sz w:val="20"/>
              </w:rPr>
            </w:pPr>
            <w:r>
              <w:rPr>
                <w:b/>
                <w:sz w:val="20"/>
              </w:rPr>
              <w:t>Year ended</w:t>
            </w:r>
          </w:p>
        </w:tc>
      </w:tr>
      <w:tr>
        <w:trPr/>
        <w:tc>
          <w:tcPr>
            <w:tcW w:w="1441" w:type="dxa"/>
            <w:tcBorders/>
            <w:shd w:fill="auto" w:val="clear"/>
            <w:vAlign w:val="center"/>
          </w:tcPr>
          <w:p>
            <w:pPr>
              <w:pStyle w:val="TableContents"/>
              <w:spacing w:before="0" w:after="283"/>
              <w:rPr/>
            </w:pPr>
            <w:r>
              <w:rPr/>
            </w:r>
          </w:p>
        </w:tc>
        <w:tc>
          <w:tcPr>
            <w:tcW w:w="109" w:type="dxa"/>
            <w:tcBorders/>
            <w:shd w:fill="auto" w:val="clear"/>
            <w:vAlign w:val="center"/>
          </w:tcPr>
          <w:p>
            <w:pPr>
              <w:pStyle w:val="TableContents"/>
              <w:spacing w:before="0" w:after="283"/>
              <w:rPr/>
            </w:pPr>
            <w:r>
              <w:rPr/>
            </w:r>
          </w:p>
        </w:tc>
        <w:tc>
          <w:tcPr>
            <w:tcW w:w="1529" w:type="dxa"/>
            <w:gridSpan w:val="5"/>
            <w:tcBorders>
              <w:bottom w:val="single" w:sz="8" w:space="0" w:color="000000"/>
            </w:tcBorders>
            <w:shd w:fill="auto" w:val="clear"/>
            <w:tcMar>
              <w:top w:w="0" w:type="dxa"/>
              <w:left w:w="0" w:type="dxa"/>
              <w:right w:w="0" w:type="dxa"/>
            </w:tcMar>
            <w:vAlign w:val="center"/>
          </w:tcPr>
          <w:p>
            <w:pPr>
              <w:pStyle w:val="TableContents"/>
              <w:spacing w:before="0" w:after="283"/>
              <w:jc w:val="center"/>
              <w:rPr>
                <w:b/>
              </w:rPr>
            </w:pPr>
            <w:r>
              <w:rPr>
                <w:b/>
              </w:rPr>
              <w:t>December 31,</w:t>
            </w:r>
          </w:p>
        </w:tc>
      </w:tr>
      <w:tr>
        <w:trPr/>
        <w:tc>
          <w:tcPr>
            <w:tcW w:w="1441" w:type="dxa"/>
            <w:tcBorders/>
            <w:shd w:fill="auto" w:val="clear"/>
            <w:vAlign w:val="center"/>
          </w:tcPr>
          <w:p>
            <w:pPr>
              <w:pStyle w:val="TableContents"/>
              <w:spacing w:before="0" w:after="283"/>
              <w:rPr/>
            </w:pPr>
            <w:r>
              <w:rPr/>
            </w:r>
          </w:p>
        </w:tc>
        <w:tc>
          <w:tcPr>
            <w:tcW w:w="109" w:type="dxa"/>
            <w:tcBorders/>
            <w:shd w:fill="auto" w:val="clear"/>
            <w:vAlign w:val="center"/>
          </w:tcPr>
          <w:p>
            <w:pPr>
              <w:pStyle w:val="TableContents"/>
              <w:spacing w:before="0" w:after="283"/>
              <w:rPr/>
            </w:pPr>
            <w:r>
              <w:rPr/>
            </w:r>
          </w:p>
        </w:tc>
        <w:tc>
          <w:tcPr>
            <w:tcW w:w="695" w:type="dxa"/>
            <w:gridSpan w:val="2"/>
            <w:tcBorders>
              <w:bottom w:val="single" w:sz="8" w:space="0" w:color="000000"/>
            </w:tcBorders>
            <w:shd w:fill="auto" w:val="clear"/>
            <w:tcMar>
              <w:top w:w="0" w:type="dxa"/>
              <w:left w:w="0" w:type="dxa"/>
              <w:right w:w="0" w:type="dxa"/>
            </w:tcMar>
            <w:vAlign w:val="center"/>
          </w:tcPr>
          <w:p>
            <w:pPr>
              <w:pStyle w:val="TableContents"/>
              <w:spacing w:before="0" w:after="283"/>
              <w:jc w:val="center"/>
              <w:rPr>
                <w:b/>
              </w:rPr>
            </w:pPr>
            <w:r>
              <w:rPr>
                <w:b/>
              </w:rPr>
              <w:t>2020</w:t>
            </w:r>
          </w:p>
        </w:tc>
        <w:tc>
          <w:tcPr>
            <w:tcW w:w="109" w:type="dxa"/>
            <w:tcBorders/>
            <w:shd w:fill="auto" w:val="clear"/>
            <w:vAlign w:val="center"/>
          </w:tcPr>
          <w:p>
            <w:pPr>
              <w:pStyle w:val="TableContents"/>
              <w:spacing w:before="0" w:after="283"/>
              <w:rPr/>
            </w:pPr>
            <w:r>
              <w:rPr/>
            </w:r>
          </w:p>
        </w:tc>
        <w:tc>
          <w:tcPr>
            <w:tcW w:w="725" w:type="dxa"/>
            <w:gridSpan w:val="2"/>
            <w:tcBorders>
              <w:bottom w:val="single" w:sz="8" w:space="0" w:color="000000"/>
            </w:tcBorders>
            <w:shd w:fill="auto" w:val="clear"/>
            <w:tcMar>
              <w:top w:w="0" w:type="dxa"/>
              <w:left w:w="0" w:type="dxa"/>
              <w:right w:w="0" w:type="dxa"/>
            </w:tcMar>
            <w:vAlign w:val="center"/>
          </w:tcPr>
          <w:p>
            <w:pPr>
              <w:pStyle w:val="TableContents"/>
              <w:spacing w:before="0" w:after="283"/>
              <w:jc w:val="center"/>
              <w:rPr>
                <w:b/>
              </w:rPr>
            </w:pPr>
            <w:r>
              <w:rPr>
                <w:b/>
              </w:rPr>
              <w:t>2019</w:t>
            </w:r>
          </w:p>
        </w:tc>
      </w:tr>
      <w:tr>
        <w:trPr/>
        <w:tc>
          <w:tcPr>
            <w:tcW w:w="1441" w:type="dxa"/>
            <w:tcBorders/>
            <w:shd w:fill="CCEEFF" w:val="clear"/>
            <w:vAlign w:val="center"/>
          </w:tcPr>
          <w:p>
            <w:pPr>
              <w:pStyle w:val="TableContents"/>
              <w:spacing w:before="0" w:after="283"/>
              <w:rPr/>
            </w:pPr>
            <w:r>
              <w:rPr/>
              <w:t>Rent expense </w:t>
            </w:r>
          </w:p>
        </w:tc>
        <w:tc>
          <w:tcPr>
            <w:tcW w:w="109" w:type="dxa"/>
            <w:tcBorders/>
            <w:shd w:fill="CCEEFF" w:val="clear"/>
            <w:vAlign w:val="center"/>
          </w:tcPr>
          <w:p>
            <w:pPr>
              <w:pStyle w:val="TableContents"/>
              <w:spacing w:before="0" w:after="283"/>
              <w:rPr/>
            </w:pPr>
            <w:r>
              <w:rPr/>
            </w:r>
          </w:p>
        </w:tc>
        <w:tc>
          <w:tcPr>
            <w:tcW w:w="227" w:type="dxa"/>
            <w:tcBorders/>
            <w:shd w:fill="CCEEFF" w:val="clear"/>
            <w:vAlign w:val="center"/>
          </w:tcPr>
          <w:p>
            <w:pPr>
              <w:pStyle w:val="TableContents"/>
              <w:spacing w:before="0" w:after="283"/>
              <w:rPr/>
            </w:pPr>
            <w:r>
              <w:rPr/>
              <w:t>$</w:t>
            </w:r>
          </w:p>
        </w:tc>
        <w:tc>
          <w:tcPr>
            <w:tcW w:w="468" w:type="dxa"/>
            <w:tcBorders/>
            <w:shd w:fill="CCEEFF" w:val="clear"/>
            <w:vAlign w:val="center"/>
          </w:tcPr>
          <w:p>
            <w:pPr>
              <w:pStyle w:val="TableContents"/>
              <w:spacing w:before="0" w:after="283"/>
              <w:jc w:val="right"/>
              <w:rPr/>
            </w:pPr>
            <w:r>
              <w:rPr/>
              <w:t>719</w:t>
            </w:r>
          </w:p>
        </w:tc>
        <w:tc>
          <w:tcPr>
            <w:tcW w:w="109" w:type="dxa"/>
            <w:tcBorders/>
            <w:shd w:fill="CCEEFF" w:val="clear"/>
            <w:vAlign w:val="center"/>
          </w:tcPr>
          <w:p>
            <w:pPr>
              <w:pStyle w:val="TableContents"/>
              <w:spacing w:before="0" w:after="283"/>
              <w:rPr/>
            </w:pPr>
            <w:r>
              <w:rPr/>
            </w:r>
          </w:p>
        </w:tc>
        <w:tc>
          <w:tcPr>
            <w:tcW w:w="227" w:type="dxa"/>
            <w:tcBorders/>
            <w:shd w:fill="CCEEFF" w:val="clear"/>
            <w:vAlign w:val="center"/>
          </w:tcPr>
          <w:p>
            <w:pPr>
              <w:pStyle w:val="TableContents"/>
              <w:spacing w:before="0" w:after="283"/>
              <w:rPr/>
            </w:pPr>
            <w:r>
              <w:rPr/>
              <w:t>$</w:t>
            </w:r>
          </w:p>
        </w:tc>
        <w:tc>
          <w:tcPr>
            <w:tcW w:w="498" w:type="dxa"/>
            <w:tcBorders/>
            <w:shd w:fill="CCEEFF" w:val="clear"/>
            <w:vAlign w:val="center"/>
          </w:tcPr>
          <w:p>
            <w:pPr>
              <w:pStyle w:val="TableContents"/>
              <w:spacing w:before="0" w:after="283"/>
              <w:jc w:val="right"/>
              <w:rPr/>
            </w:pPr>
            <w:r>
              <w:rPr/>
              <w:t>804</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times" w:hAnsi="times new roman;times"/>
          <w:sz w:val="20"/>
        </w:rPr>
      </w:pPr>
      <w:r>
        <w:rPr>
          <w:rFonts w:ascii="Times New Roman" w:hAnsi="Times New Roman"/>
          <w:sz w:val="20"/>
        </w:rPr>
        <w:t>We occupy</w:t>
      </w:r>
      <w:r>
        <w:rPr>
          <w:rFonts w:ascii="times new roman;times" w:hAnsi="times new roman;times"/>
          <w:sz w:val="20"/>
        </w:rPr>
        <w:t> </w:t>
      </w:r>
      <w:r>
        <w:rPr>
          <w:rFonts w:ascii="Times New Roman" w:hAnsi="Times New Roman"/>
          <w:sz w:val="20"/>
        </w:rPr>
        <w:t>a 1,350 square-foot facility in Gainesville, Florida under the terms of an operating lease expiring in February 2023. The Gainesville facility is used primarily to support our research and development activities.</w:t>
      </w:r>
      <w:r>
        <w:rPr>
          <w:rFonts w:ascii="times new roman;times" w:hAnsi="times new roman;times"/>
          <w:sz w:val="20"/>
        </w:rPr>
        <w:t> </w:t>
      </w:r>
    </w:p>
    <w:p>
      <w:pPr>
        <w:pStyle w:val="TextBody"/>
        <w:widowControl/>
        <w:ind w:left="0" w:right="0" w:hanging="0"/>
        <w:rPr>
          <w:caps w:val="false"/>
          <w:smallCaps w:val="false"/>
          <w:color w:val="000000"/>
          <w:spacing w:val="0"/>
        </w:rPr>
      </w:pPr>
      <w:r>
        <w:rPr>
          <w:caps w:val="false"/>
          <w:smallCaps w:val="false"/>
          <w:color w:val="000000"/>
          <w:spacing w:val="0"/>
        </w:rPr>
        <w:t> </w:t>
      </w:r>
    </w:p>
    <w:p>
      <w:pPr>
        <w:pStyle w:val="TextBody"/>
        <w:widowControl/>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 21,443 square-foot facility in Salt Lake City, Utah under the terms of an operating lease expiring in March</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2024, with an option to extend for additional </w:t>
      </w:r>
      <w:r>
        <w:rPr>
          <w:rFonts w:ascii="Times New Roman" w:hAnsi="Times New Roman"/>
          <w:b w:val="false"/>
          <w:i w:val="false"/>
          <w:caps w:val="false"/>
          <w:smallCaps w:val="false"/>
          <w:color w:val="000000"/>
          <w:spacing w:val="0"/>
          <w:sz w:val="20"/>
        </w:rPr>
        <w:t>five years</w:t>
      </w:r>
      <w:r>
        <w:rPr>
          <w:rFonts w:ascii="Times New Roman" w:hAnsi="Times New Roman"/>
          <w:b w:val="false"/>
          <w:i w:val="false"/>
          <w:caps w:val="false"/>
          <w:smallCaps w:val="false"/>
          <w:color w:val="000000"/>
          <w:spacing w:val="0"/>
          <w:sz w:val="20"/>
        </w:rPr>
        <w:t>. The facility supports our principal administrative, sales, marketing, customer support, and research and product development activities.  </w:t>
      </w:r>
    </w:p>
    <w:p>
      <w:pPr>
        <w:pStyle w:val="TextBody"/>
        <w:widowControl/>
        <w:ind w:left="0" w:right="0" w:hanging="0"/>
        <w:rPr>
          <w:caps w:val="false"/>
          <w:smallCaps w:val="false"/>
          <w:color w:val="000000"/>
          <w:spacing w:val="0"/>
        </w:rPr>
      </w:pPr>
      <w:r>
        <w:rPr>
          <w:caps w:val="false"/>
          <w:smallCaps w:val="false"/>
          <w:color w:val="000000"/>
          <w:spacing w:val="0"/>
        </w:rPr>
        <w:t> </w:t>
      </w:r>
    </w:p>
    <w:p>
      <w:pPr>
        <w:pStyle w:val="TextBody"/>
        <w:widowControl/>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 950</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square-foot facility in Austin, Texas under the terms of an operating lease expiring in October 20</w:t>
      </w:r>
      <w:r>
        <w:rPr>
          <w:rFonts w:ascii="Times New Roman" w:hAnsi="Times New Roman"/>
          <w:b w:val="false"/>
          <w:i w:val="false"/>
          <w:caps w:val="false"/>
          <w:smallCaps w:val="false"/>
          <w:color w:val="000000"/>
          <w:spacing w:val="0"/>
          <w:sz w:val="20"/>
        </w:rPr>
        <w:t>22</w:t>
      </w:r>
      <w:r>
        <w:rPr>
          <w:rFonts w:ascii="Times New Roman" w:hAnsi="Times New Roman"/>
          <w:b w:val="false"/>
          <w:i w:val="false"/>
          <w:caps w:val="false"/>
          <w:smallCaps w:val="false"/>
          <w:color w:val="000000"/>
          <w:spacing w:val="0"/>
          <w:sz w:val="20"/>
        </w:rPr>
        <w:t>. This facility supports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our sales, marketing, customer support, and research and development activities.</w:t>
      </w:r>
    </w:p>
    <w:p>
      <w:pPr>
        <w:pStyle w:val="TextBody"/>
        <w:widowControl/>
        <w:ind w:left="0" w:right="0" w:hanging="0"/>
        <w:rPr>
          <w:rFonts w:ascii="Times New Roman" w:hAnsi="Times New Roman"/>
          <w:sz w:val="20"/>
        </w:rPr>
      </w:pPr>
      <w:r>
        <w:rPr>
          <w:rFonts w:ascii="Times New Roman" w:hAnsi="Times New Roman"/>
          <w:sz w:val="20"/>
        </w:rPr>
      </w:r>
    </w:p>
    <w:p>
      <w:pPr>
        <w:pStyle w:val="TextBody"/>
        <w:widowControl/>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 3,068</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square-foot</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facility</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in Zaragoza, Spain under the terms of an operating lease expiring in March 2022.</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This office supports our research and development and customer support activities.</w:t>
      </w:r>
    </w:p>
    <w:p>
      <w:pPr>
        <w:pStyle w:val="TextBody"/>
        <w:widowControl/>
        <w:ind w:left="0" w:right="0" w:hanging="0"/>
        <w:rPr>
          <w:caps w:val="false"/>
          <w:smallCaps w:val="false"/>
          <w:color w:val="000000"/>
          <w:spacing w:val="0"/>
        </w:rPr>
      </w:pPr>
      <w:r>
        <w:rPr>
          <w:caps w:val="false"/>
          <w:smallCaps w:val="false"/>
          <w:color w:val="000000"/>
          <w:spacing w:val="0"/>
        </w:rPr>
        <w:t> </w:t>
      </w:r>
    </w:p>
    <w:p>
      <w:pPr>
        <w:pStyle w:val="TextBody"/>
        <w:widowControl/>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 6,175 square-foot facility in Chennai, India under the terms of an operating lease expiring in August 2021. This facility supports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our administrative, marketing, customer support, and research and product development activities.</w:t>
      </w:r>
    </w:p>
    <w:p>
      <w:pPr>
        <w:pStyle w:val="TextBody"/>
        <w:widowControl/>
        <w:ind w:left="0" w:right="0" w:hanging="0"/>
        <w:rPr>
          <w:caps w:val="false"/>
          <w:smallCaps w:val="false"/>
          <w:color w:val="000000"/>
          <w:spacing w:val="0"/>
        </w:rPr>
      </w:pPr>
      <w:r>
        <w:rPr>
          <w:caps w:val="false"/>
          <w:smallCaps w:val="false"/>
          <w:color w:val="000000"/>
          <w:spacing w:val="0"/>
        </w:rPr>
        <w:t> </w:t>
      </w:r>
    </w:p>
    <w:p>
      <w:pPr>
        <w:pStyle w:val="TextBody"/>
        <w:widowControl/>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 40,000 square-foot warehouse in Salt Lake City, Utah under the terms of an operating lease expiring in April 2025, which serves as our primary inventory fulfillment and repair center. </w:t>
      </w:r>
      <w:r>
        <w:rPr>
          <w:rFonts w:ascii="times new roman;times" w:hAnsi="times new roman;times"/>
          <w:b w:val="false"/>
          <w:i w:val="false"/>
          <w:caps w:val="false"/>
          <w:smallCaps w:val="false"/>
          <w:color w:val="000000"/>
          <w:spacing w:val="0"/>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widowControl/>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Supplemental cash flow information related to leases was as follows:</w:t>
      </w:r>
    </w:p>
    <w:p>
      <w:pPr>
        <w:pStyle w:val="TextBody"/>
        <w:spacing w:before="0" w:after="0"/>
        <w:ind w:left="0" w:right="0" w:hanging="0"/>
        <w:jc w:val="both"/>
        <w:rPr/>
      </w:pPr>
      <w:r>
        <w:rPr/>
      </w:r>
    </w:p>
    <w:tbl>
      <w:tblPr>
        <w:tblW w:w="8070" w:type="dxa"/>
        <w:jc w:val="left"/>
        <w:tblInd w:w="0" w:type="dxa"/>
        <w:tblCellMar>
          <w:top w:w="0" w:type="dxa"/>
          <w:left w:w="0" w:type="dxa"/>
          <w:bottom w:w="0" w:type="dxa"/>
          <w:right w:w="0" w:type="dxa"/>
        </w:tblCellMar>
      </w:tblPr>
      <w:tblGrid>
        <w:gridCol w:w="5810"/>
        <w:gridCol w:w="60"/>
        <w:gridCol w:w="245"/>
        <w:gridCol w:w="659"/>
        <w:gridCol w:w="118"/>
        <w:gridCol w:w="45"/>
        <w:gridCol w:w="245"/>
        <w:gridCol w:w="865"/>
        <w:gridCol w:w="23"/>
      </w:tblGrid>
      <w:tr>
        <w:trPr/>
        <w:tc>
          <w:tcPr>
            <w:tcW w:w="581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ind w:left="0" w:right="0" w:hanging="0"/>
              <w:rPr/>
            </w:pPr>
            <w:r>
              <w:rPr/>
            </w:r>
          </w:p>
        </w:tc>
        <w:tc>
          <w:tcPr>
            <w:tcW w:w="2177" w:type="dxa"/>
            <w:gridSpan w:val="6"/>
            <w:tcBorders>
              <w:bottom w:val="single" w:sz="6"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 w:type="dxa"/>
            <w:tcBorders/>
            <w:shd w:fill="auto" w:val="clear"/>
            <w:vAlign w:val="center"/>
          </w:tcPr>
          <w:p>
            <w:pPr>
              <w:pStyle w:val="TableContents"/>
              <w:spacing w:before="0" w:after="283"/>
              <w:rPr/>
            </w:pPr>
            <w:r>
              <w:rPr/>
            </w:r>
          </w:p>
        </w:tc>
      </w:tr>
      <w:tr>
        <w:trPr/>
        <w:tc>
          <w:tcPr>
            <w:tcW w:w="58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04"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118" w:type="dxa"/>
            <w:tcBorders/>
            <w:shd w:fill="auto" w:val="clear"/>
            <w:vAlign w:val="center"/>
          </w:tcPr>
          <w:p>
            <w:pPr>
              <w:pStyle w:val="TableContents"/>
              <w:spacing w:before="0" w:after="283"/>
              <w:rPr/>
            </w:pPr>
            <w:r>
              <w:rPr/>
              <w:t> </w:t>
            </w:r>
          </w:p>
        </w:tc>
        <w:tc>
          <w:tcPr>
            <w:tcW w:w="45" w:type="dxa"/>
            <w:tcBorders/>
            <w:shd w:fill="auto" w:val="clear"/>
            <w:vAlign w:val="center"/>
          </w:tcPr>
          <w:p>
            <w:pPr>
              <w:pStyle w:val="TableContents"/>
              <w:spacing w:before="0" w:after="283"/>
              <w:rPr/>
            </w:pPr>
            <w:r>
              <w:rPr/>
            </w:r>
          </w:p>
        </w:tc>
        <w:tc>
          <w:tcPr>
            <w:tcW w:w="245" w:type="dxa"/>
            <w:tcBorders/>
            <w:shd w:fill="auto" w:val="clear"/>
            <w:vAlign w:val="center"/>
          </w:tcPr>
          <w:p>
            <w:pPr>
              <w:pStyle w:val="TableContents"/>
              <w:spacing w:before="0" w:after="283"/>
              <w:rPr/>
            </w:pPr>
            <w:r>
              <w:rPr/>
            </w:r>
          </w:p>
        </w:tc>
        <w:tc>
          <w:tcPr>
            <w:tcW w:w="865" w:type="dxa"/>
            <w:tcBorders>
              <w:bottom w:val="single" w:sz="6" w:space="0" w:color="000000"/>
            </w:tcBorders>
            <w:shd w:fill="auto" w:val="clear"/>
            <w:tcMar>
              <w:bottom w:w="28" w:type="dxa"/>
            </w:tcMar>
            <w:vAlign w:val="center"/>
          </w:tcPr>
          <w:p>
            <w:pPr>
              <w:pStyle w:val="TableContents"/>
              <w:widowControl/>
              <w:spacing w:before="0" w:after="283"/>
              <w:ind w:left="0" w:right="0" w:hanging="0"/>
              <w:jc w:val="center"/>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2019</w:t>
            </w:r>
          </w:p>
        </w:tc>
        <w:tc>
          <w:tcPr>
            <w:tcW w:w="23" w:type="dxa"/>
            <w:tcBorders/>
            <w:shd w:fill="auto" w:val="clear"/>
            <w:vAlign w:val="center"/>
          </w:tcPr>
          <w:p>
            <w:pPr>
              <w:pStyle w:val="TableContents"/>
              <w:spacing w:before="0" w:after="283"/>
              <w:rPr/>
            </w:pPr>
            <w:r>
              <w:rPr/>
            </w:r>
          </w:p>
        </w:tc>
      </w:tr>
      <w:tr>
        <w:trPr/>
        <w:tc>
          <w:tcPr>
            <w:tcW w:w="581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 xml:space="preserve">Cash paid for amounts included in the measurement of lease liabilities: </w:t>
            </w:r>
          </w:p>
        </w:tc>
        <w:tc>
          <w:tcPr>
            <w:tcW w:w="6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 </w:t>
            </w:r>
          </w:p>
        </w:tc>
        <w:tc>
          <w:tcPr>
            <w:tcW w:w="659" w:type="dxa"/>
            <w:tcBorders/>
            <w:shd w:fill="CCEEFF" w:val="clear"/>
            <w:vAlign w:val="center"/>
          </w:tcPr>
          <w:p>
            <w:pPr>
              <w:pStyle w:val="TableContents"/>
              <w:spacing w:before="0" w:after="283"/>
              <w:jc w:val="left"/>
              <w:rPr/>
            </w:pPr>
            <w:r>
              <w:rPr/>
              <w:t> </w:t>
            </w:r>
          </w:p>
        </w:tc>
        <w:tc>
          <w:tcPr>
            <w:tcW w:w="118" w:type="dxa"/>
            <w:tcBorders/>
            <w:shd w:fill="CCEEFF" w:val="clear"/>
            <w:vAlign w:val="center"/>
          </w:tcPr>
          <w:p>
            <w:pPr>
              <w:pStyle w:val="TableContents"/>
              <w:spacing w:before="0" w:after="283"/>
              <w:rPr/>
            </w:pPr>
            <w:r>
              <w:rPr/>
              <w:t> </w:t>
            </w:r>
          </w:p>
        </w:tc>
        <w:tc>
          <w:tcPr>
            <w:tcW w:w="45" w:type="dxa"/>
            <w:tcBorders/>
            <w:shd w:fill="CCEEFF" w:val="clear"/>
            <w:vAlign w:val="center"/>
          </w:tcPr>
          <w:p>
            <w:pPr>
              <w:pStyle w:val="TableContents"/>
              <w:spacing w:before="0" w:after="283"/>
              <w:rPr/>
            </w:pPr>
            <w:r>
              <w:rPr/>
            </w:r>
          </w:p>
        </w:tc>
        <w:tc>
          <w:tcPr>
            <w:tcW w:w="245" w:type="dxa"/>
            <w:tcBorders/>
            <w:shd w:fill="CCEEFF" w:val="clear"/>
            <w:vAlign w:val="center"/>
          </w:tcPr>
          <w:p>
            <w:pPr>
              <w:pStyle w:val="TableContents"/>
              <w:spacing w:before="0" w:after="283"/>
              <w:rPr/>
            </w:pPr>
            <w:r>
              <w:rPr/>
            </w:r>
          </w:p>
        </w:tc>
        <w:tc>
          <w:tcPr>
            <w:tcW w:w="865" w:type="dxa"/>
            <w:tcBorders/>
            <w:shd w:fill="CCEEFF" w:val="clear"/>
            <w:vAlign w:val="center"/>
          </w:tcPr>
          <w:p>
            <w:pPr>
              <w:pStyle w:val="TableContents"/>
              <w:spacing w:before="0" w:after="283"/>
              <w:rPr/>
            </w:pPr>
            <w:r>
              <w:rPr/>
            </w:r>
          </w:p>
        </w:tc>
        <w:tc>
          <w:tcPr>
            <w:tcW w:w="23" w:type="dxa"/>
            <w:tcBorders/>
            <w:shd w:fill="CCEEFF" w:val="clear"/>
            <w:vAlign w:val="center"/>
          </w:tcPr>
          <w:p>
            <w:pPr>
              <w:pStyle w:val="TableContents"/>
              <w:spacing w:before="0" w:after="283"/>
              <w:rPr/>
            </w:pPr>
            <w:r>
              <w:rPr/>
            </w:r>
          </w:p>
        </w:tc>
      </w:tr>
      <w:tr>
        <w:trPr/>
        <w:tc>
          <w:tcPr>
            <w:tcW w:w="581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 xml:space="preserve">Operating cash flows from operating leases </w:t>
            </w:r>
          </w:p>
        </w:tc>
        <w:tc>
          <w:tcPr>
            <w:tcW w:w="60" w:type="dxa"/>
            <w:tcBorders/>
            <w:shd w:fill="FFFFFF" w:val="clear"/>
            <w:vAlign w:val="center"/>
          </w:tcPr>
          <w:p>
            <w:pPr>
              <w:pStyle w:val="TableContents"/>
              <w:spacing w:before="0" w:after="283"/>
              <w:ind w:left="0" w:right="0" w:hanging="0"/>
              <w:rPr/>
            </w:pPr>
            <w:r>
              <w:rPr/>
              <w:t> </w:t>
            </w:r>
          </w:p>
        </w:tc>
        <w:tc>
          <w:tcPr>
            <w:tcW w:w="24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118" w:type="dxa"/>
            <w:tcBorders/>
            <w:shd w:fill="FFFFFF" w:val="clear"/>
            <w:vAlign w:val="center"/>
          </w:tcPr>
          <w:p>
            <w:pPr>
              <w:pStyle w:val="TableContents"/>
              <w:spacing w:before="0" w:after="283"/>
              <w:ind w:left="0" w:right="0" w:hanging="0"/>
              <w:rPr/>
            </w:pPr>
            <w:r>
              <w:rPr/>
              <w:t> </w:t>
            </w:r>
          </w:p>
        </w:tc>
        <w:tc>
          <w:tcPr>
            <w:tcW w:w="45" w:type="dxa"/>
            <w:tcBorders/>
            <w:shd w:fill="FFFFFF" w:val="clear"/>
            <w:vAlign w:val="center"/>
          </w:tcPr>
          <w:p>
            <w:pPr>
              <w:pStyle w:val="TableContents"/>
              <w:spacing w:before="0" w:after="283"/>
              <w:ind w:left="0" w:right="0" w:hanging="0"/>
              <w:rPr/>
            </w:pPr>
            <w:r>
              <w:rPr/>
            </w:r>
          </w:p>
        </w:tc>
        <w:tc>
          <w:tcPr>
            <w:tcW w:w="24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23" w:type="dxa"/>
            <w:tcBorders/>
            <w:shd w:fill="FFFFFF" w:val="clear"/>
            <w:vAlign w:val="center"/>
          </w:tcPr>
          <w:p>
            <w:pPr>
              <w:pStyle w:val="TableContents"/>
              <w:spacing w:before="0" w:after="283"/>
              <w:rPr/>
            </w:pPr>
            <w:r>
              <w:rPr/>
            </w:r>
          </w:p>
        </w:tc>
      </w:tr>
      <w:tr>
        <w:trPr/>
        <w:tc>
          <w:tcPr>
            <w:tcW w:w="581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 xml:space="preserve">Right-of-use assets obtained in exchange for lease obligations: </w:t>
            </w:r>
          </w:p>
        </w:tc>
        <w:tc>
          <w:tcPr>
            <w:tcW w:w="6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 </w:t>
            </w:r>
          </w:p>
        </w:tc>
        <w:tc>
          <w:tcPr>
            <w:tcW w:w="659" w:type="dxa"/>
            <w:tcBorders/>
            <w:shd w:fill="CCEEFF" w:val="clear"/>
            <w:vAlign w:val="center"/>
          </w:tcPr>
          <w:p>
            <w:pPr>
              <w:pStyle w:val="TableContents"/>
              <w:spacing w:before="0" w:after="283"/>
              <w:jc w:val="left"/>
              <w:rPr/>
            </w:pPr>
            <w:r>
              <w:rPr/>
              <w:t> </w:t>
            </w:r>
          </w:p>
        </w:tc>
        <w:tc>
          <w:tcPr>
            <w:tcW w:w="118" w:type="dxa"/>
            <w:tcBorders/>
            <w:shd w:fill="CCEEFF" w:val="clear"/>
            <w:vAlign w:val="center"/>
          </w:tcPr>
          <w:p>
            <w:pPr>
              <w:pStyle w:val="TableContents"/>
              <w:spacing w:before="0" w:after="283"/>
              <w:rPr/>
            </w:pPr>
            <w:r>
              <w:rPr/>
              <w:t> </w:t>
            </w:r>
          </w:p>
        </w:tc>
        <w:tc>
          <w:tcPr>
            <w:tcW w:w="45" w:type="dxa"/>
            <w:tcBorders/>
            <w:shd w:fill="CCEEFF" w:val="clear"/>
            <w:vAlign w:val="center"/>
          </w:tcPr>
          <w:p>
            <w:pPr>
              <w:pStyle w:val="TableContents"/>
              <w:spacing w:before="0" w:after="283"/>
              <w:rPr/>
            </w:pPr>
            <w:r>
              <w:rPr/>
            </w:r>
          </w:p>
        </w:tc>
        <w:tc>
          <w:tcPr>
            <w:tcW w:w="245" w:type="dxa"/>
            <w:tcBorders/>
            <w:shd w:fill="CCEEFF" w:val="clear"/>
            <w:vAlign w:val="center"/>
          </w:tcPr>
          <w:p>
            <w:pPr>
              <w:pStyle w:val="TableContents"/>
              <w:spacing w:before="0" w:after="283"/>
              <w:rPr/>
            </w:pPr>
            <w:r>
              <w:rPr/>
            </w:r>
          </w:p>
        </w:tc>
        <w:tc>
          <w:tcPr>
            <w:tcW w:w="865" w:type="dxa"/>
            <w:tcBorders/>
            <w:shd w:fill="CCEEFF" w:val="clear"/>
            <w:vAlign w:val="center"/>
          </w:tcPr>
          <w:p>
            <w:pPr>
              <w:pStyle w:val="TableContents"/>
              <w:spacing w:before="0" w:after="283"/>
              <w:rPr/>
            </w:pPr>
            <w:r>
              <w:rPr/>
            </w:r>
          </w:p>
        </w:tc>
        <w:tc>
          <w:tcPr>
            <w:tcW w:w="23" w:type="dxa"/>
            <w:tcBorders/>
            <w:shd w:fill="CCEEFF" w:val="clear"/>
            <w:vAlign w:val="center"/>
          </w:tcPr>
          <w:p>
            <w:pPr>
              <w:pStyle w:val="TableContents"/>
              <w:spacing w:before="0" w:after="283"/>
              <w:rPr/>
            </w:pPr>
            <w:r>
              <w:rPr/>
            </w:r>
          </w:p>
        </w:tc>
      </w:tr>
      <w:tr>
        <w:trPr/>
        <w:tc>
          <w:tcPr>
            <w:tcW w:w="581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 xml:space="preserve">Operating leases </w:t>
            </w:r>
          </w:p>
        </w:tc>
        <w:tc>
          <w:tcPr>
            <w:tcW w:w="60" w:type="dxa"/>
            <w:tcBorders/>
            <w:shd w:fill="FFFFFF" w:val="clear"/>
            <w:vAlign w:val="center"/>
          </w:tcPr>
          <w:p>
            <w:pPr>
              <w:pStyle w:val="TableContents"/>
              <w:spacing w:before="0" w:after="283"/>
              <w:ind w:left="0" w:right="0" w:hanging="0"/>
              <w:rPr/>
            </w:pPr>
            <w:r>
              <w:rPr/>
              <w:t> </w:t>
            </w:r>
          </w:p>
        </w:tc>
        <w:tc>
          <w:tcPr>
            <w:tcW w:w="24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18" w:type="dxa"/>
            <w:tcBorders/>
            <w:shd w:fill="FFFFFF" w:val="clear"/>
            <w:vAlign w:val="center"/>
          </w:tcPr>
          <w:p>
            <w:pPr>
              <w:pStyle w:val="TableContents"/>
              <w:spacing w:before="0" w:after="283"/>
              <w:ind w:left="0" w:right="0" w:hanging="0"/>
              <w:rPr/>
            </w:pPr>
            <w:r>
              <w:rPr/>
              <w:t> </w:t>
            </w:r>
          </w:p>
        </w:tc>
        <w:tc>
          <w:tcPr>
            <w:tcW w:w="45" w:type="dxa"/>
            <w:tcBorders/>
            <w:shd w:fill="FFFFFF" w:val="clear"/>
            <w:vAlign w:val="center"/>
          </w:tcPr>
          <w:p>
            <w:pPr>
              <w:pStyle w:val="TableContents"/>
              <w:spacing w:before="0" w:after="283"/>
              <w:ind w:left="0" w:right="0" w:hanging="0"/>
              <w:rPr/>
            </w:pPr>
            <w:r>
              <w:rPr/>
            </w:r>
          </w:p>
        </w:tc>
        <w:tc>
          <w:tcPr>
            <w:tcW w:w="24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3" w:type="dxa"/>
            <w:tcBorders/>
            <w:shd w:fill="FFFFFF" w:val="clear"/>
            <w:vAlign w:val="center"/>
          </w:tcPr>
          <w:p>
            <w:pPr>
              <w:pStyle w:val="TableContents"/>
              <w:spacing w:before="0" w:after="283"/>
              <w:rPr/>
            </w:pPr>
            <w:r>
              <w:rPr/>
            </w:r>
          </w:p>
        </w:tc>
      </w:tr>
    </w:tbl>
    <w:p>
      <w:pPr>
        <w:pStyle w:val="TextBody"/>
        <w:spacing w:before="0" w:after="0"/>
        <w:ind w:left="0" w:right="0" w:hanging="0"/>
        <w:jc w:val="both"/>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18</w:t>
            </w:r>
            <w:r>
              <w:rPr>
                <w:rFonts w:ascii="Times New Roman" w:hAnsi="Times New Roman"/>
                <w:b w:val="false"/>
                <w:i w:val="false"/>
                <w:caps w:val="false"/>
                <w:smallCaps w:val="false"/>
                <w:color w:val="000000"/>
                <w:spacing w:val="0"/>
                <w:sz w:val="20"/>
              </w:rPr>
              <w:t>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rPr/>
      </w:pPr>
      <w:r>
        <w:rPr/>
        <w:t> </w:t>
      </w:r>
    </w:p>
    <w:p>
      <w:pPr>
        <w:pStyle w:val="TextBody"/>
        <w:widowControl/>
        <w:ind w:left="0" w:right="0" w:hanging="0"/>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Supplemental balance sheet information related to leases was as follows:    </w:t>
      </w:r>
    </w:p>
    <w:p>
      <w:pPr>
        <w:pStyle w:val="TextBody"/>
        <w:widowControl/>
        <w:ind w:left="0" w:right="0" w:hanging="0"/>
        <w:rPr/>
      </w:pPr>
      <w:r>
        <w:rPr/>
      </w:r>
    </w:p>
    <w:tbl>
      <w:tblPr>
        <w:tblW w:w="10012" w:type="dxa"/>
        <w:jc w:val="left"/>
        <w:tblInd w:w="0" w:type="dxa"/>
        <w:tblCellMar>
          <w:top w:w="0" w:type="dxa"/>
          <w:left w:w="0" w:type="dxa"/>
          <w:bottom w:w="0" w:type="dxa"/>
          <w:right w:w="0" w:type="dxa"/>
        </w:tblCellMar>
      </w:tblPr>
      <w:tblGrid>
        <w:gridCol w:w="6155"/>
        <w:gridCol w:w="60"/>
        <w:gridCol w:w="335"/>
        <w:gridCol w:w="1304"/>
        <w:gridCol w:w="185"/>
        <w:gridCol w:w="23"/>
        <w:gridCol w:w="125"/>
        <w:gridCol w:w="1640"/>
        <w:gridCol w:w="185"/>
      </w:tblGrid>
      <w:tr>
        <w:trPr/>
        <w:tc>
          <w:tcPr>
            <w:tcW w:w="6155"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ind w:left="0" w:right="0" w:hanging="0"/>
              <w:rPr/>
            </w:pPr>
            <w:r>
              <w:rPr/>
              <w:t> </w:t>
            </w:r>
          </w:p>
        </w:tc>
        <w:tc>
          <w:tcPr>
            <w:tcW w:w="163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2020</w:t>
            </w:r>
          </w:p>
        </w:tc>
        <w:tc>
          <w:tcPr>
            <w:tcW w:w="18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pPr>
            <w:r>
              <w:rPr/>
            </w:r>
          </w:p>
        </w:tc>
        <w:tc>
          <w:tcPr>
            <w:tcW w:w="125" w:type="dxa"/>
            <w:tcBorders>
              <w:bottom w:val="single" w:sz="8" w:space="0" w:color="000000"/>
            </w:tcBorders>
            <w:shd w:fill="auto" w:val="clear"/>
            <w:tcMar>
              <w:bottom w:w="28" w:type="dxa"/>
            </w:tcMar>
            <w:vAlign w:val="center"/>
          </w:tcPr>
          <w:p>
            <w:pPr>
              <w:pStyle w:val="TableContents"/>
              <w:spacing w:before="0" w:after="283"/>
              <w:rPr/>
            </w:pPr>
            <w:r>
              <w:rPr/>
            </w:r>
          </w:p>
        </w:tc>
        <w:tc>
          <w:tcPr>
            <w:tcW w:w="164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December 31, 2019</w:t>
            </w:r>
          </w:p>
        </w:tc>
        <w:tc>
          <w:tcPr>
            <w:tcW w:w="185" w:type="dxa"/>
            <w:tcBorders/>
            <w:shd w:fill="auto" w:val="clear"/>
            <w:vAlign w:val="center"/>
          </w:tcPr>
          <w:p>
            <w:pPr>
              <w:pStyle w:val="TableContents"/>
              <w:spacing w:before="0" w:after="283"/>
              <w:rPr/>
            </w:pPr>
            <w:r>
              <w:rPr/>
            </w:r>
          </w:p>
        </w:tc>
      </w:tr>
      <w:tr>
        <w:trPr/>
        <w:tc>
          <w:tcPr>
            <w:tcW w:w="61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 xml:space="preserve">Operating lease right-of-use assets </w:t>
            </w:r>
          </w:p>
        </w:tc>
        <w:tc>
          <w:tcPr>
            <w:tcW w:w="60"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1,936</w:t>
            </w:r>
          </w:p>
        </w:tc>
        <w:tc>
          <w:tcPr>
            <w:tcW w:w="185" w:type="dxa"/>
            <w:tcBorders/>
            <w:shd w:fill="CCEEFF" w:val="clear"/>
            <w:vAlign w:val="center"/>
          </w:tcPr>
          <w:p>
            <w:pPr>
              <w:pStyle w:val="TableContents"/>
              <w:spacing w:before="0" w:after="283"/>
              <w:ind w:left="0" w:right="0" w:hanging="0"/>
              <w:rPr/>
            </w:pPr>
            <w:r>
              <w:rPr/>
              <w:t> </w:t>
            </w:r>
          </w:p>
        </w:tc>
        <w:tc>
          <w:tcPr>
            <w:tcW w:w="23" w:type="dxa"/>
            <w:tcBorders/>
            <w:shd w:fill="CCEEFF" w:val="clear"/>
            <w:vAlign w:val="center"/>
          </w:tcPr>
          <w:p>
            <w:pPr>
              <w:pStyle w:val="TableContents"/>
              <w:spacing w:before="0" w:after="283"/>
              <w:ind w:left="0" w:right="0" w:hanging="0"/>
              <w:rPr/>
            </w:pPr>
            <w:r>
              <w:rPr/>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640" w:type="dxa"/>
            <w:tcBorders/>
            <w:shd w:fill="CCEEFF" w:val="cle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2,459</w:t>
            </w:r>
          </w:p>
        </w:tc>
        <w:tc>
          <w:tcPr>
            <w:tcW w:w="185" w:type="dxa"/>
            <w:tcBorders/>
            <w:shd w:fill="CCEEFF" w:val="clear"/>
            <w:vAlign w:val="center"/>
          </w:tcPr>
          <w:p>
            <w:pPr>
              <w:pStyle w:val="TableContents"/>
              <w:spacing w:before="0" w:after="283"/>
              <w:rPr/>
            </w:pPr>
            <w:r>
              <w:rPr/>
            </w:r>
          </w:p>
        </w:tc>
      </w:tr>
      <w:tr>
        <w:trPr/>
        <w:tc>
          <w:tcPr>
            <w:tcW w:w="6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1304"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23" w:type="dxa"/>
            <w:tcBorders/>
            <w:shd w:fill="FFFFFF" w:val="clear"/>
            <w:vAlign w:val="center"/>
          </w:tcPr>
          <w:p>
            <w:pPr>
              <w:pStyle w:val="TableContents"/>
              <w:spacing w:before="0" w:after="283"/>
              <w:rPr/>
            </w:pPr>
            <w:r>
              <w:rPr/>
            </w:r>
          </w:p>
        </w:tc>
        <w:tc>
          <w:tcPr>
            <w:tcW w:w="125" w:type="dxa"/>
            <w:tcBorders/>
            <w:shd w:fill="FFFFFF" w:val="clear"/>
            <w:vAlign w:val="center"/>
          </w:tcPr>
          <w:p>
            <w:pPr>
              <w:pStyle w:val="TableContents"/>
              <w:spacing w:before="0" w:after="283"/>
              <w:rPr/>
            </w:pPr>
            <w:r>
              <w:rPr/>
            </w:r>
          </w:p>
        </w:tc>
        <w:tc>
          <w:tcPr>
            <w:tcW w:w="1640" w:type="dxa"/>
            <w:tcBorders/>
            <w:shd w:fill="FFFFFF" w:val="clear"/>
            <w:vAlign w:val="bottom"/>
          </w:tcPr>
          <w:p>
            <w:pPr>
              <w:pStyle w:val="TableContents"/>
              <w:spacing w:before="0" w:after="283"/>
              <w:rPr/>
            </w:pPr>
            <w:r>
              <w:rPr/>
            </w:r>
          </w:p>
        </w:tc>
        <w:tc>
          <w:tcPr>
            <w:tcW w:w="185" w:type="dxa"/>
            <w:tcBorders/>
            <w:shd w:fill="FFFFFF" w:val="clear"/>
            <w:vAlign w:val="center"/>
          </w:tcPr>
          <w:p>
            <w:pPr>
              <w:pStyle w:val="TableContents"/>
              <w:spacing w:before="0" w:after="283"/>
              <w:rPr/>
            </w:pPr>
            <w:r>
              <w:rPr/>
            </w:r>
          </w:p>
        </w:tc>
      </w:tr>
      <w:tr>
        <w:trPr/>
        <w:tc>
          <w:tcPr>
            <w:tcW w:w="61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 xml:space="preserve">Current portion of operating lease liabilities, included in accrued liabilities </w:t>
            </w:r>
          </w:p>
        </w:tc>
        <w:tc>
          <w:tcPr>
            <w:tcW w:w="60"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579</w:t>
            </w:r>
          </w:p>
        </w:tc>
        <w:tc>
          <w:tcPr>
            <w:tcW w:w="185" w:type="dxa"/>
            <w:tcBorders/>
            <w:shd w:fill="CCEEFF" w:val="clear"/>
            <w:vAlign w:val="center"/>
          </w:tcPr>
          <w:p>
            <w:pPr>
              <w:pStyle w:val="TableContents"/>
              <w:spacing w:before="0" w:after="283"/>
              <w:ind w:left="0" w:right="0" w:hanging="0"/>
              <w:rPr/>
            </w:pPr>
            <w:r>
              <w:rPr/>
              <w:t> </w:t>
            </w:r>
          </w:p>
        </w:tc>
        <w:tc>
          <w:tcPr>
            <w:tcW w:w="23" w:type="dxa"/>
            <w:tcBorders/>
            <w:shd w:fill="CCEEFF" w:val="clear"/>
            <w:vAlign w:val="center"/>
          </w:tcPr>
          <w:p>
            <w:pPr>
              <w:pStyle w:val="TableContents"/>
              <w:spacing w:before="0" w:after="283"/>
              <w:ind w:left="0" w:right="0" w:hanging="0"/>
              <w:rPr/>
            </w:pPr>
            <w:r>
              <w:rPr/>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640" w:type="dxa"/>
            <w:tcBorders/>
            <w:shd w:fill="CCEEFF" w:val="cle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185" w:type="dxa"/>
            <w:tcBorders/>
            <w:shd w:fill="CCEEFF" w:val="clear"/>
            <w:vAlign w:val="center"/>
          </w:tcPr>
          <w:p>
            <w:pPr>
              <w:pStyle w:val="TableContents"/>
              <w:spacing w:before="0" w:after="283"/>
              <w:rPr/>
            </w:pPr>
            <w:r>
              <w:rPr/>
            </w:r>
          </w:p>
        </w:tc>
      </w:tr>
      <w:tr>
        <w:trPr/>
        <w:tc>
          <w:tcPr>
            <w:tcW w:w="615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 xml:space="preserve">Operating lease liabilities, net of current portion </w:t>
            </w:r>
          </w:p>
        </w:tc>
        <w:tc>
          <w:tcPr>
            <w:tcW w:w="60" w:type="dxa"/>
            <w:tcBorders/>
            <w:shd w:fill="FFFFFF" w:val="clear"/>
            <w:vAlign w:val="center"/>
          </w:tcPr>
          <w:p>
            <w:pPr>
              <w:pStyle w:val="TableContents"/>
              <w:spacing w:before="0" w:after="283"/>
              <w:rPr/>
            </w:pPr>
            <w:r>
              <w:rPr/>
              <w:t> </w:t>
            </w:r>
          </w:p>
        </w:tc>
        <w:tc>
          <w:tcPr>
            <w:tcW w:w="335" w:type="dxa"/>
            <w:tcBorders>
              <w:bottom w:val="single" w:sz="8" w:space="0" w:color="000000"/>
            </w:tcBorders>
            <w:shd w:fill="FFFFFF" w:val="clear"/>
            <w:tcMar>
              <w:bottom w:w="28" w:type="dxa"/>
            </w:tcMar>
            <w:vAlign w:val="center"/>
          </w:tcPr>
          <w:p>
            <w:pPr>
              <w:pStyle w:val="TableContents"/>
              <w:spacing w:before="0" w:after="283"/>
              <w:ind w:left="0" w:right="0" w:hanging="0"/>
              <w:rPr/>
            </w:pPr>
            <w:r>
              <w:rPr/>
              <w:t> </w:t>
            </w:r>
          </w:p>
        </w:tc>
        <w:tc>
          <w:tcPr>
            <w:tcW w:w="1304" w:type="dxa"/>
            <w:tcBorders>
              <w:bottom w:val="sing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185" w:type="dxa"/>
            <w:tcBorders/>
            <w:shd w:fill="FFFFFF" w:val="clear"/>
            <w:vAlign w:val="center"/>
          </w:tcPr>
          <w:p>
            <w:pPr>
              <w:pStyle w:val="TableContents"/>
              <w:spacing w:before="0" w:after="283"/>
              <w:ind w:left="0" w:right="0" w:hanging="0"/>
              <w:rPr/>
            </w:pPr>
            <w:r>
              <w:rPr/>
              <w:t> </w:t>
            </w:r>
          </w:p>
        </w:tc>
        <w:tc>
          <w:tcPr>
            <w:tcW w:w="23" w:type="dxa"/>
            <w:tcBorders/>
            <w:shd w:fill="FFFFFF" w:val="clear"/>
            <w:vAlign w:val="center"/>
          </w:tcPr>
          <w:p>
            <w:pPr>
              <w:pStyle w:val="TableContents"/>
              <w:spacing w:before="0" w:after="283"/>
              <w:ind w:left="0" w:right="0" w:hanging="0"/>
              <w:rPr/>
            </w:pPr>
            <w:r>
              <w:rPr/>
            </w:r>
          </w:p>
        </w:tc>
        <w:tc>
          <w:tcPr>
            <w:tcW w:w="125" w:type="dxa"/>
            <w:tcBorders/>
            <w:shd w:fill="FFFFFF" w:val="clear"/>
            <w:vAlign w:val="center"/>
          </w:tcPr>
          <w:p>
            <w:pPr>
              <w:pStyle w:val="TableContents"/>
              <w:spacing w:before="0" w:after="283"/>
              <w:ind w:left="0" w:right="0" w:hanging="0"/>
              <w:rPr/>
            </w:pPr>
            <w:r>
              <w:rPr/>
            </w:r>
          </w:p>
        </w:tc>
        <w:tc>
          <w:tcPr>
            <w:tcW w:w="1640" w:type="dxa"/>
            <w:tcBorders/>
            <w:shd w:fill="FFFFFF" w:val="cle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2,021</w:t>
            </w:r>
          </w:p>
        </w:tc>
        <w:tc>
          <w:tcPr>
            <w:tcW w:w="185" w:type="dxa"/>
            <w:tcBorders/>
            <w:shd w:fill="FFFFFF" w:val="clear"/>
            <w:vAlign w:val="center"/>
          </w:tcPr>
          <w:p>
            <w:pPr>
              <w:pStyle w:val="TableContents"/>
              <w:spacing w:before="0" w:after="283"/>
              <w:rPr/>
            </w:pPr>
            <w:r>
              <w:rPr/>
            </w:r>
          </w:p>
        </w:tc>
      </w:tr>
      <w:tr>
        <w:trPr/>
        <w:tc>
          <w:tcPr>
            <w:tcW w:w="615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 xml:space="preserve">Total operating lease liabilities </w:t>
            </w:r>
          </w:p>
        </w:tc>
        <w:tc>
          <w:tcPr>
            <w:tcW w:w="60" w:type="dxa"/>
            <w:tcBorders/>
            <w:shd w:fill="CCEEFF" w:val="clear"/>
            <w:vAlign w:val="center"/>
          </w:tcPr>
          <w:p>
            <w:pPr>
              <w:pStyle w:val="TableContents"/>
              <w:spacing w:before="0" w:after="283"/>
              <w:rPr/>
            </w:pPr>
            <w:r>
              <w:rPr/>
              <w:t> </w:t>
            </w:r>
          </w:p>
        </w:tc>
        <w:tc>
          <w:tcPr>
            <w:tcW w:w="335" w:type="dxa"/>
            <w:tcBorders>
              <w:bottom w:val="double" w:sz="7"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04" w:type="dxa"/>
            <w:tcBorders>
              <w:bottom w:val="double" w:sz="7"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2,068</w:t>
            </w:r>
          </w:p>
        </w:tc>
        <w:tc>
          <w:tcPr>
            <w:tcW w:w="185" w:type="dxa"/>
            <w:tcBorders/>
            <w:shd w:fill="CCEEFF" w:val="clear"/>
            <w:vAlign w:val="center"/>
          </w:tcPr>
          <w:p>
            <w:pPr>
              <w:pStyle w:val="TableContents"/>
              <w:spacing w:before="0" w:after="283"/>
              <w:ind w:left="0" w:right="0" w:hanging="0"/>
              <w:rPr/>
            </w:pPr>
            <w:r>
              <w:rPr/>
              <w:t> </w:t>
            </w:r>
          </w:p>
        </w:tc>
        <w:tc>
          <w:tcPr>
            <w:tcW w:w="23" w:type="dxa"/>
            <w:tcBorders/>
            <w:shd w:fill="CCEEFF" w:val="clear"/>
            <w:vAlign w:val="center"/>
          </w:tcPr>
          <w:p>
            <w:pPr>
              <w:pStyle w:val="TableContents"/>
              <w:spacing w:before="0" w:after="283"/>
              <w:ind w:left="0" w:right="0" w:hanging="0"/>
              <w:rPr/>
            </w:pPr>
            <w:r>
              <w:rPr/>
            </w:r>
          </w:p>
        </w:tc>
        <w:tc>
          <w:tcPr>
            <w:tcW w:w="125" w:type="dxa"/>
            <w:tcBorders>
              <w:top w:val="single" w:sz="8" w:space="0" w:color="000000"/>
              <w:bottom w:val="double" w:sz="7" w:space="0" w:color="000000"/>
            </w:tcBorders>
            <w:shd w:fill="CCEEFF" w:val="clear"/>
            <w:tcMar>
              <w:top w:w="28" w:type="dxa"/>
              <w:bottom w:w="45"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640" w:type="dxa"/>
            <w:tcBorders>
              <w:top w:val="single" w:sz="8" w:space="0" w:color="000000"/>
              <w:bottom w:val="double" w:sz="7" w:space="0" w:color="000000"/>
            </w:tcBorders>
            <w:shd w:fill="CCEEFF" w:val="clear"/>
            <w:tcMar>
              <w:top w:w="28" w:type="dxa"/>
              <w:bottom w:w="28" w:type="dxa"/>
            </w:tcM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185" w:type="dxa"/>
            <w:tcBorders/>
            <w:shd w:fill="CCEEFF" w:val="clear"/>
            <w:vAlign w:val="center"/>
          </w:tcPr>
          <w:p>
            <w:pPr>
              <w:pStyle w:val="TableContents"/>
              <w:spacing w:before="0" w:after="283"/>
              <w:rPr/>
            </w:pPr>
            <w:r>
              <w:rPr/>
            </w:r>
          </w:p>
        </w:tc>
      </w:tr>
      <w:tr>
        <w:trPr/>
        <w:tc>
          <w:tcPr>
            <w:tcW w:w="6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1304"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23" w:type="dxa"/>
            <w:tcBorders/>
            <w:shd w:fill="FFFFFF" w:val="clear"/>
            <w:vAlign w:val="center"/>
          </w:tcPr>
          <w:p>
            <w:pPr>
              <w:pStyle w:val="TableContents"/>
              <w:spacing w:before="0" w:after="283"/>
              <w:rPr/>
            </w:pPr>
            <w:r>
              <w:rPr/>
            </w:r>
          </w:p>
        </w:tc>
        <w:tc>
          <w:tcPr>
            <w:tcW w:w="125" w:type="dxa"/>
            <w:tcBorders/>
            <w:shd w:fill="FFFFFF" w:val="clear"/>
            <w:vAlign w:val="center"/>
          </w:tcPr>
          <w:p>
            <w:pPr>
              <w:pStyle w:val="TableContents"/>
              <w:spacing w:before="0" w:after="283"/>
              <w:rPr/>
            </w:pPr>
            <w:r>
              <w:rPr/>
            </w:r>
          </w:p>
        </w:tc>
        <w:tc>
          <w:tcPr>
            <w:tcW w:w="1640" w:type="dxa"/>
            <w:tcBorders/>
            <w:shd w:fill="FFFFFF" w:val="clear"/>
            <w:vAlign w:val="bottom"/>
          </w:tcPr>
          <w:p>
            <w:pPr>
              <w:pStyle w:val="TableContents"/>
              <w:spacing w:before="0" w:after="283"/>
              <w:rPr/>
            </w:pPr>
            <w:r>
              <w:rPr/>
            </w:r>
          </w:p>
        </w:tc>
        <w:tc>
          <w:tcPr>
            <w:tcW w:w="185" w:type="dxa"/>
            <w:tcBorders/>
            <w:shd w:fill="FFFFFF" w:val="clear"/>
            <w:vAlign w:val="center"/>
          </w:tcPr>
          <w:p>
            <w:pPr>
              <w:pStyle w:val="TableContents"/>
              <w:spacing w:before="0" w:after="283"/>
              <w:rPr/>
            </w:pPr>
            <w:r>
              <w:rPr/>
            </w:r>
          </w:p>
        </w:tc>
      </w:tr>
      <w:tr>
        <w:trPr/>
        <w:tc>
          <w:tcPr>
            <w:tcW w:w="61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 xml:space="preserve">Weighted average remaining lease term for operating leases (in years)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ind w:left="0" w:right="0" w:hanging="0"/>
              <w:rPr/>
            </w:pPr>
            <w:r>
              <w:rPr/>
              <w:t> </w:t>
            </w:r>
          </w:p>
        </w:tc>
        <w:tc>
          <w:tcPr>
            <w:tcW w:w="130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185" w:type="dxa"/>
            <w:tcBorders/>
            <w:shd w:fill="CCEEFF" w:val="clear"/>
            <w:vAlign w:val="center"/>
          </w:tcPr>
          <w:p>
            <w:pPr>
              <w:pStyle w:val="TableContents"/>
              <w:spacing w:before="0" w:after="283"/>
              <w:ind w:left="0" w:right="0" w:hanging="0"/>
              <w:rPr/>
            </w:pPr>
            <w:r>
              <w:rPr/>
              <w:t> </w:t>
            </w:r>
          </w:p>
        </w:tc>
        <w:tc>
          <w:tcPr>
            <w:tcW w:w="23" w:type="dxa"/>
            <w:tcBorders/>
            <w:shd w:fill="CCEEFF" w:val="clear"/>
            <w:vAlign w:val="center"/>
          </w:tcPr>
          <w:p>
            <w:pPr>
              <w:pStyle w:val="TableContents"/>
              <w:spacing w:before="0" w:after="283"/>
              <w:ind w:left="0" w:right="0" w:hanging="0"/>
              <w:rPr/>
            </w:pPr>
            <w:r>
              <w:rPr/>
            </w:r>
          </w:p>
        </w:tc>
        <w:tc>
          <w:tcPr>
            <w:tcW w:w="125" w:type="dxa"/>
            <w:tcBorders/>
            <w:shd w:fill="CCEEFF" w:val="clear"/>
            <w:vAlign w:val="center"/>
          </w:tcPr>
          <w:p>
            <w:pPr>
              <w:pStyle w:val="TableContents"/>
              <w:spacing w:before="0" w:after="283"/>
              <w:ind w:left="0" w:right="0" w:hanging="0"/>
              <w:rPr/>
            </w:pPr>
            <w:r>
              <w:rPr/>
            </w:r>
          </w:p>
        </w:tc>
        <w:tc>
          <w:tcPr>
            <w:tcW w:w="1640" w:type="dxa"/>
            <w:tcBorders/>
            <w:shd w:fill="CCEEFF" w:val="cle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185" w:type="dxa"/>
            <w:tcBorders/>
            <w:shd w:fill="CCEEFF" w:val="clear"/>
            <w:vAlign w:val="center"/>
          </w:tcPr>
          <w:p>
            <w:pPr>
              <w:pStyle w:val="TableContents"/>
              <w:spacing w:before="0" w:after="283"/>
              <w:rPr/>
            </w:pPr>
            <w:r>
              <w:rPr/>
            </w:r>
          </w:p>
        </w:tc>
      </w:tr>
      <w:tr>
        <w:trPr/>
        <w:tc>
          <w:tcPr>
            <w:tcW w:w="615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 xml:space="preserve">Weighted average discount rate for operating leases </w:t>
            </w:r>
          </w:p>
        </w:tc>
        <w:tc>
          <w:tcPr>
            <w:tcW w:w="60"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ind w:left="0" w:right="0" w:hanging="0"/>
              <w:rPr/>
            </w:pPr>
            <w:r>
              <w:rPr/>
              <w:t> </w:t>
            </w:r>
          </w:p>
        </w:tc>
        <w:tc>
          <w:tcPr>
            <w:tcW w:w="130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FFFFFF"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shd w:fill="FFFFFF" w:val="clear"/>
            <w:vAlign w:val="center"/>
          </w:tcPr>
          <w:p>
            <w:pPr>
              <w:pStyle w:val="TableContents"/>
              <w:spacing w:before="0" w:after="283"/>
              <w:ind w:left="0" w:right="0" w:hanging="0"/>
              <w:rPr/>
            </w:pPr>
            <w:r>
              <w:rPr/>
            </w:r>
          </w:p>
        </w:tc>
        <w:tc>
          <w:tcPr>
            <w:tcW w:w="125" w:type="dxa"/>
            <w:tcBorders/>
            <w:shd w:fill="FFFFFF" w:val="clear"/>
            <w:vAlign w:val="center"/>
          </w:tcPr>
          <w:p>
            <w:pPr>
              <w:pStyle w:val="TableContents"/>
              <w:spacing w:before="0" w:after="283"/>
              <w:ind w:left="0" w:right="0" w:hanging="0"/>
              <w:rPr/>
            </w:pPr>
            <w:r>
              <w:rPr/>
            </w:r>
          </w:p>
        </w:tc>
        <w:tc>
          <w:tcPr>
            <w:tcW w:w="1640" w:type="dxa"/>
            <w:tcBorders/>
            <w:shd w:fill="FFFFFF" w:val="cle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pPr>
      <w:r>
        <w:rPr/>
        <w:t> </w:t>
      </w:r>
    </w:p>
    <w:p>
      <w:pPr>
        <w:pStyle w:val="TextBody"/>
        <w:widowControl/>
        <w:ind w:left="0" w:right="0" w:hanging="0"/>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 following represents maturities of operating lease liabilities as of December 31, 2020:</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3080" w:type="dxa"/>
        <w:jc w:val="left"/>
        <w:tblInd w:w="0" w:type="dxa"/>
        <w:tblCellMar>
          <w:top w:w="0" w:type="dxa"/>
          <w:left w:w="0" w:type="dxa"/>
          <w:bottom w:w="0" w:type="dxa"/>
          <w:right w:w="0" w:type="dxa"/>
        </w:tblCellMar>
      </w:tblPr>
      <w:tblGrid>
        <w:gridCol w:w="2330"/>
        <w:gridCol w:w="60"/>
        <w:gridCol w:w="125"/>
        <w:gridCol w:w="485"/>
        <w:gridCol w:w="80"/>
      </w:tblGrid>
      <w:tr>
        <w:trPr/>
        <w:tc>
          <w:tcPr>
            <w:tcW w:w="2330" w:type="dxa"/>
            <w:tcBorders/>
            <w:shd w:fill="CCEE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Years ending December 31,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2021</w:t>
            </w:r>
          </w:p>
        </w:tc>
        <w:tc>
          <w:tcPr>
            <w:tcW w:w="60" w:type="dxa"/>
            <w:tcBorders/>
            <w:shd w:fill="auto" w:val="clear"/>
            <w:vAlign w:val="center"/>
          </w:tcPr>
          <w:p>
            <w:pPr>
              <w:pStyle w:val="TableContents"/>
              <w:spacing w:before="0" w:after="283"/>
              <w:ind w:left="0" w:right="0" w:hanging="0"/>
              <w:rPr/>
            </w:pPr>
            <w:r>
              <w:rPr/>
              <w:t> </w:t>
            </w:r>
          </w:p>
        </w:tc>
        <w:tc>
          <w:tcPr>
            <w:tcW w:w="125" w:type="dxa"/>
            <w:tcBorders/>
            <w:shd w:fill="auto"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485" w:type="dxa"/>
            <w:tcBorders/>
            <w:shd w:fill="auto"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80" w:type="dxa"/>
            <w:tcBorders/>
            <w:shd w:fill="auto"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80" w:type="dxa"/>
            <w:tcBorders/>
            <w:shd w:fill="CCEEFF"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2023</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ind w:left="0" w:right="0" w:hanging="0"/>
              <w:rPr/>
            </w:pPr>
            <w:r>
              <w:rPr/>
              <w:t> </w:t>
            </w:r>
          </w:p>
        </w:tc>
        <w:tc>
          <w:tcPr>
            <w:tcW w:w="485" w:type="dxa"/>
            <w:tcBorders/>
            <w:shd w:fill="auto"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auto"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 xml:space="preserve">2024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0" w:type="dxa"/>
            <w:tcBorders/>
            <w:shd w:fill="CCEEFF"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 xml:space="preserve">2025 </w:t>
            </w:r>
          </w:p>
        </w:tc>
        <w:tc>
          <w:tcPr>
            <w:tcW w:w="60" w:type="dxa"/>
            <w:tcBorders/>
            <w:shd w:fill="auto" w:val="clear"/>
            <w:vAlign w:val="center"/>
          </w:tcPr>
          <w:p>
            <w:pPr>
              <w:pStyle w:val="TableContents"/>
              <w:spacing w:before="0" w:after="283"/>
              <w:rPr/>
            </w:pPr>
            <w:r>
              <w:rPr/>
              <w:t> </w:t>
            </w:r>
          </w:p>
        </w:tc>
        <w:tc>
          <w:tcPr>
            <w:tcW w:w="125"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auto"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auto"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 lease payments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2,308</w:t>
            </w:r>
          </w:p>
        </w:tc>
        <w:tc>
          <w:tcPr>
            <w:tcW w:w="80" w:type="dxa"/>
            <w:tcBorders/>
            <w:shd w:fill="CCEEFF"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auto" w:val="clear"/>
            <w:vAlign w:val="center"/>
          </w:tcPr>
          <w:p>
            <w:pPr>
              <w:pStyle w:val="TableContents"/>
              <w:spacing w:before="0" w:after="283"/>
              <w:rPr/>
            </w:pPr>
            <w:r>
              <w:rPr/>
              <w:t> </w:t>
            </w:r>
          </w:p>
        </w:tc>
        <w:tc>
          <w:tcPr>
            <w:tcW w:w="125"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auto"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330" w:type="dxa"/>
            <w:tcBorders/>
            <w:shd w:fill="CCEEFF" w:val="cle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4"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485" w:type="dxa"/>
            <w:tcBorders>
              <w:bottom w:val="double" w:sz="4"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2,068</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7. Accrued Liabilities</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Accrued liabilities consist of the following:</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87"/>
        <w:gridCol w:w="183"/>
        <w:gridCol w:w="259"/>
        <w:gridCol w:w="738"/>
        <w:gridCol w:w="183"/>
        <w:gridCol w:w="183"/>
        <w:gridCol w:w="259"/>
        <w:gridCol w:w="807"/>
        <w:gridCol w:w="206"/>
      </w:tblGrid>
      <w:tr>
        <w:trPr/>
        <w:tc>
          <w:tcPr>
            <w:tcW w:w="7387" w:type="dxa"/>
            <w:tcBorders/>
            <w:shd w:fill="auto" w:val="clear"/>
            <w:vAlign w:val="center"/>
          </w:tcPr>
          <w:p>
            <w:pPr>
              <w:pStyle w:val="TableContents"/>
              <w:spacing w:before="0" w:after="0"/>
              <w:ind w:left="0" w:right="0" w:hanging="0"/>
              <w:rPr/>
            </w:pPr>
            <w:r>
              <w:rPr/>
              <w:t xml:space="preserve">  </w:t>
            </w:r>
          </w:p>
        </w:tc>
        <w:tc>
          <w:tcPr>
            <w:tcW w:w="183" w:type="dxa"/>
            <w:tcBorders/>
            <w:shd w:fill="auto" w:val="clear"/>
            <w:vAlign w:val="center"/>
          </w:tcPr>
          <w:p>
            <w:pPr>
              <w:pStyle w:val="TableContents"/>
              <w:spacing w:before="0" w:after="0"/>
              <w:ind w:left="0" w:right="0" w:hanging="0"/>
              <w:rPr/>
            </w:pPr>
            <w:r>
              <w:rPr/>
              <w:t xml:space="preserve">  </w:t>
            </w:r>
          </w:p>
        </w:tc>
        <w:tc>
          <w:tcPr>
            <w:tcW w:w="2429"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206" w:type="dxa"/>
            <w:tcBorders/>
            <w:shd w:fill="auto" w:val="clear"/>
            <w:vAlign w:val="center"/>
          </w:tcPr>
          <w:p>
            <w:pPr>
              <w:pStyle w:val="TableContents"/>
              <w:spacing w:before="0" w:after="0"/>
              <w:ind w:left="0" w:right="0" w:hanging="0"/>
              <w:rPr/>
            </w:pPr>
            <w:r>
              <w:rPr/>
              <w:t xml:space="preserve">  </w:t>
            </w:r>
          </w:p>
        </w:tc>
      </w:tr>
      <w:tr>
        <w:trPr/>
        <w:tc>
          <w:tcPr>
            <w:tcW w:w="7387" w:type="dxa"/>
            <w:tcBorders/>
            <w:shd w:fill="auto" w:val="clear"/>
            <w:vAlign w:val="center"/>
          </w:tcPr>
          <w:p>
            <w:pPr>
              <w:pStyle w:val="TableContents"/>
              <w:spacing w:before="0" w:after="0"/>
              <w:ind w:left="0" w:right="0" w:hanging="0"/>
              <w:rPr/>
            </w:pPr>
            <w:r>
              <w:rPr/>
              <w:t xml:space="preserve">  </w:t>
            </w:r>
          </w:p>
        </w:tc>
        <w:tc>
          <w:tcPr>
            <w:tcW w:w="183" w:type="dxa"/>
            <w:tcBorders/>
            <w:shd w:fill="auto" w:val="clear"/>
            <w:vAlign w:val="center"/>
          </w:tcPr>
          <w:p>
            <w:pPr>
              <w:pStyle w:val="TableContents"/>
              <w:spacing w:before="0" w:after="0"/>
              <w:ind w:left="0" w:right="0" w:hanging="0"/>
              <w:rPr/>
            </w:pPr>
            <w:r>
              <w:rPr/>
              <w:t xml:space="preserve">  </w:t>
            </w:r>
          </w:p>
        </w:tc>
        <w:tc>
          <w:tcPr>
            <w:tcW w:w="99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183" w:type="dxa"/>
            <w:tcBorders/>
            <w:shd w:fill="auto" w:val="clear"/>
            <w:vAlign w:val="center"/>
          </w:tcPr>
          <w:p>
            <w:pPr>
              <w:pStyle w:val="TableContents"/>
              <w:spacing w:before="0" w:after="0"/>
              <w:ind w:left="0" w:right="0" w:hanging="0"/>
              <w:rPr/>
            </w:pPr>
            <w:r>
              <w:rPr/>
              <w:t xml:space="preserve">  </w:t>
            </w:r>
          </w:p>
        </w:tc>
        <w:tc>
          <w:tcPr>
            <w:tcW w:w="183" w:type="dxa"/>
            <w:tcBorders/>
            <w:shd w:fill="auto" w:val="clear"/>
            <w:vAlign w:val="center"/>
          </w:tcPr>
          <w:p>
            <w:pPr>
              <w:pStyle w:val="TableContents"/>
              <w:spacing w:before="0" w:after="0"/>
              <w:ind w:left="0" w:right="0" w:hanging="0"/>
              <w:rPr/>
            </w:pPr>
            <w:r>
              <w:rPr/>
              <w:t xml:space="preserve">  </w:t>
            </w:r>
          </w:p>
        </w:tc>
        <w:tc>
          <w:tcPr>
            <w:tcW w:w="1066"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206" w:type="dxa"/>
            <w:tcBorders/>
            <w:shd w:fill="auto" w:val="clear"/>
            <w:vAlign w:val="center"/>
          </w:tcPr>
          <w:p>
            <w:pPr>
              <w:pStyle w:val="TableContents"/>
              <w:spacing w:before="0" w:after="0"/>
              <w:ind w:left="0" w:right="0" w:hanging="0"/>
              <w:rPr/>
            </w:pPr>
            <w:r>
              <w:rPr/>
              <w:t xml:space="preserve">  </w:t>
            </w:r>
          </w:p>
        </w:tc>
      </w:tr>
      <w:tr>
        <w:trPr/>
        <w:tc>
          <w:tcPr>
            <w:tcW w:w="738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Accrued salaries and other compensation </w:t>
            </w:r>
          </w:p>
        </w:tc>
        <w:tc>
          <w:tcPr>
            <w:tcW w:w="183" w:type="dxa"/>
            <w:tcBorders/>
            <w:shd w:fill="CCEEFF" w:val="clear"/>
            <w:vAlign w:val="center"/>
          </w:tcPr>
          <w:p>
            <w:pPr>
              <w:pStyle w:val="TableContents"/>
              <w:spacing w:before="0" w:after="0"/>
              <w:ind w:left="0" w:right="0" w:hanging="0"/>
              <w:rPr/>
            </w:pPr>
            <w:r>
              <w:rPr/>
              <w:t xml:space="preserve">  </w:t>
            </w:r>
          </w:p>
        </w:tc>
        <w:tc>
          <w:tcPr>
            <w:tcW w:w="25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3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773</w:t>
            </w:r>
          </w:p>
        </w:tc>
        <w:tc>
          <w:tcPr>
            <w:tcW w:w="183" w:type="dxa"/>
            <w:tcBorders/>
            <w:shd w:fill="CCEEFF" w:val="clear"/>
            <w:vAlign w:val="center"/>
          </w:tcPr>
          <w:p>
            <w:pPr>
              <w:pStyle w:val="TableContents"/>
              <w:spacing w:before="0" w:after="0"/>
              <w:ind w:left="0" w:right="0" w:hanging="0"/>
              <w:rPr/>
            </w:pPr>
            <w:r>
              <w:rPr/>
              <w:t xml:space="preserve">  </w:t>
            </w:r>
          </w:p>
        </w:tc>
        <w:tc>
          <w:tcPr>
            <w:tcW w:w="183" w:type="dxa"/>
            <w:tcBorders/>
            <w:shd w:fill="CCEEFF" w:val="clear"/>
            <w:vAlign w:val="center"/>
          </w:tcPr>
          <w:p>
            <w:pPr>
              <w:pStyle w:val="TableContents"/>
              <w:spacing w:before="0" w:after="0"/>
              <w:ind w:left="0" w:right="0" w:hanging="0"/>
              <w:rPr/>
            </w:pPr>
            <w:r>
              <w:rPr/>
              <w:t xml:space="preserve">  </w:t>
            </w:r>
          </w:p>
        </w:tc>
        <w:tc>
          <w:tcPr>
            <w:tcW w:w="25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0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835 </w:t>
            </w:r>
          </w:p>
        </w:tc>
        <w:tc>
          <w:tcPr>
            <w:tcW w:w="206" w:type="dxa"/>
            <w:tcBorders/>
            <w:shd w:fill="CCEEFF" w:val="clear"/>
            <w:vAlign w:val="center"/>
          </w:tcPr>
          <w:p>
            <w:pPr>
              <w:pStyle w:val="TableContents"/>
              <w:spacing w:before="0" w:after="0"/>
              <w:ind w:left="0" w:right="0" w:hanging="0"/>
              <w:rPr/>
            </w:pPr>
            <w:r>
              <w:rPr/>
              <w:t xml:space="preserve">  </w:t>
            </w:r>
          </w:p>
        </w:tc>
      </w:tr>
      <w:tr>
        <w:trPr/>
        <w:tc>
          <w:tcPr>
            <w:tcW w:w="738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Sales and marketing programs and customer credit balances</w:t>
            </w:r>
          </w:p>
        </w:tc>
        <w:tc>
          <w:tcPr>
            <w:tcW w:w="183" w:type="dxa"/>
            <w:tcBorders/>
            <w:shd w:fill="auto" w:val="clear"/>
            <w:vAlign w:val="center"/>
          </w:tcPr>
          <w:p>
            <w:pPr>
              <w:pStyle w:val="TableContents"/>
              <w:spacing w:before="0" w:after="0"/>
              <w:ind w:left="0" w:right="0" w:hanging="0"/>
              <w:rPr/>
            </w:pPr>
            <w:r>
              <w:rPr/>
              <w:t xml:space="preserve">  </w:t>
            </w:r>
          </w:p>
        </w:tc>
        <w:tc>
          <w:tcPr>
            <w:tcW w:w="259" w:type="dxa"/>
            <w:tcBorders/>
            <w:shd w:fill="auto" w:val="clear"/>
            <w:vAlign w:val="center"/>
          </w:tcPr>
          <w:p>
            <w:pPr>
              <w:pStyle w:val="TableContents"/>
              <w:spacing w:before="0" w:after="0"/>
              <w:ind w:left="0" w:right="0" w:hanging="0"/>
              <w:rPr/>
            </w:pPr>
            <w:r>
              <w:rPr/>
              <w:t xml:space="preserve">  </w:t>
            </w:r>
          </w:p>
        </w:tc>
        <w:tc>
          <w:tcPr>
            <w:tcW w:w="73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575</w:t>
            </w:r>
          </w:p>
        </w:tc>
        <w:tc>
          <w:tcPr>
            <w:tcW w:w="183" w:type="dxa"/>
            <w:tcBorders/>
            <w:shd w:fill="auto" w:val="clear"/>
            <w:vAlign w:val="center"/>
          </w:tcPr>
          <w:p>
            <w:pPr>
              <w:pStyle w:val="TableContents"/>
              <w:spacing w:before="0" w:after="0"/>
              <w:ind w:left="0" w:right="0" w:hanging="0"/>
              <w:rPr/>
            </w:pPr>
            <w:r>
              <w:rPr/>
              <w:t xml:space="preserve">  </w:t>
            </w:r>
          </w:p>
        </w:tc>
        <w:tc>
          <w:tcPr>
            <w:tcW w:w="183" w:type="dxa"/>
            <w:tcBorders/>
            <w:shd w:fill="auto" w:val="clear"/>
            <w:vAlign w:val="center"/>
          </w:tcPr>
          <w:p>
            <w:pPr>
              <w:pStyle w:val="TableContents"/>
              <w:spacing w:before="0" w:after="0"/>
              <w:ind w:left="0" w:right="0" w:hanging="0"/>
              <w:rPr/>
            </w:pPr>
            <w:r>
              <w:rPr/>
              <w:t xml:space="preserve">  </w:t>
            </w:r>
          </w:p>
        </w:tc>
        <w:tc>
          <w:tcPr>
            <w:tcW w:w="259" w:type="dxa"/>
            <w:tcBorders/>
            <w:shd w:fill="auto" w:val="clear"/>
            <w:vAlign w:val="center"/>
          </w:tcPr>
          <w:p>
            <w:pPr>
              <w:pStyle w:val="TableContents"/>
              <w:spacing w:before="0" w:after="0"/>
              <w:ind w:left="0" w:right="0" w:hanging="0"/>
              <w:rPr/>
            </w:pPr>
            <w:r>
              <w:rPr/>
              <w:t xml:space="preserve">  </w:t>
            </w:r>
          </w:p>
        </w:tc>
        <w:tc>
          <w:tcPr>
            <w:tcW w:w="807"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378 </w:t>
            </w:r>
          </w:p>
        </w:tc>
        <w:tc>
          <w:tcPr>
            <w:tcW w:w="206" w:type="dxa"/>
            <w:tcBorders/>
            <w:shd w:fill="auto" w:val="clear"/>
            <w:vAlign w:val="center"/>
          </w:tcPr>
          <w:p>
            <w:pPr>
              <w:pStyle w:val="TableContents"/>
              <w:spacing w:before="0" w:after="0"/>
              <w:ind w:left="0" w:right="0" w:hanging="0"/>
              <w:rPr/>
            </w:pPr>
            <w:r>
              <w:rPr/>
              <w:t xml:space="preserve">  </w:t>
            </w:r>
          </w:p>
        </w:tc>
      </w:tr>
      <w:tr>
        <w:trPr/>
        <w:tc>
          <w:tcPr>
            <w:tcW w:w="738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Product warranty </w:t>
            </w:r>
          </w:p>
        </w:tc>
        <w:tc>
          <w:tcPr>
            <w:tcW w:w="183" w:type="dxa"/>
            <w:tcBorders/>
            <w:shd w:fill="CCEEFF" w:val="clear"/>
            <w:vAlign w:val="center"/>
          </w:tcPr>
          <w:p>
            <w:pPr>
              <w:pStyle w:val="TableContents"/>
              <w:spacing w:before="0" w:after="0"/>
              <w:ind w:left="0" w:right="0" w:hanging="0"/>
              <w:rPr/>
            </w:pPr>
            <w:r>
              <w:rPr/>
              <w:t xml:space="preserve">  </w:t>
            </w:r>
          </w:p>
        </w:tc>
        <w:tc>
          <w:tcPr>
            <w:tcW w:w="259" w:type="dxa"/>
            <w:tcBorders/>
            <w:shd w:fill="CCEEFF" w:val="clear"/>
            <w:vAlign w:val="center"/>
          </w:tcPr>
          <w:p>
            <w:pPr>
              <w:pStyle w:val="TableContents"/>
              <w:spacing w:before="0" w:after="0"/>
              <w:ind w:left="0" w:right="0" w:hanging="0"/>
              <w:rPr/>
            </w:pPr>
            <w:r>
              <w:rPr/>
              <w:t xml:space="preserve">  </w:t>
            </w:r>
          </w:p>
        </w:tc>
        <w:tc>
          <w:tcPr>
            <w:tcW w:w="73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183" w:type="dxa"/>
            <w:tcBorders/>
            <w:shd w:fill="CCEEFF" w:val="clear"/>
            <w:vAlign w:val="center"/>
          </w:tcPr>
          <w:p>
            <w:pPr>
              <w:pStyle w:val="TableContents"/>
              <w:spacing w:before="0" w:after="0"/>
              <w:ind w:left="0" w:right="0" w:hanging="0"/>
              <w:rPr/>
            </w:pPr>
            <w:r>
              <w:rPr/>
              <w:t xml:space="preserve">  </w:t>
            </w:r>
          </w:p>
        </w:tc>
        <w:tc>
          <w:tcPr>
            <w:tcW w:w="183" w:type="dxa"/>
            <w:tcBorders/>
            <w:shd w:fill="CCEEFF" w:val="clear"/>
            <w:vAlign w:val="center"/>
          </w:tcPr>
          <w:p>
            <w:pPr>
              <w:pStyle w:val="TableContents"/>
              <w:spacing w:before="0" w:after="0"/>
              <w:ind w:left="0" w:right="0" w:hanging="0"/>
              <w:rPr/>
            </w:pPr>
            <w:r>
              <w:rPr/>
              <w:t xml:space="preserve">  </w:t>
            </w:r>
          </w:p>
        </w:tc>
        <w:tc>
          <w:tcPr>
            <w:tcW w:w="259" w:type="dxa"/>
            <w:tcBorders/>
            <w:shd w:fill="CCEEFF" w:val="clear"/>
            <w:vAlign w:val="center"/>
          </w:tcPr>
          <w:p>
            <w:pPr>
              <w:pStyle w:val="TableContents"/>
              <w:spacing w:before="0" w:after="0"/>
              <w:ind w:left="0" w:right="0" w:hanging="0"/>
              <w:rPr/>
            </w:pPr>
            <w:r>
              <w:rPr/>
              <w:t xml:space="preserve">  </w:t>
            </w:r>
          </w:p>
        </w:tc>
        <w:tc>
          <w:tcPr>
            <w:tcW w:w="80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194 </w:t>
            </w:r>
          </w:p>
        </w:tc>
        <w:tc>
          <w:tcPr>
            <w:tcW w:w="206" w:type="dxa"/>
            <w:tcBorders/>
            <w:shd w:fill="CCEEFF" w:val="clear"/>
            <w:vAlign w:val="center"/>
          </w:tcPr>
          <w:p>
            <w:pPr>
              <w:pStyle w:val="TableContents"/>
              <w:spacing w:before="0" w:after="0"/>
              <w:ind w:left="0" w:right="0" w:hanging="0"/>
              <w:rPr/>
            </w:pPr>
            <w:r>
              <w:rPr/>
              <w:t xml:space="preserve">  </w:t>
            </w:r>
          </w:p>
        </w:tc>
      </w:tr>
      <w:tr>
        <w:trPr/>
        <w:tc>
          <w:tcPr>
            <w:tcW w:w="7387" w:type="dxa"/>
            <w:tcBorders/>
            <w:shd w:fill="auto" w:val="clear"/>
            <w:vAlign w:val="center"/>
          </w:tcPr>
          <w:p>
            <w:pPr>
              <w:pStyle w:val="TableContents"/>
              <w:spacing w:before="0" w:after="283"/>
              <w:rPr/>
            </w:pPr>
            <w:r>
              <w:rPr/>
              <w:t>Current portion of operating lease liabilities </w:t>
            </w:r>
          </w:p>
        </w:tc>
        <w:tc>
          <w:tcPr>
            <w:tcW w:w="183" w:type="dxa"/>
            <w:tcBorders/>
            <w:shd w:fill="auto" w:val="clear"/>
            <w:vAlign w:val="center"/>
          </w:tcPr>
          <w:p>
            <w:pPr>
              <w:pStyle w:val="TableContents"/>
              <w:spacing w:before="0" w:after="283"/>
              <w:rPr/>
            </w:pPr>
            <w:r>
              <w:rPr/>
            </w:r>
          </w:p>
        </w:tc>
        <w:tc>
          <w:tcPr>
            <w:tcW w:w="259" w:type="dxa"/>
            <w:tcBorders/>
            <w:shd w:fill="auto" w:val="clear"/>
            <w:vAlign w:val="center"/>
          </w:tcPr>
          <w:p>
            <w:pPr>
              <w:pStyle w:val="TableContents"/>
              <w:spacing w:before="0" w:after="283"/>
              <w:rPr/>
            </w:pPr>
            <w:r>
              <w:rPr/>
            </w:r>
          </w:p>
        </w:tc>
        <w:tc>
          <w:tcPr>
            <w:tcW w:w="738" w:type="dxa"/>
            <w:tcBorders/>
            <w:shd w:fill="auto" w:val="clear"/>
            <w:vAlign w:val="center"/>
          </w:tcPr>
          <w:p>
            <w:pPr>
              <w:pStyle w:val="TableContents"/>
              <w:spacing w:before="0" w:after="283"/>
              <w:jc w:val="right"/>
              <w:rPr/>
            </w:pPr>
            <w:r>
              <w:rPr/>
              <w:t>579</w:t>
            </w:r>
          </w:p>
        </w:tc>
        <w:tc>
          <w:tcPr>
            <w:tcW w:w="183" w:type="dxa"/>
            <w:tcBorders/>
            <w:shd w:fill="auto" w:val="clear"/>
            <w:vAlign w:val="center"/>
          </w:tcPr>
          <w:p>
            <w:pPr>
              <w:pStyle w:val="TableContents"/>
              <w:spacing w:before="0" w:after="283"/>
              <w:rPr/>
            </w:pPr>
            <w:r>
              <w:rPr/>
            </w:r>
          </w:p>
        </w:tc>
        <w:tc>
          <w:tcPr>
            <w:tcW w:w="183" w:type="dxa"/>
            <w:tcBorders/>
            <w:shd w:fill="auto" w:val="clear"/>
            <w:vAlign w:val="center"/>
          </w:tcPr>
          <w:p>
            <w:pPr>
              <w:pStyle w:val="TableContents"/>
              <w:spacing w:before="0" w:after="283"/>
              <w:rPr/>
            </w:pPr>
            <w:r>
              <w:rPr/>
            </w:r>
          </w:p>
        </w:tc>
        <w:tc>
          <w:tcPr>
            <w:tcW w:w="259" w:type="dxa"/>
            <w:tcBorders/>
            <w:shd w:fill="auto" w:val="clear"/>
            <w:vAlign w:val="center"/>
          </w:tcPr>
          <w:p>
            <w:pPr>
              <w:pStyle w:val="TableContents"/>
              <w:spacing w:before="0" w:after="283"/>
              <w:rPr/>
            </w:pPr>
            <w:r>
              <w:rPr/>
            </w:r>
          </w:p>
        </w:tc>
        <w:tc>
          <w:tcPr>
            <w:tcW w:w="807" w:type="dxa"/>
            <w:tcBorders/>
            <w:shd w:fill="auto" w:val="clear"/>
            <w:vAlign w:val="center"/>
          </w:tcPr>
          <w:p>
            <w:pPr>
              <w:pStyle w:val="TableContents"/>
              <w:spacing w:before="0" w:after="283"/>
              <w:jc w:val="right"/>
              <w:rPr/>
            </w:pPr>
            <w:r>
              <w:rPr/>
              <w:t>577</w:t>
            </w:r>
          </w:p>
        </w:tc>
        <w:tc>
          <w:tcPr>
            <w:tcW w:w="206" w:type="dxa"/>
            <w:tcBorders/>
            <w:shd w:fill="auto" w:val="clear"/>
            <w:vAlign w:val="center"/>
          </w:tcPr>
          <w:p>
            <w:pPr>
              <w:pStyle w:val="TableContents"/>
              <w:spacing w:before="0" w:after="283"/>
              <w:rPr/>
            </w:pPr>
            <w:r>
              <w:rPr/>
            </w:r>
          </w:p>
        </w:tc>
      </w:tr>
      <w:tr>
        <w:trPr/>
        <w:tc>
          <w:tcPr>
            <w:tcW w:w="7387" w:type="dxa"/>
            <w:tcBorders/>
            <w:shd w:fill="CCEEFF" w:val="clear"/>
            <w:vAlign w:val="center"/>
          </w:tcPr>
          <w:p>
            <w:pPr>
              <w:pStyle w:val="TableContents"/>
              <w:spacing w:before="0" w:after="283"/>
              <w:rPr/>
            </w:pPr>
            <w:r>
              <w:rPr/>
              <w:t>Accrued legal fees and costs</w:t>
            </w:r>
          </w:p>
        </w:tc>
        <w:tc>
          <w:tcPr>
            <w:tcW w:w="183" w:type="dxa"/>
            <w:tcBorders/>
            <w:shd w:fill="CCEEFF" w:val="clear"/>
            <w:vAlign w:val="center"/>
          </w:tcPr>
          <w:p>
            <w:pPr>
              <w:pStyle w:val="TableContents"/>
              <w:spacing w:before="0" w:after="283"/>
              <w:rPr/>
            </w:pPr>
            <w:r>
              <w:rPr/>
            </w:r>
          </w:p>
        </w:tc>
        <w:tc>
          <w:tcPr>
            <w:tcW w:w="259" w:type="dxa"/>
            <w:tcBorders/>
            <w:shd w:fill="CCEEFF" w:val="clear"/>
            <w:vAlign w:val="center"/>
          </w:tcPr>
          <w:p>
            <w:pPr>
              <w:pStyle w:val="TableContents"/>
              <w:spacing w:before="0" w:after="283"/>
              <w:rPr/>
            </w:pPr>
            <w:r>
              <w:rPr/>
            </w:r>
          </w:p>
        </w:tc>
        <w:tc>
          <w:tcPr>
            <w:tcW w:w="738" w:type="dxa"/>
            <w:tcBorders/>
            <w:shd w:fill="CCEEFF" w:val="clear"/>
            <w:vAlign w:val="center"/>
          </w:tcPr>
          <w:p>
            <w:pPr>
              <w:pStyle w:val="TableContents"/>
              <w:spacing w:before="0" w:after="283"/>
              <w:jc w:val="right"/>
              <w:rPr/>
            </w:pPr>
            <w:r>
              <w:rPr/>
              <w:t>78</w:t>
            </w:r>
          </w:p>
        </w:tc>
        <w:tc>
          <w:tcPr>
            <w:tcW w:w="183" w:type="dxa"/>
            <w:tcBorders/>
            <w:shd w:fill="CCEEFF" w:val="clear"/>
            <w:vAlign w:val="center"/>
          </w:tcPr>
          <w:p>
            <w:pPr>
              <w:pStyle w:val="TableContents"/>
              <w:spacing w:before="0" w:after="283"/>
              <w:rPr/>
            </w:pPr>
            <w:r>
              <w:rPr/>
            </w:r>
          </w:p>
        </w:tc>
        <w:tc>
          <w:tcPr>
            <w:tcW w:w="183" w:type="dxa"/>
            <w:tcBorders/>
            <w:shd w:fill="CCEEFF" w:val="clear"/>
            <w:vAlign w:val="center"/>
          </w:tcPr>
          <w:p>
            <w:pPr>
              <w:pStyle w:val="TableContents"/>
              <w:spacing w:before="0" w:after="283"/>
              <w:rPr/>
            </w:pPr>
            <w:r>
              <w:rPr/>
            </w:r>
          </w:p>
        </w:tc>
        <w:tc>
          <w:tcPr>
            <w:tcW w:w="259" w:type="dxa"/>
            <w:tcBorders/>
            <w:shd w:fill="CCEEFF" w:val="clear"/>
            <w:vAlign w:val="center"/>
          </w:tcPr>
          <w:p>
            <w:pPr>
              <w:pStyle w:val="TableContents"/>
              <w:spacing w:before="0" w:after="283"/>
              <w:rPr/>
            </w:pPr>
            <w:r>
              <w:rPr/>
            </w:r>
          </w:p>
        </w:tc>
        <w:tc>
          <w:tcPr>
            <w:tcW w:w="807" w:type="dxa"/>
            <w:tcBorders/>
            <w:shd w:fill="CCEEFF" w:val="clear"/>
            <w:vAlign w:val="center"/>
          </w:tcPr>
          <w:p>
            <w:pPr>
              <w:pStyle w:val="TableContents"/>
              <w:spacing w:before="0" w:after="283"/>
              <w:jc w:val="right"/>
              <w:rPr/>
            </w:pPr>
            <w:r>
              <w:rPr/>
              <w:t>772</w:t>
            </w:r>
          </w:p>
        </w:tc>
        <w:tc>
          <w:tcPr>
            <w:tcW w:w="206" w:type="dxa"/>
            <w:tcBorders/>
            <w:shd w:fill="CCEEFF" w:val="clear"/>
            <w:vAlign w:val="center"/>
          </w:tcPr>
          <w:p>
            <w:pPr>
              <w:pStyle w:val="TableContents"/>
              <w:spacing w:before="0" w:after="283"/>
              <w:rPr/>
            </w:pPr>
            <w:r>
              <w:rPr/>
            </w:r>
          </w:p>
        </w:tc>
      </w:tr>
      <w:tr>
        <w:trPr/>
        <w:tc>
          <w:tcPr>
            <w:tcW w:w="7387" w:type="dxa"/>
            <w:tcBorders/>
            <w:shd w:fill="auto" w:val="clear"/>
            <w:vAlign w:val="center"/>
          </w:tcPr>
          <w:p>
            <w:pPr>
              <w:pStyle w:val="TableContents"/>
              <w:spacing w:before="0" w:after="0"/>
              <w:ind w:left="0" w:right="0" w:hanging="0"/>
              <w:rPr/>
            </w:pPr>
            <w:r>
              <w:rPr/>
              <w:t xml:space="preserve">Other accrued liabilities </w:t>
            </w:r>
          </w:p>
        </w:tc>
        <w:tc>
          <w:tcPr>
            <w:tcW w:w="183" w:type="dxa"/>
            <w:tcBorders/>
            <w:shd w:fill="auto" w:val="clear"/>
            <w:vAlign w:val="center"/>
          </w:tcPr>
          <w:p>
            <w:pPr>
              <w:pStyle w:val="TableContents"/>
              <w:spacing w:before="0" w:after="0"/>
              <w:ind w:left="0" w:right="0" w:hanging="0"/>
              <w:rPr/>
            </w:pPr>
            <w:r>
              <w:rPr/>
              <w:t xml:space="preserve">  </w:t>
            </w:r>
          </w:p>
        </w:tc>
        <w:tc>
          <w:tcPr>
            <w:tcW w:w="25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38"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153</w:t>
            </w:r>
          </w:p>
        </w:tc>
        <w:tc>
          <w:tcPr>
            <w:tcW w:w="183" w:type="dxa"/>
            <w:tcBorders/>
            <w:shd w:fill="auto" w:val="clear"/>
            <w:vAlign w:val="center"/>
          </w:tcPr>
          <w:p>
            <w:pPr>
              <w:pStyle w:val="TableContents"/>
              <w:spacing w:before="0" w:after="0"/>
              <w:ind w:left="0" w:right="0" w:hanging="0"/>
              <w:rPr/>
            </w:pPr>
            <w:r>
              <w:rPr/>
              <w:t xml:space="preserve">  </w:t>
            </w:r>
          </w:p>
        </w:tc>
        <w:tc>
          <w:tcPr>
            <w:tcW w:w="183" w:type="dxa"/>
            <w:tcBorders/>
            <w:shd w:fill="auto" w:val="clear"/>
            <w:vAlign w:val="center"/>
          </w:tcPr>
          <w:p>
            <w:pPr>
              <w:pStyle w:val="TableContents"/>
              <w:spacing w:before="0" w:after="0"/>
              <w:ind w:left="0" w:right="0" w:hanging="0"/>
              <w:rPr/>
            </w:pPr>
            <w:r>
              <w:rPr/>
              <w:t xml:space="preserve">  </w:t>
            </w:r>
          </w:p>
        </w:tc>
        <w:tc>
          <w:tcPr>
            <w:tcW w:w="25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07"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449 </w:t>
            </w:r>
          </w:p>
        </w:tc>
        <w:tc>
          <w:tcPr>
            <w:tcW w:w="206" w:type="dxa"/>
            <w:tcBorders/>
            <w:shd w:fill="auto" w:val="clear"/>
            <w:vAlign w:val="center"/>
          </w:tcPr>
          <w:p>
            <w:pPr>
              <w:pStyle w:val="TableContents"/>
              <w:spacing w:before="0" w:after="0"/>
              <w:ind w:left="0" w:right="0" w:hanging="0"/>
              <w:rPr/>
            </w:pPr>
            <w:r>
              <w:rPr/>
              <w:t xml:space="preserve">  </w:t>
            </w:r>
          </w:p>
        </w:tc>
      </w:tr>
      <w:tr>
        <w:trPr/>
        <w:tc>
          <w:tcPr>
            <w:tcW w:w="7387" w:type="dxa"/>
            <w:tcBorders/>
            <w:shd w:fill="CCEEFF" w:val="clear"/>
            <w:vAlign w:val="center"/>
          </w:tcPr>
          <w:p>
            <w:pPr>
              <w:pStyle w:val="TableContents"/>
              <w:spacing w:before="0" w:after="0"/>
              <w:ind w:left="180" w:right="0" w:hanging="0"/>
              <w:rPr/>
            </w:pPr>
            <w:r>
              <w:rPr/>
              <w:t>Total </w:t>
            </w:r>
          </w:p>
        </w:tc>
        <w:tc>
          <w:tcPr>
            <w:tcW w:w="183" w:type="dxa"/>
            <w:tcBorders/>
            <w:shd w:fill="CCEEFF" w:val="clear"/>
            <w:vAlign w:val="center"/>
          </w:tcPr>
          <w:p>
            <w:pPr>
              <w:pStyle w:val="TableContents"/>
              <w:spacing w:before="0" w:after="0"/>
              <w:ind w:left="0" w:right="0" w:hanging="0"/>
              <w:rPr/>
            </w:pPr>
            <w:r>
              <w:rPr/>
              <w:t xml:space="preserve">  </w:t>
            </w:r>
          </w:p>
        </w:tc>
        <w:tc>
          <w:tcPr>
            <w:tcW w:w="25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3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2,352</w:t>
            </w:r>
          </w:p>
        </w:tc>
        <w:tc>
          <w:tcPr>
            <w:tcW w:w="183" w:type="dxa"/>
            <w:tcBorders/>
            <w:shd w:fill="CCEEFF" w:val="clear"/>
            <w:vAlign w:val="center"/>
          </w:tcPr>
          <w:p>
            <w:pPr>
              <w:pStyle w:val="TableContents"/>
              <w:spacing w:before="0" w:after="0"/>
              <w:ind w:left="0" w:right="0" w:hanging="0"/>
              <w:rPr/>
            </w:pPr>
            <w:r>
              <w:rPr/>
              <w:t xml:space="preserve">  </w:t>
            </w:r>
          </w:p>
        </w:tc>
        <w:tc>
          <w:tcPr>
            <w:tcW w:w="183" w:type="dxa"/>
            <w:tcBorders/>
            <w:shd w:fill="CCEEFF" w:val="clear"/>
            <w:vAlign w:val="center"/>
          </w:tcPr>
          <w:p>
            <w:pPr>
              <w:pStyle w:val="TableContents"/>
              <w:spacing w:before="0" w:after="0"/>
              <w:ind w:left="0" w:right="0" w:hanging="0"/>
              <w:rPr/>
            </w:pPr>
            <w:r>
              <w:rPr/>
              <w:t xml:space="preserve">  </w:t>
            </w:r>
          </w:p>
        </w:tc>
        <w:tc>
          <w:tcPr>
            <w:tcW w:w="25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3,205 </w:t>
            </w:r>
          </w:p>
        </w:tc>
        <w:tc>
          <w:tcPr>
            <w:tcW w:w="206"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144" w:right="144" w:hanging="0"/>
        <w:jc w:val="both"/>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F-19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pPr>
      <w:r>
        <w:rPr/>
        <w:t> </w:t>
      </w:r>
    </w:p>
    <w:p>
      <w:pPr>
        <w:pStyle w:val="TextBody"/>
        <w:spacing w:lineRule="auto" w:line="288" w:before="0" w:after="0"/>
        <w:ind w:left="0" w:right="0" w:hanging="0"/>
        <w:jc w:val="both"/>
        <w:rPr>
          <w:rFonts w:ascii="Times New Roman" w:hAnsi="Times New Roman"/>
          <w:b/>
          <w:sz w:val="20"/>
        </w:rPr>
      </w:pPr>
      <w:r>
        <w:rPr>
          <w:rFonts w:ascii="Times New Roman" w:hAnsi="Times New Roman"/>
          <w:b/>
          <w:sz w:val="20"/>
        </w:rPr>
        <w:t>8. Commitments and Contingencies</w:t>
      </w:r>
    </w:p>
    <w:p>
      <w:pPr>
        <w:pStyle w:val="TextBody"/>
        <w:spacing w:lineRule="auto" w:line="288" w:before="0" w:after="0"/>
        <w:ind w:left="0" w:right="0" w:hanging="0"/>
        <w:jc w:val="both"/>
        <w:rPr/>
      </w:pPr>
      <w:r>
        <w:rPr/>
        <w:t> </w:t>
      </w:r>
    </w:p>
    <w:p>
      <w:pPr>
        <w:pStyle w:val="TextBody"/>
        <w:spacing w:lineRule="atLeast" w:line="240" w:before="0" w:after="0"/>
        <w:ind w:left="0" w:right="0" w:hanging="0"/>
        <w:jc w:val="both"/>
        <w:rPr>
          <w:rFonts w:ascii="times new roman;times" w:hAnsi="times new roman;times"/>
          <w:sz w:val="20"/>
        </w:rPr>
      </w:pPr>
      <w:r>
        <w:rPr>
          <w:rFonts w:ascii="Times New Roman" w:hAnsi="Times New Roman"/>
          <w:sz w:val="20"/>
        </w:rPr>
        <w:t xml:space="preserve">We establish contingent liabilities </w:t>
      </w:r>
      <w:r>
        <w:rPr>
          <w:rFonts w:ascii="Times New Roman;serif" w:hAnsi="Times New Roman;serif"/>
          <w:sz w:val="20"/>
        </w:rPr>
        <w:t>when a particular contingency is both probable and estimable. The Company is not aware of any pending claims or assessments, other than as described below, which may have a material adverse impact on the Company’s financial position or results of operations.</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Outsource Manufacturers. We have manufacturing agreements with electronics manufacturing service (“EMS”) providers related to the outsourced 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$3,369 as of December 31, 2020.</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pPr>
      <w:r>
        <w:rPr>
          <w:rFonts w:ascii="Times New Roman;serif" w:hAnsi="Times New Roman;serif"/>
          <w:sz w:val="20"/>
        </w:rPr>
        <w:t xml:space="preserve">Uncertain Tax Positions. As further discussed in </w:t>
      </w:r>
      <w:hyperlink w:anchor="Note 13 - Income Taxes">
        <w:r>
          <w:rPr>
            <w:rStyle w:val="InternetLink"/>
            <w:rFonts w:ascii="Times New Roman;serif" w:hAnsi="Times New Roman;serif"/>
            <w:sz w:val="20"/>
          </w:rPr>
          <w:t>Note 13 - Income Taxes</w:t>
        </w:r>
      </w:hyperlink>
      <w:r>
        <w:rPr>
          <w:rFonts w:ascii="Times New Roman;serif" w:hAnsi="Times New Roman;serif"/>
          <w:sz w:val="20"/>
        </w:rPr>
        <w:t>, we had $861 of uncertain tax positions as of December 31, 2020. Due to the inherent uncertainty of the underlying tax positions, it is not possible to forecast the payment of this liability to any particular year.</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i/>
          <w:sz w:val="20"/>
        </w:rPr>
      </w:pPr>
      <w:r>
        <w:rPr>
          <w:rFonts w:ascii="Times New Roman;serif" w:hAnsi="Times New Roman;serif"/>
          <w:i/>
          <w:sz w:val="20"/>
        </w:rPr>
        <w:t>Legal Proceedings.</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u w:val="single"/>
        </w:rPr>
      </w:pPr>
      <w:r>
        <w:rPr>
          <w:rFonts w:ascii="Times New Roman;serif" w:hAnsi="Times New Roman;serif"/>
          <w:sz w:val="20"/>
          <w:u w:val="single"/>
        </w:rPr>
        <w:t>Intellectual Property Litigation</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The Company is involved in litigation against Shure Incorporated (“Shure”).</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u w:val="single"/>
        </w:rPr>
        <w:t>Shure, Incorporated v. ClearOne, Inc.</w:t>
      </w:r>
      <w:r>
        <w:rPr>
          <w:rFonts w:ascii="Times New Roman;serif" w:hAnsi="Times New Roman;serif"/>
          <w:sz w:val="20"/>
        </w:rPr>
        <w:t>, 17-cv-3078 (N.D. of Illinois)</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 xml:space="preserve">Shure filed the first lawsuit on April 24, 2017, by filing a complaint in the U.S. District Court for the Northern District of Illinois seeking a declaratory judgment of non-infringement and invalidity of the Company’s U.S. Patent No. 9,635,186 (“’186 Patent”) and Patent No. 9,264,553 (“’553 Patent”). The matter is </w:t>
      </w:r>
      <w:r>
        <w:rPr>
          <w:rFonts w:ascii="Times New Roman;serif" w:hAnsi="Times New Roman;serif"/>
          <w:i/>
          <w:sz w:val="20"/>
        </w:rPr>
        <w:t>Shure Inc. v. ClearOne, Inc.</w:t>
      </w:r>
      <w:r>
        <w:rPr>
          <w:rFonts w:ascii="Times New Roman;serif" w:hAnsi="Times New Roman;serif"/>
          <w:sz w:val="20"/>
        </w:rPr>
        <w:t>, Case No. 17-cv-03078 (the “2017 N.D. Illinois Matter”).  In early 2018, Shure added a claim that the ’186 Patent is unenforceable. The Court dismissed Shure’s request for declaratory judgment relating to the ’553 Patent, which at the time in 2017, had not been threatened or asserted by the Company against Shure and had been submitted to the USPTO for reissue. The Company has filed counterclaims against Shure for willful infringement of the Company’s ’186 Patent and the Company’s U.S. Patent No. 9,813,806 (“’806 Patent”).</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On August 6, 2017, the Company filed a motion seeking a preliminary injunction to enjoin Shure from continuing to infringe on the Company’s ’186 Patent. On March 16, 2018, the Court denied the Company’s motion for preliminary injunction regarding the ’186 Patent. On February 6, 2019, the Company filed a motion for reconsideration in light of the PTAB’s January 24, 2019, decision confirming the patentability of the related ’553 Patent.  On August 25, 2019, the Court denied the Company’s motion for reconsideration.</w:t>
      </w:r>
    </w:p>
    <w:p>
      <w:pPr>
        <w:pStyle w:val="TextBody"/>
        <w:spacing w:lineRule="atLeast" w:line="288"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On April 17, 2018, the Company filed a motion seeking a preliminary injunction to enjoin Shure from continuing to infringe on the Company’s ’806 Patent.  On August 6, 2019, the Court granted the Company’s motion for preliminary injunction regarding the ’806 Patent preventing Shure from manufacturing, marketing, and selling the Shure MXA910 Ceiling Array Microphone for use in its “drop-ceiling mounting configuration.”  The Court determined that such sales are likely to infringe the ’806 Patent and that Shure had not raised a substantial question of the ’806 Patent validity.  The Court’s order also prevents Shure from encouraging others to use the Shure MXA910 beamforming microphone array in the “drop-ceiling mounting configuration” and “applies to Shure’s officers, agents, servants, employees, and attorneys, as well as anyone who is in active concert or participation with those listed persons.” On August 20, 2019, the Company deposited $4,452,149.60 with the Court to satisfy a bond securing the preliminary injunction.</w:t>
      </w:r>
    </w:p>
    <w:p>
      <w:pPr>
        <w:pStyle w:val="TextBody"/>
        <w:spacing w:lineRule="auto" w:line="288" w:before="0" w:after="0"/>
        <w:ind w:left="0" w:right="0" w:hanging="0"/>
        <w:jc w:val="center"/>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F-20 |</w:t>
            </w:r>
          </w:p>
        </w:tc>
      </w:tr>
    </w:tbl>
    <w:p>
      <w:pPr>
        <w:pStyle w:val="HorizontalLine"/>
        <w:spacing w:lineRule="auto" w:line="288"/>
        <w:jc w:val="both"/>
        <w:rPr/>
      </w:pPr>
      <w:r>
        <w:rPr/>
      </w:r>
    </w:p>
    <w:p>
      <w:pPr>
        <w:pStyle w:val="TextBody"/>
        <w:spacing w:lineRule="auto" w:line="288"/>
        <w:jc w:val="left"/>
        <w:rPr/>
      </w:pPr>
      <w:hyperlink w:anchor="TOC">
        <w:r>
          <w:rPr>
            <w:rStyle w:val="InternetLink"/>
            <w:rFonts w:ascii="times new roman;times" w:hAnsi="times new roman;times"/>
            <w:sz w:val="20"/>
          </w:rPr>
          <w:t>Table of Contents</w:t>
        </w:r>
      </w:hyperlink>
    </w:p>
    <w:p>
      <w:pPr>
        <w:pStyle w:val="TextBody"/>
        <w:spacing w:lineRule="auto" w:line="288" w:before="0" w:after="0"/>
        <w:ind w:left="0" w:right="0" w:hanging="0"/>
        <w:jc w:val="center"/>
        <w:rPr/>
      </w:pPr>
      <w:r>
        <w:rPr/>
      </w:r>
    </w:p>
    <w:p>
      <w:pPr>
        <w:pStyle w:val="TextBody"/>
        <w:spacing w:lineRule="auto" w:line="288"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88"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 xml:space="preserve">On February 21, 2020, the Company asked for a Court order that Shure has been manufacturing, marketing, and selling its redesigned MXA910, the MXA910-A released in December 2019, in violation of a preliminary injunction issued on August 20, 2019.  On September 1, 2020, the Court held Shure in contempt of court for violating the Court’s August 2019 preliminary injunction order. The Court held that “Shure has violated the preliminary injunction order and is found in contempt because it designed the MXA910-A in such a way that allows it to be easily installed flush in most ceiling grids.” The Court’s order prohibited Shure from continuing to “manufacture, market, or sell the MXA910-A.” In addition, the Court held that “[t]he record is also clear as to the MXA910-60CM, but in an abundance of caution, the Court will refrain from granting that aspect of the contempt motion to allow for additional discovery” on that and the “possibility that Shure also violated the preliminary injunction order” by “pushing” sales of the MXA910 immediately after the issuance of the August 2019 preliminary injunction order.  The parties will soon complete supplemental briefing relating to this contempt finding. On September 15, 2020, Shure filed an appeal of the contempt ruling with the United States Court of Appeals for the Federal Circuit, seeking reversal of the Court’s order finding contempt and disallowing further sales of the MXA910-A.  The briefing on Shure’s appeal will be complete in April 2021 and then the Federal Circuit may order a hearing on the appeal. </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On July 9, 2020, the Company moved for summary judgment, or partial summary judgment, of infringement by Shure of the ’186 and ’806 patents, and Shure moved on the same day for summary judgment of invalidity of the ’186 and ’806 patents. On August 12, 2020, Shure also moved for summary judgment on various other aspects of the Company’s infringement claims, including arguing that the MXA910 after a recent firmware update does not infringe the ’186 Patent, that the MXA910-A and MXA910-US do not infringe the ’806 Patent, and that the Company is not entitled to lost profits or treble damages. The motions remain pending.</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u w:val="single"/>
        </w:rPr>
      </w:pPr>
      <w:r>
        <w:rPr>
          <w:rFonts w:ascii="Times New Roman;serif" w:hAnsi="Times New Roman;serif"/>
          <w:sz w:val="20"/>
          <w:u w:val="single"/>
        </w:rPr>
        <w:t>Shure Incorporated v. ClearOne, Inc., No. IPR2017-01785 (PTAB)</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 xml:space="preserve">On July 14, 2017, Shure filed a petition with Patent Trial and Appeals Board (“PTAB”) for </w:t>
      </w:r>
      <w:r>
        <w:rPr>
          <w:rFonts w:ascii="Times New Roman;serif" w:hAnsi="Times New Roman;serif"/>
          <w:i/>
          <w:sz w:val="20"/>
        </w:rPr>
        <w:t xml:space="preserve">inter partes </w:t>
      </w:r>
      <w:r>
        <w:rPr>
          <w:rFonts w:ascii="Times New Roman;serif" w:hAnsi="Times New Roman;serif"/>
          <w:sz w:val="20"/>
        </w:rPr>
        <w:t xml:space="preserve">review against the ’553 Patent.  The matter is </w:t>
      </w:r>
      <w:r>
        <w:rPr>
          <w:rFonts w:ascii="Times New Roman;serif" w:hAnsi="Times New Roman;serif"/>
          <w:i/>
          <w:sz w:val="20"/>
        </w:rPr>
        <w:t>Shure Incorporated v. ClearOne, Inc.</w:t>
      </w:r>
      <w:r>
        <w:rPr>
          <w:rFonts w:ascii="Times New Roman;serif" w:hAnsi="Times New Roman;serif"/>
          <w:sz w:val="20"/>
        </w:rPr>
        <w:t xml:space="preserve">, No. IPR2017-01785.  On January 29, 2018, the PTAB instituted </w:t>
      </w:r>
      <w:r>
        <w:rPr>
          <w:rFonts w:ascii="Times New Roman;serif" w:hAnsi="Times New Roman;serif"/>
          <w:i/>
          <w:sz w:val="20"/>
        </w:rPr>
        <w:t xml:space="preserve">inter partes </w:t>
      </w:r>
      <w:r>
        <w:rPr>
          <w:rFonts w:ascii="Times New Roman;serif" w:hAnsi="Times New Roman;serif"/>
          <w:sz w:val="20"/>
        </w:rPr>
        <w:t>review of the ’553 Patent.  On January 24, 2019, PTAB issued a final written decision confirming the patentability of all claims of the ‘553 Patent. Shure filed a request for a rehearing, which the PTAB denied on March 25, 2019. Shure appealed the PTAB’s decision to the U.S. Court of Appeals for the Federal Circuit, which issued a judgment affirming the PTAB’s decision on March 6, 2020.</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u w:val="single"/>
        </w:rPr>
      </w:pPr>
      <w:r>
        <w:rPr>
          <w:rFonts w:ascii="Times New Roman;serif" w:hAnsi="Times New Roman;serif"/>
          <w:sz w:val="20"/>
          <w:u w:val="single"/>
        </w:rPr>
        <w:t>ClearOne, Inc. v. Shure Acquisition Holdings, Inc., IPR2019-00683 (PTAB)</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 xml:space="preserve">On February 15, 2019, the Company filed a petition for </w:t>
      </w:r>
      <w:r>
        <w:rPr>
          <w:rFonts w:ascii="Times New Roman;serif" w:hAnsi="Times New Roman;serif"/>
          <w:i/>
          <w:sz w:val="20"/>
        </w:rPr>
        <w:t>inter partes</w:t>
      </w:r>
      <w:r>
        <w:rPr>
          <w:rFonts w:ascii="Times New Roman;serif" w:hAnsi="Times New Roman;serif"/>
          <w:sz w:val="20"/>
        </w:rPr>
        <w:t xml:space="preserve"> review of Shure’s U.S. Patent No. 9,565,493 (“’493 Patent”), arguing that all claims of the ’493 Patent should be cancelled in light of several prior art references, including the ’806 Patent.  The matter is </w:t>
      </w:r>
      <w:r>
        <w:rPr>
          <w:rFonts w:ascii="Times New Roman;serif" w:hAnsi="Times New Roman;serif"/>
          <w:i/>
          <w:sz w:val="20"/>
        </w:rPr>
        <w:t>ClearOne, Inc. v. Shure Acquisition Holdings, Inc.</w:t>
      </w:r>
      <w:r>
        <w:rPr>
          <w:rFonts w:ascii="Times New Roman;serif" w:hAnsi="Times New Roman;serif"/>
          <w:sz w:val="20"/>
        </w:rPr>
        <w:t xml:space="preserve">, IPR2019-00683.  Shure opposed the petition, but the PTAB instituted </w:t>
      </w:r>
      <w:r>
        <w:rPr>
          <w:rFonts w:ascii="Times New Roman;serif" w:hAnsi="Times New Roman;serif"/>
          <w:i/>
          <w:sz w:val="20"/>
        </w:rPr>
        <w:t>inter partes</w:t>
      </w:r>
      <w:r>
        <w:rPr>
          <w:rFonts w:ascii="Times New Roman;serif" w:hAnsi="Times New Roman;serif"/>
          <w:sz w:val="20"/>
        </w:rPr>
        <w:t xml:space="preserve"> review on August 16, 2019.  Shortly over a year later, on August 14, 2020, the PTAB issued its final written decision, holding that all but two of the original claims in the ’493 Patent, claims 6 and 34, are unpatentable in light of the ’806 and other prior art, and granting Shure’s request to amend 11 claims.  On August 24, the Company filed a request for rehearing with the PTAB, arguing that the 11 amended claims are not patentable based upon the Company’s allegation that Shure withheld from the PTAB two allegedly material references that render those claims unpatentable. Also on August 24, the Company filed a request for sanctions with the PTAB, arguing that Shure’s failure to disclose two material references to the PTAB violated Shure’s duty of candor.  PTAB denied both the request for hearing and request for sanctions. The Company has appealed the PTAB’s final written decision to the U.S Court of Appeal for the Federal Circuit.</w:t>
      </w:r>
    </w:p>
    <w:p>
      <w:pPr>
        <w:pStyle w:val="TextBody"/>
        <w:spacing w:before="0" w:after="0"/>
        <w:ind w:left="0" w:right="0" w:hanging="0"/>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u w:val="single"/>
        </w:rPr>
      </w:pPr>
      <w:r>
        <w:rPr>
          <w:rFonts w:ascii="times new roman;times" w:hAnsi="times new roman;times"/>
          <w:b w:val="false"/>
          <w:i w:val="false"/>
          <w:caps w:val="false"/>
          <w:smallCaps w:val="false"/>
          <w:color w:val="000000"/>
          <w:spacing w:val="0"/>
          <w:sz w:val="20"/>
          <w:u w:val="single"/>
        </w:rPr>
        <w:t>ClearOne, Inc. v. Shure, Incorporated, 19-cv-02421 (N.D. of Illinois)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April 10, 2019, the Company filed a lawsuit against Shure in the United States District Court for the Northern District of Illinois alleging that Shure’s MXA910 and MXA310 infringes the ’553 Patent and that Shure has misappropriated ClearOne’s trade secrets.  The matter is </w:t>
      </w:r>
      <w:r>
        <w:rPr>
          <w:rFonts w:ascii="times new roman;times" w:hAnsi="times new roman;times"/>
          <w:b w:val="false"/>
          <w:i/>
          <w:caps w:val="false"/>
          <w:smallCaps w:val="false"/>
          <w:color w:val="000000"/>
          <w:spacing w:val="0"/>
          <w:sz w:val="20"/>
        </w:rPr>
        <w:t>ClearOne, Inc. v. Shure, Inc.</w:t>
      </w:r>
      <w:r>
        <w:rPr>
          <w:rFonts w:ascii="times new roman;times" w:hAnsi="times new roman;times"/>
          <w:b w:val="false"/>
          <w:i w:val="false"/>
          <w:caps w:val="false"/>
          <w:smallCaps w:val="false"/>
          <w:color w:val="000000"/>
          <w:spacing w:val="0"/>
          <w:sz w:val="20"/>
        </w:rPr>
        <w:t xml:space="preserve">, 19-cv-02421 (the “2019 N.D. Illinois Matter”), and has been coordinated with the initial matter filed in 2017 for trial purposes. On December 16, 2019, the Court granted the Company’s motion for leave to amend its complaint to add claims against Shure for intentional interference with prospective economic advantage and trade libel.  On January 13, 2020, Shure moved to dismiss the Company’s new claims. </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21</w:t>
            </w:r>
            <w:r>
              <w:rPr>
                <w:rFonts w:ascii="Times New Roman" w:hAnsi="Times New Roman"/>
                <w:b w:val="false"/>
                <w:i w:val="false"/>
                <w:caps w:val="false"/>
                <w:smallCaps w:val="false"/>
                <w:color w:val="000000"/>
                <w:spacing w:val="0"/>
                <w:sz w:val="20"/>
              </w:rPr>
              <w:t>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6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times" w:hAnsi="times new roman;times"/>
          <w:sz w:val="20"/>
        </w:rPr>
      </w:pPr>
      <w:r>
        <w:rPr>
          <w:rFonts w:ascii="Times New Roman" w:hAnsi="Times New Roman"/>
          <w:b/>
          <w:sz w:val="20"/>
        </w:rPr>
        <w:t>(Dollars in thousands, except share and per share amounts)</w:t>
      </w:r>
      <w:r>
        <w:rPr>
          <w:rFonts w:ascii="times new roman;times" w:hAnsi="times new roman;times"/>
          <w:sz w:val="20"/>
        </w:rPr>
        <w:t> </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u w:val="single"/>
        </w:rPr>
      </w:pPr>
      <w:r>
        <w:rPr>
          <w:rFonts w:ascii="Times New Roman;serif" w:hAnsi="Times New Roman;serif"/>
          <w:sz w:val="20"/>
          <w:u w:val="single"/>
        </w:rPr>
        <w:t xml:space="preserve">Shure, Incorporated v. ClearOne, Inc., 19-cv-1343 (D. of Delaware) </w:t>
      </w:r>
    </w:p>
    <w:p>
      <w:pPr>
        <w:pStyle w:val="TextBody"/>
        <w:spacing w:lineRule="atLeast" w:line="240" w:before="0" w:after="0"/>
        <w:ind w:left="0" w:right="0" w:hanging="0"/>
        <w:jc w:val="both"/>
        <w:rPr/>
      </w:pPr>
      <w:r>
        <w:rPr/>
        <w:t> </w:t>
      </w:r>
    </w:p>
    <w:p>
      <w:pPr>
        <w:pStyle w:val="TextBody"/>
        <w:spacing w:lineRule="atLeast" w:line="240" w:before="0" w:after="0"/>
        <w:ind w:left="0" w:right="0" w:hanging="0"/>
        <w:jc w:val="both"/>
        <w:rPr>
          <w:rFonts w:ascii="Times New Roman;serif" w:hAnsi="Times New Roman;serif"/>
          <w:sz w:val="20"/>
        </w:rPr>
      </w:pPr>
      <w:r>
        <w:rPr>
          <w:rFonts w:ascii="Times New Roman;serif" w:hAnsi="Times New Roman;serif"/>
          <w:sz w:val="20"/>
        </w:rPr>
        <w:t xml:space="preserve">On July 18, 2019, Shure, Inc. filed a lawsuit against the Company in the U.S. Court for the District of Delaware alleging that ClearOne’s BMA CT product, launched in February of 2019, infringes Shure’s ’493 Patent and that ClearOne engaged in unfair competition, tortious interference, deceptive trade practices, and false advertising. The matter is </w:t>
      </w:r>
      <w:r>
        <w:rPr>
          <w:rFonts w:ascii="Times New Roman;serif" w:hAnsi="Times New Roman;serif"/>
          <w:i/>
          <w:sz w:val="20"/>
        </w:rPr>
        <w:t>Shure, Incorporated v. ClearOne, Inc.</w:t>
      </w:r>
      <w:r>
        <w:rPr>
          <w:rFonts w:ascii="Times New Roman;serif" w:hAnsi="Times New Roman;serif"/>
          <w:sz w:val="20"/>
        </w:rPr>
        <w:t xml:space="preserve">, 19-cv-1343 (D. of Delaware).  Shure is seeking monetary damages and injunctive relief. ClearOne successfully moved to stay Shure’s infringement claim relating to the ’493 Patent because the PTAB instituted </w:t>
      </w:r>
      <w:r>
        <w:rPr>
          <w:rFonts w:ascii="Times New Roman;serif" w:hAnsi="Times New Roman;serif"/>
          <w:i/>
          <w:sz w:val="20"/>
        </w:rPr>
        <w:t xml:space="preserve">inter partes </w:t>
      </w:r>
      <w:r>
        <w:rPr>
          <w:rFonts w:ascii="Times New Roman;serif" w:hAnsi="Times New Roman;serif"/>
          <w:sz w:val="20"/>
        </w:rPr>
        <w:t>review of the ’493 Patent. On November 19, 2019, the Court granted Shure’s request for leave to amend its complaint to add a claim of infringement of Shure’s recently issued U.S. Patent No. D865723 (the “Design Patent”) and additional claims of trade libel.  In July 2020, the Company filed counterclaims accusing Shure of false advertising. Both parties’ claims are still pending. The Company believes that Shure’s lawsuit is without merit and intends to vigorously defend itself.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On April 14, 2020, Shure moved for a temporary restraining order and preliminary injunction to prevent the Company from selling the BMA CT and BMA CTH, alleging that these products infringed Shure’s Design Patent. The Company opposed the motions, and on May 1, Magistrate Judge Burke issued a report and recommendation denying Shure’s request for a temporary restraining order, finding that Shure had failed to show that it would suffer irreparable harm in the absence of injunctive relief and that ClearOne had raised a “substantial question” as to the validity of the Design Patent.  On September 21, 2020, the Court held a hearing on Shure’s motion for a preliminary injunction seeking to enjoin further sale of the BMA CT and Versa bundles that included the BMA CTH. On January 20, 2021, Magistrate Judge Burke issued a report and recommendation denying Shure’s motion for failure to show both a likelihood of success on the merits and irreparable harm.  After Shure did not file an objection to the report and recommendation, Judge Andrews adopted it and denied Shure’s preliminary injunction motion.  Shure did not file a notice of appeal.</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On July 28, 2020, Judge Burke held a claim construction hearing on the Design Patent and issued a report and recommendation on claim construction in October 2020.  Since neither party objected, the district court judge adopted the report and recommendation in November 2020.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u w:val="single"/>
        </w:rPr>
      </w:pPr>
      <w:r>
        <w:rPr>
          <w:rFonts w:ascii="times new roman;times" w:hAnsi="times new roman;times"/>
          <w:sz w:val="20"/>
          <w:u w:val="single"/>
        </w:rPr>
        <w:t>Shure, Incorporated v. ClearOne. Inc., PGR2020-00079 (PTAB)</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Also on July 28, 2020, Shure challenges the patentability of the Company’s U.S. Patent No. 10,728,653 in a post-grant review proceeding before the PTAB. The matter is </w:t>
      </w:r>
      <w:r>
        <w:rPr>
          <w:rFonts w:ascii="times new roman;times" w:hAnsi="times new roman;times"/>
          <w:i/>
          <w:sz w:val="20"/>
        </w:rPr>
        <w:t>Shure, Incorporated v. ClearOne. Inc.</w:t>
      </w:r>
      <w:r>
        <w:rPr>
          <w:rFonts w:ascii="times new roman;times" w:hAnsi="times new roman;times"/>
          <w:sz w:val="20"/>
        </w:rPr>
        <w:t>, PGR2020-00079 (PTAB). The Company filed a preliminary response on November 17, 2020, and the PTAB instituted trial by an institution decision dated February 16, 2021. The institution decision found that five of the seven challenges in the petition were not reasonably likely to prevail, but instituted trial under its all-or-nothing institution policy.  The Company may file its initial set of trial papers by May 11, 2021.  A trial hearing is scheduled to take place November 16, 2021, and a final written decision is due from the PTAB by February 16, 2022.</w:t>
      </w:r>
    </w:p>
    <w:p>
      <w:pPr>
        <w:pStyle w:val="TextBody"/>
        <w:spacing w:lineRule="auto" w:line="240" w:before="0" w:after="0"/>
        <w:ind w:left="0" w:right="0" w:hanging="0"/>
        <w:jc w:val="both"/>
        <w:rPr/>
      </w:pPr>
      <w:r>
        <w:rPr/>
        <w:t> </w:t>
      </w:r>
    </w:p>
    <w:p>
      <w:pPr>
        <w:pStyle w:val="TextBody"/>
        <w:shd w:fill="FFFFFF" w:val="clear"/>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The Company intends to continue to vigorously enforce and defend its intellectual property rights in these proceedings. </w:t>
      </w:r>
    </w:p>
    <w:p>
      <w:pPr>
        <w:pStyle w:val="TextBody"/>
        <w:shd w:fill="FFFFFF" w:val="clear"/>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r>
    </w:p>
    <w:p>
      <w:pPr>
        <w:pStyle w:val="TextBody"/>
        <w:widowControl/>
        <w:spacing w:before="0" w:after="16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capitalized $6,728 and $5,086 of litigation expenses related to this matter during the twelve months ended December 31, 2020 and 2019, respectively.</w:t>
      </w:r>
    </w:p>
    <w:p>
      <w:pPr>
        <w:pStyle w:val="TextBody"/>
        <w:spacing w:lineRule="auto" w:line="240" w:before="0" w:after="160"/>
        <w:ind w:left="0" w:right="0" w:hanging="0"/>
        <w:jc w:val="both"/>
        <w:rPr>
          <w:rFonts w:ascii="times new roman;times" w:hAnsi="times new roman;times"/>
          <w:sz w:val="20"/>
        </w:rPr>
      </w:pPr>
      <w:r>
        <w:rPr>
          <w:rFonts w:ascii="times new roman;times" w:hAnsi="times new roman;times"/>
          <w:sz w:val="20"/>
        </w:rPr>
        <w:t>In addition, the Company is also involved from time to time in various claims and legal proceedings which arise in the normal course of our business. Such matters are subject to many uncertainties and outcomes that are not predictable. However, based on the information available to us, we do not believe any such other proceedings will have a material adverse effect on our business, results of operations, financial position, or liquidity.</w:t>
      </w:r>
    </w:p>
    <w:p>
      <w:pPr>
        <w:pStyle w:val="TextBody"/>
        <w:widowControl/>
        <w:spacing w:before="0" w:after="160"/>
        <w:ind w:left="0" w:right="0" w:hanging="0"/>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Conclusion</w:t>
      </w:r>
    </w:p>
    <w:p>
      <w:pPr>
        <w:pStyle w:val="TextBody"/>
        <w:widowControl/>
        <w:spacing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believe there are no other items that will have a material adverse impact on the Company’s financial position or results of operations. Legal proceedings are subject to all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 risks and uncertainties of legal proceedings and there can be no assurance as to the probable result of any legal proceedings.</w:t>
      </w:r>
    </w:p>
    <w:p>
      <w:pPr>
        <w:pStyle w:val="TextBody"/>
        <w:widowControl/>
        <w:spacing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believes it has adequately accrued for the aforementioned contingent</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liabilities. If adverse outcomes were to occur, our financial position, results of operations and cash flows could be negatively affected materially for the period in which the adverse outcomes are known.</w:t>
      </w:r>
      <w:r>
        <w:rPr>
          <w:rFonts w:ascii="times new roman;times" w:hAnsi="times new roman;times"/>
          <w:b w:val="false"/>
          <w:i w:val="false"/>
          <w:caps w:val="false"/>
          <w:smallCaps w:val="false"/>
          <w:color w:val="000000"/>
          <w:spacing w:val="0"/>
          <w:sz w:val="20"/>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sz w:val="20"/>
              </w:rPr>
            </w:pPr>
            <w:r>
              <w:rPr>
                <w:rFonts w:ascii="Times New Roman" w:hAnsi="Times New Roman"/>
                <w:b w:val="false"/>
                <w:i w:val="false"/>
                <w:caps w:val="false"/>
                <w:smallCaps w:val="false"/>
                <w:color w:val="000000"/>
                <w:spacing w:val="0"/>
                <w:sz w:val="20"/>
              </w:rPr>
              <w:t>| F-22</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w:t>
      </w:r>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(Dollars in thousands, except share and per share amounts)</w:t>
      </w:r>
    </w:p>
    <w:p>
      <w:pPr>
        <w:pStyle w:val="TextBody"/>
        <w:spacing w:before="0" w:after="0"/>
        <w:ind w:left="0" w:right="0" w:hanging="0"/>
        <w:rPr>
          <w:rFonts w:ascii="Times New Roman;serif" w:hAnsi="Times New Roman;serif"/>
          <w:b/>
          <w:color w:val="212529"/>
          <w:sz w:val="20"/>
        </w:rPr>
      </w:pPr>
      <w:r>
        <w:rPr>
          <w:rFonts w:ascii="Times New Roman;serif" w:hAnsi="Times New Roman;serif"/>
          <w:b/>
          <w:color w:val="212529"/>
          <w:sz w:val="20"/>
        </w:rPr>
        <w:t>9. Long-Term Debt</w:t>
      </w:r>
    </w:p>
    <w:p>
      <w:pPr>
        <w:pStyle w:val="TextBody"/>
        <w:spacing w:before="0" w:after="0"/>
        <w:ind w:left="0" w:right="0" w:hanging="0"/>
        <w:jc w:val="both"/>
        <w:rPr/>
      </w:pPr>
      <w:r>
        <w:rPr/>
        <w:t> </w:t>
      </w:r>
    </w:p>
    <w:p>
      <w:pPr>
        <w:pStyle w:val="TextBody"/>
        <w:widowControl/>
        <w:spacing w:before="0" w:after="0"/>
        <w:ind w:left="0" w:right="0" w:hanging="0"/>
        <w:jc w:val="both"/>
        <w:rPr>
          <w:rFonts w:ascii="Times New Roman;serif" w:hAnsi="Times New Roman;serif"/>
          <w:b/>
          <w:i/>
          <w:color w:val="000000"/>
          <w:spacing w:val="0"/>
          <w:sz w:val="20"/>
        </w:rPr>
      </w:pPr>
      <w:r>
        <w:rPr>
          <w:rFonts w:ascii="Times New Roman;serif" w:hAnsi="Times New Roman;serif"/>
          <w:b/>
          <w:i/>
          <w:color w:val="000000"/>
          <w:spacing w:val="0"/>
          <w:sz w:val="20"/>
        </w:rPr>
        <w:t>Senior Convertible Notes and Warrants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 </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Notes mature on December 17, 2023 (the “Maturity Date”) and accrue interest at a variable rate adjusted on a quarterly basis and equal to two and </w:t>
      </w:r>
      <w:r>
        <w:rPr>
          <w:rFonts w:ascii="times new roman;times" w:hAnsi="times new roman;times"/>
          <w:color w:val="000000"/>
          <w:sz w:val="20"/>
        </w:rPr>
        <w:t>one</w:t>
      </w:r>
      <w:r>
        <w:rPr>
          <w:rFonts w:ascii="times new roman;times" w:hAnsi="times new roman;times"/>
          <w:color w:val="000000"/>
          <w:sz w:val="20"/>
        </w:rPr>
        <w:t xml:space="preserve">-half percent (2.5%) over the greater of (x) five and </w:t>
      </w:r>
      <w:r>
        <w:rPr>
          <w:rFonts w:ascii="times new roman;times" w:hAnsi="times new roman;times"/>
          <w:color w:val="000000"/>
          <w:sz w:val="20"/>
        </w:rPr>
        <w:t>one</w:t>
      </w:r>
      <w:r>
        <w:rPr>
          <w:rFonts w:ascii="times new roman;times" w:hAnsi="times new roman;times"/>
          <w:color w:val="000000"/>
          <w:sz w:val="20"/>
        </w:rPr>
        <w:t>-quarter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 </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The net proceeds after original issue discount and issuance costs of $346 were approximately $2,654. The Company expects to use the proceeds from the sale of the Notes and Warrants for general corporate purposes and working capital. </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 xml:space="preserve">In accounting for the issuance of the Notes, the Company separated Notes and Warrants into liability and equity components. The carrying amount of Warrants, being an equity component, was first calculated using Black-Scholes method with the following assumptions: </w:t>
      </w:r>
    </w:p>
    <w:p>
      <w:pPr>
        <w:pStyle w:val="TextBody"/>
        <w:spacing w:before="0" w:after="0"/>
        <w:ind w:left="0" w:right="0" w:hanging="0"/>
        <w:jc w:val="both"/>
        <w:rPr/>
      </w:pPr>
      <w:r>
        <w:rPr/>
        <w:t> </w:t>
      </w:r>
    </w:p>
    <w:tbl>
      <w:tblPr>
        <w:tblW w:w="2500" w:type="pct"/>
        <w:jc w:val="left"/>
        <w:tblInd w:w="0" w:type="dxa"/>
        <w:tblCellMar>
          <w:top w:w="0" w:type="dxa"/>
          <w:left w:w="0" w:type="dxa"/>
          <w:bottom w:w="0" w:type="dxa"/>
          <w:right w:w="0" w:type="dxa"/>
        </w:tblCellMar>
      </w:tblPr>
      <w:tblGrid>
        <w:gridCol w:w="4059"/>
        <w:gridCol w:w="1043"/>
      </w:tblGrid>
      <w:tr>
        <w:trPr/>
        <w:tc>
          <w:tcPr>
            <w:tcW w:w="4059" w:type="dxa"/>
            <w:tcBorders/>
            <w:shd w:fill="CCEEFF" w:val="clear"/>
            <w:vAlign w:val="bottom"/>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Risk-free interest rate </w:t>
            </w:r>
          </w:p>
        </w:tc>
        <w:tc>
          <w:tcPr>
            <w:tcW w:w="1043" w:type="dxa"/>
            <w:tcBorders/>
            <w:shd w:fill="CCEEFF" w:val="clear"/>
            <w:vAlign w:val="bottom"/>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 xml:space="preserve">1.82% </w:t>
            </w:r>
          </w:p>
        </w:tc>
      </w:tr>
      <w:tr>
        <w:trPr/>
        <w:tc>
          <w:tcPr>
            <w:tcW w:w="4059" w:type="dxa"/>
            <w:tcBorders/>
            <w:shd w:fill="FFFFFF" w:val="clear"/>
            <w:vAlign w:val="bottom"/>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Expected life of Warrants (years) </w:t>
            </w:r>
          </w:p>
        </w:tc>
        <w:tc>
          <w:tcPr>
            <w:tcW w:w="1043" w:type="dxa"/>
            <w:tcBorders/>
            <w:shd w:fill="FFFFFF" w:val="clear"/>
            <w:vAlign w:val="bottom"/>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 xml:space="preserve">7 </w:t>
            </w:r>
          </w:p>
        </w:tc>
      </w:tr>
      <w:tr>
        <w:trPr/>
        <w:tc>
          <w:tcPr>
            <w:tcW w:w="4059" w:type="dxa"/>
            <w:tcBorders/>
            <w:shd w:fill="CCEEFF" w:val="clear"/>
            <w:vAlign w:val="bottom"/>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Expected price volatility </w:t>
            </w:r>
          </w:p>
        </w:tc>
        <w:tc>
          <w:tcPr>
            <w:tcW w:w="1043" w:type="dxa"/>
            <w:tcBorders/>
            <w:shd w:fill="CCEEFF" w:val="clear"/>
            <w:vAlign w:val="bottom"/>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 xml:space="preserve">49.94% </w:t>
            </w:r>
          </w:p>
        </w:tc>
      </w:tr>
      <w:tr>
        <w:trPr/>
        <w:tc>
          <w:tcPr>
            <w:tcW w:w="4059" w:type="dxa"/>
            <w:tcBorders/>
            <w:shd w:fill="FFFFFF" w:val="clear"/>
            <w:vAlign w:val="bottom"/>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Expected dividend yield </w:t>
            </w:r>
          </w:p>
        </w:tc>
        <w:tc>
          <w:tcPr>
            <w:tcW w:w="1043" w:type="dxa"/>
            <w:tcBorders/>
            <w:shd w:fill="FFFFFF" w:val="clear"/>
            <w:vAlign w:val="bottom"/>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 xml:space="preserve">0% </w:t>
            </w:r>
          </w:p>
        </w:tc>
      </w:tr>
    </w:tbl>
    <w:p>
      <w:pPr>
        <w:pStyle w:val="TextBody"/>
        <w:spacing w:before="0" w:after="0"/>
        <w:ind w:left="0" w:right="0" w:hanging="0"/>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23</w:t>
            </w:r>
            <w:r>
              <w:rPr>
                <w:rFonts w:ascii="Times New Roman" w:hAnsi="Times New Roman"/>
                <w:b w:val="false"/>
                <w:i w:val="false"/>
                <w:caps w:val="false"/>
                <w:smallCaps w:val="false"/>
                <w:color w:val="000000"/>
                <w:spacing w:val="0"/>
                <w:sz w:val="20"/>
              </w:rPr>
              <w:t>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The original issue discount and issuance costs are netted against the liability. The following table represents the carrying value of Notes and Warrants:</w:t>
      </w:r>
    </w:p>
    <w:p>
      <w:pPr>
        <w:pStyle w:val="TextBody"/>
        <w:spacing w:before="0" w:after="0"/>
        <w:ind w:left="0" w:right="0" w:hanging="0"/>
        <w:jc w:val="both"/>
        <w:rPr/>
      </w:pPr>
      <w:r>
        <w:rPr/>
        <w:t> </w:t>
      </w:r>
    </w:p>
    <w:tbl>
      <w:tblPr>
        <w:tblW w:w="3500" w:type="pct"/>
        <w:jc w:val="left"/>
        <w:tblInd w:w="0" w:type="dxa"/>
        <w:tblCellMar>
          <w:top w:w="0" w:type="dxa"/>
          <w:left w:w="0" w:type="dxa"/>
          <w:bottom w:w="0" w:type="dxa"/>
          <w:right w:w="0" w:type="dxa"/>
        </w:tblCellMar>
      </w:tblPr>
      <w:tblGrid>
        <w:gridCol w:w="4367"/>
        <w:gridCol w:w="94"/>
        <w:gridCol w:w="271"/>
        <w:gridCol w:w="901"/>
        <w:gridCol w:w="120"/>
        <w:gridCol w:w="94"/>
        <w:gridCol w:w="271"/>
        <w:gridCol w:w="901"/>
        <w:gridCol w:w="124"/>
      </w:tblGrid>
      <w:tr>
        <w:trPr/>
        <w:tc>
          <w:tcPr>
            <w:tcW w:w="4367" w:type="dxa"/>
            <w:tcBorders/>
            <w:shd w:fill="FFFFFF" w:val="clear"/>
            <w:vAlign w:val="bottom"/>
          </w:tcPr>
          <w:p>
            <w:pPr>
              <w:pStyle w:val="TableContents"/>
              <w:spacing w:before="0" w:after="0"/>
              <w:ind w:left="0" w:right="0" w:hanging="0"/>
              <w:jc w:val="center"/>
              <w:rPr/>
            </w:pPr>
            <w:r>
              <w:rPr/>
              <w:t xml:space="preserve">  </w:t>
            </w:r>
          </w:p>
        </w:tc>
        <w:tc>
          <w:tcPr>
            <w:tcW w:w="94" w:type="dxa"/>
            <w:tcBorders/>
            <w:shd w:fill="FFFFFF" w:val="clear"/>
            <w:vAlign w:val="bottom"/>
          </w:tcPr>
          <w:p>
            <w:pPr>
              <w:pStyle w:val="TableContents"/>
              <w:spacing w:before="0" w:after="0"/>
              <w:ind w:left="0" w:right="0" w:hanging="0"/>
              <w:rPr>
                <w:color w:val="000000"/>
              </w:rPr>
            </w:pPr>
            <w:r>
              <w:rPr>
                <w:color w:val="000000"/>
              </w:rPr>
              <w:t> </w:t>
            </w:r>
          </w:p>
        </w:tc>
        <w:tc>
          <w:tcPr>
            <w:tcW w:w="1172"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December 31, 2020</w:t>
            </w:r>
          </w:p>
        </w:tc>
        <w:tc>
          <w:tcPr>
            <w:tcW w:w="120" w:type="dxa"/>
            <w:tcBorders/>
            <w:shd w:fill="FFFFFF" w:val="clear"/>
            <w:vAlign w:val="bottom"/>
          </w:tcPr>
          <w:p>
            <w:pPr>
              <w:pStyle w:val="TableContents"/>
              <w:spacing w:before="0" w:after="0"/>
              <w:ind w:left="0" w:right="0" w:hanging="0"/>
              <w:rPr>
                <w:color w:val="000000"/>
              </w:rPr>
            </w:pPr>
            <w:r>
              <w:rPr>
                <w:color w:val="000000"/>
              </w:rPr>
              <w:t> </w:t>
            </w:r>
          </w:p>
        </w:tc>
        <w:tc>
          <w:tcPr>
            <w:tcW w:w="94" w:type="dxa"/>
            <w:tcBorders/>
            <w:shd w:fill="FFFFFF" w:val="clear"/>
            <w:vAlign w:val="bottom"/>
          </w:tcPr>
          <w:p>
            <w:pPr>
              <w:pStyle w:val="TableContents"/>
              <w:spacing w:before="0" w:after="0"/>
              <w:ind w:left="0" w:right="0" w:hanging="0"/>
              <w:rPr>
                <w:color w:val="000000"/>
              </w:rPr>
            </w:pPr>
            <w:r>
              <w:rPr>
                <w:color w:val="000000"/>
              </w:rPr>
              <w:t> </w:t>
            </w:r>
          </w:p>
        </w:tc>
        <w:tc>
          <w:tcPr>
            <w:tcW w:w="1172"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December 31, 2019</w:t>
            </w:r>
          </w:p>
        </w:tc>
        <w:tc>
          <w:tcPr>
            <w:tcW w:w="124" w:type="dxa"/>
            <w:tcBorders/>
            <w:shd w:fill="FFFFFF" w:val="clear"/>
            <w:vAlign w:val="bottom"/>
          </w:tcPr>
          <w:p>
            <w:pPr>
              <w:pStyle w:val="TableContents"/>
              <w:spacing w:before="0" w:after="0"/>
              <w:ind w:left="0" w:right="0" w:hanging="0"/>
              <w:rPr>
                <w:color w:val="000000"/>
              </w:rPr>
            </w:pPr>
            <w:r>
              <w:rPr>
                <w:color w:val="000000"/>
              </w:rPr>
              <w:t> </w:t>
            </w:r>
          </w:p>
        </w:tc>
      </w:tr>
      <w:tr>
        <w:trPr/>
        <w:tc>
          <w:tcPr>
            <w:tcW w:w="4367"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Liability component: </w:t>
            </w:r>
          </w:p>
        </w:tc>
        <w:tc>
          <w:tcPr>
            <w:tcW w:w="94" w:type="dxa"/>
            <w:tcBorders/>
            <w:shd w:fill="CFF0FC" w:val="clear"/>
            <w:vAlign w:val="bottom"/>
          </w:tcPr>
          <w:p>
            <w:pPr>
              <w:pStyle w:val="TableContents"/>
              <w:spacing w:before="0" w:after="0"/>
              <w:ind w:left="0" w:right="0" w:hanging="0"/>
              <w:rPr>
                <w:color w:val="000000"/>
              </w:rPr>
            </w:pPr>
            <w:r>
              <w:rPr>
                <w:color w:val="000000"/>
              </w:rPr>
              <w:t xml:space="preserve">  </w:t>
            </w:r>
          </w:p>
        </w:tc>
        <w:tc>
          <w:tcPr>
            <w:tcW w:w="271" w:type="dxa"/>
            <w:tcBorders/>
            <w:shd w:fill="CFF0FC" w:val="clear"/>
            <w:vAlign w:val="bottom"/>
          </w:tcPr>
          <w:p>
            <w:pPr>
              <w:pStyle w:val="TableContents"/>
              <w:spacing w:before="0" w:after="0"/>
              <w:ind w:left="0" w:right="0" w:hanging="0"/>
              <w:rPr>
                <w:color w:val="000000"/>
              </w:rPr>
            </w:pPr>
            <w:r>
              <w:rPr>
                <w:color w:val="000000"/>
              </w:rPr>
              <w:t xml:space="preserve">  </w:t>
            </w:r>
          </w:p>
        </w:tc>
        <w:tc>
          <w:tcPr>
            <w:tcW w:w="901" w:type="dxa"/>
            <w:tcBorders>
              <w:top w:val="single" w:sz="8" w:space="0" w:color="000000"/>
            </w:tcBorders>
            <w:shd w:fill="CFF0FC" w:val="clear"/>
            <w:tcMar>
              <w:top w:w="28" w:type="dxa"/>
            </w:tcMar>
            <w:vAlign w:val="bottom"/>
          </w:tcPr>
          <w:p>
            <w:pPr>
              <w:pStyle w:val="TableContents"/>
              <w:spacing w:before="0" w:after="0"/>
              <w:ind w:left="0" w:right="0" w:hanging="0"/>
              <w:jc w:val="right"/>
              <w:rPr>
                <w:color w:val="000000"/>
              </w:rPr>
            </w:pPr>
            <w:r>
              <w:rPr>
                <w:color w:val="000000"/>
              </w:rPr>
              <w:t xml:space="preserve">  </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94" w:type="dxa"/>
            <w:tcBorders/>
            <w:shd w:fill="CFF0FC" w:val="clear"/>
            <w:vAlign w:val="bottom"/>
          </w:tcPr>
          <w:p>
            <w:pPr>
              <w:pStyle w:val="TableContents"/>
              <w:spacing w:before="0" w:after="0"/>
              <w:ind w:left="0" w:right="0" w:hanging="0"/>
              <w:rPr>
                <w:color w:val="000000"/>
              </w:rPr>
            </w:pPr>
            <w:r>
              <w:rPr>
                <w:color w:val="000000"/>
              </w:rPr>
              <w:t xml:space="preserve">  </w:t>
            </w:r>
          </w:p>
        </w:tc>
        <w:tc>
          <w:tcPr>
            <w:tcW w:w="271" w:type="dxa"/>
            <w:tcBorders/>
            <w:shd w:fill="CFF0FC" w:val="clear"/>
            <w:vAlign w:val="bottom"/>
          </w:tcPr>
          <w:p>
            <w:pPr>
              <w:pStyle w:val="TableContents"/>
              <w:spacing w:before="0" w:after="0"/>
              <w:ind w:left="0" w:right="0" w:hanging="0"/>
              <w:rPr>
                <w:color w:val="000000"/>
              </w:rPr>
            </w:pPr>
            <w:r>
              <w:rPr>
                <w:color w:val="000000"/>
              </w:rPr>
              <w:t xml:space="preserve">  </w:t>
            </w:r>
          </w:p>
        </w:tc>
        <w:tc>
          <w:tcPr>
            <w:tcW w:w="901" w:type="dxa"/>
            <w:tcBorders>
              <w:top w:val="single" w:sz="8" w:space="0" w:color="000000"/>
            </w:tcBorders>
            <w:shd w:fill="CFF0FC" w:val="clear"/>
            <w:tcMar>
              <w:top w:w="28" w:type="dxa"/>
            </w:tcMar>
            <w:vAlign w:val="bottom"/>
          </w:tcPr>
          <w:p>
            <w:pPr>
              <w:pStyle w:val="TableContents"/>
              <w:spacing w:before="0" w:after="0"/>
              <w:ind w:left="0" w:right="0" w:hanging="0"/>
              <w:jc w:val="right"/>
              <w:rPr>
                <w:color w:val="000000"/>
              </w:rPr>
            </w:pPr>
            <w:r>
              <w:rPr>
                <w:color w:val="000000"/>
              </w:rPr>
              <w:t xml:space="preserve">  </w:t>
            </w:r>
          </w:p>
        </w:tc>
        <w:tc>
          <w:tcPr>
            <w:tcW w:w="124"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4367"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Principal </w:t>
            </w:r>
          </w:p>
        </w:tc>
        <w:tc>
          <w:tcPr>
            <w:tcW w:w="94" w:type="dxa"/>
            <w:tcBorders/>
            <w:shd w:fill="auto" w:val="clear"/>
            <w:vAlign w:val="bottom"/>
          </w:tcPr>
          <w:p>
            <w:pPr>
              <w:pStyle w:val="TableContents"/>
              <w:spacing w:before="0" w:after="0"/>
              <w:ind w:left="0" w:right="0" w:hanging="0"/>
              <w:rPr>
                <w:color w:val="000000"/>
              </w:rPr>
            </w:pPr>
            <w:r>
              <w:rPr>
                <w:color w:val="000000"/>
              </w:rPr>
              <w:t xml:space="preserve">  </w:t>
            </w:r>
          </w:p>
        </w:tc>
        <w:tc>
          <w:tcPr>
            <w:tcW w:w="271"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901"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3,000 </w:t>
            </w:r>
          </w:p>
        </w:tc>
        <w:tc>
          <w:tcPr>
            <w:tcW w:w="120" w:type="dxa"/>
            <w:tcBorders/>
            <w:shd w:fill="auto" w:val="clear"/>
            <w:vAlign w:val="bottom"/>
          </w:tcPr>
          <w:p>
            <w:pPr>
              <w:pStyle w:val="TableContents"/>
              <w:spacing w:before="0" w:after="0"/>
              <w:ind w:left="0" w:right="0" w:hanging="0"/>
              <w:rPr>
                <w:color w:val="000000"/>
              </w:rPr>
            </w:pPr>
            <w:r>
              <w:rPr>
                <w:color w:val="000000"/>
              </w:rPr>
              <w:t xml:space="preserve">  </w:t>
            </w:r>
          </w:p>
        </w:tc>
        <w:tc>
          <w:tcPr>
            <w:tcW w:w="94" w:type="dxa"/>
            <w:tcBorders/>
            <w:shd w:fill="auto" w:val="clear"/>
            <w:vAlign w:val="bottom"/>
          </w:tcPr>
          <w:p>
            <w:pPr>
              <w:pStyle w:val="TableContents"/>
              <w:spacing w:before="0" w:after="0"/>
              <w:ind w:left="0" w:right="0" w:hanging="0"/>
              <w:rPr>
                <w:color w:val="000000"/>
              </w:rPr>
            </w:pPr>
            <w:r>
              <w:rPr>
                <w:color w:val="000000"/>
              </w:rPr>
              <w:t xml:space="preserve">  </w:t>
            </w:r>
          </w:p>
        </w:tc>
        <w:tc>
          <w:tcPr>
            <w:tcW w:w="271"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901"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3,000</w:t>
            </w:r>
          </w:p>
        </w:tc>
        <w:tc>
          <w:tcPr>
            <w:tcW w:w="124"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4367"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Less: debt discount and issuance costs, net of amortization </w:t>
            </w:r>
          </w:p>
        </w:tc>
        <w:tc>
          <w:tcPr>
            <w:tcW w:w="94" w:type="dxa"/>
            <w:tcBorders/>
            <w:shd w:fill="CFF0FC" w:val="clear"/>
            <w:vAlign w:val="bottom"/>
          </w:tcPr>
          <w:p>
            <w:pPr>
              <w:pStyle w:val="TableContents"/>
              <w:spacing w:before="0" w:after="0"/>
              <w:ind w:left="0" w:right="0" w:hanging="0"/>
              <w:rPr>
                <w:color w:val="000000"/>
              </w:rPr>
            </w:pPr>
            <w:r>
              <w:rPr>
                <w:color w:val="000000"/>
              </w:rPr>
              <w:t xml:space="preserve">  </w:t>
            </w:r>
          </w:p>
        </w:tc>
        <w:tc>
          <w:tcPr>
            <w:tcW w:w="271" w:type="dxa"/>
            <w:tcBorders>
              <w:bottom w:val="single" w:sz="8" w:space="0" w:color="000000"/>
            </w:tcBorders>
            <w:shd w:fill="CFF0FC" w:val="clear"/>
            <w:tcMar>
              <w:bottom w:w="28" w:type="dxa"/>
            </w:tcMar>
            <w:vAlign w:val="bottom"/>
          </w:tcPr>
          <w:p>
            <w:pPr>
              <w:pStyle w:val="TableContents"/>
              <w:spacing w:before="0" w:after="0"/>
              <w:ind w:left="0" w:right="0" w:hanging="0"/>
              <w:rPr>
                <w:color w:val="000000"/>
              </w:rPr>
            </w:pPr>
            <w:r>
              <w:rPr>
                <w:color w:val="000000"/>
              </w:rPr>
              <w:t xml:space="preserve">  </w:t>
            </w:r>
          </w:p>
        </w:tc>
        <w:tc>
          <w:tcPr>
            <w:tcW w:w="901" w:type="dxa"/>
            <w:tcBorders>
              <w:bottom w:val="single" w:sz="8" w:space="0" w:color="000000"/>
            </w:tcBorders>
            <w:shd w:fill="CFF0FC" w:val="clear"/>
            <w:tcMar>
              <w:bottom w:w="28"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(581</w:t>
            </w:r>
          </w:p>
        </w:tc>
        <w:tc>
          <w:tcPr>
            <w:tcW w:w="120" w:type="dxa"/>
            <w:tcBorders/>
            <w:shd w:fill="CFF0FC" w:val="clear"/>
            <w:vAlign w:val="bottom"/>
          </w:tcPr>
          <w:p>
            <w:pPr>
              <w:pStyle w:val="TableContents"/>
              <w:spacing w:before="0" w:after="283"/>
              <w:rPr/>
            </w:pPr>
            <w:r>
              <w:rPr/>
              <w:t>)</w:t>
            </w:r>
          </w:p>
        </w:tc>
        <w:tc>
          <w:tcPr>
            <w:tcW w:w="94" w:type="dxa"/>
            <w:tcBorders/>
            <w:shd w:fill="CFF0FC" w:val="clear"/>
            <w:vAlign w:val="bottom"/>
          </w:tcPr>
          <w:p>
            <w:pPr>
              <w:pStyle w:val="TableContents"/>
              <w:spacing w:before="0" w:after="0"/>
              <w:ind w:left="0" w:right="0" w:hanging="0"/>
              <w:rPr>
                <w:color w:val="000000"/>
              </w:rPr>
            </w:pPr>
            <w:r>
              <w:rPr>
                <w:color w:val="000000"/>
              </w:rPr>
              <w:t xml:space="preserve">  </w:t>
            </w:r>
          </w:p>
        </w:tc>
        <w:tc>
          <w:tcPr>
            <w:tcW w:w="271" w:type="dxa"/>
            <w:tcBorders>
              <w:bottom w:val="single" w:sz="8" w:space="0" w:color="000000"/>
            </w:tcBorders>
            <w:shd w:fill="CFF0FC" w:val="clear"/>
            <w:tcMar>
              <w:bottom w:w="28" w:type="dxa"/>
            </w:tcMar>
            <w:vAlign w:val="bottom"/>
          </w:tcPr>
          <w:p>
            <w:pPr>
              <w:pStyle w:val="TableContents"/>
              <w:spacing w:before="0" w:after="0"/>
              <w:ind w:left="0" w:right="0" w:hanging="0"/>
              <w:rPr>
                <w:color w:val="000000"/>
              </w:rPr>
            </w:pPr>
            <w:r>
              <w:rPr>
                <w:color w:val="000000"/>
              </w:rPr>
              <w:t xml:space="preserve">  </w:t>
            </w:r>
          </w:p>
        </w:tc>
        <w:tc>
          <w:tcPr>
            <w:tcW w:w="901" w:type="dxa"/>
            <w:tcBorders>
              <w:bottom w:val="single" w:sz="8" w:space="0" w:color="000000"/>
            </w:tcBorders>
            <w:shd w:fill="CFF0FC" w:val="clear"/>
            <w:tcMar>
              <w:bottom w:w="28"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(778</w:t>
            </w:r>
          </w:p>
        </w:tc>
        <w:tc>
          <w:tcPr>
            <w:tcW w:w="124" w:type="dxa"/>
            <w:tcBorders/>
            <w:shd w:fill="CFF0FC" w:val="clear"/>
            <w:vAlign w:val="bottom"/>
          </w:tcPr>
          <w:p>
            <w:pPr>
              <w:pStyle w:val="TableContents"/>
              <w:spacing w:before="0" w:after="283"/>
              <w:rPr/>
            </w:pPr>
            <w:r>
              <w:rPr/>
              <w:t>)</w:t>
            </w:r>
          </w:p>
        </w:tc>
      </w:tr>
      <w:tr>
        <w:trPr/>
        <w:tc>
          <w:tcPr>
            <w:tcW w:w="4367"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Net carrying amount </w:t>
            </w:r>
          </w:p>
        </w:tc>
        <w:tc>
          <w:tcPr>
            <w:tcW w:w="94" w:type="dxa"/>
            <w:tcBorders/>
            <w:shd w:fill="auto" w:val="clear"/>
            <w:vAlign w:val="bottom"/>
          </w:tcPr>
          <w:p>
            <w:pPr>
              <w:pStyle w:val="TableContents"/>
              <w:spacing w:before="0" w:after="0"/>
              <w:ind w:left="0" w:right="0" w:hanging="0"/>
              <w:rPr>
                <w:color w:val="000000"/>
              </w:rPr>
            </w:pPr>
            <w:r>
              <w:rPr>
                <w:color w:val="000000"/>
              </w:rPr>
              <w:t xml:space="preserve">  </w:t>
            </w:r>
          </w:p>
        </w:tc>
        <w:tc>
          <w:tcPr>
            <w:tcW w:w="271"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901"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2,419 </w:t>
            </w:r>
          </w:p>
        </w:tc>
        <w:tc>
          <w:tcPr>
            <w:tcW w:w="120" w:type="dxa"/>
            <w:tcBorders/>
            <w:shd w:fill="auto" w:val="clear"/>
            <w:vAlign w:val="bottom"/>
          </w:tcPr>
          <w:p>
            <w:pPr>
              <w:pStyle w:val="TableContents"/>
              <w:spacing w:before="0" w:after="0"/>
              <w:ind w:left="0" w:right="0" w:hanging="0"/>
              <w:rPr>
                <w:color w:val="000000"/>
              </w:rPr>
            </w:pPr>
            <w:r>
              <w:rPr>
                <w:color w:val="000000"/>
              </w:rPr>
              <w:t xml:space="preserve">  </w:t>
            </w:r>
          </w:p>
        </w:tc>
        <w:tc>
          <w:tcPr>
            <w:tcW w:w="94" w:type="dxa"/>
            <w:tcBorders/>
            <w:shd w:fill="auto" w:val="clear"/>
            <w:vAlign w:val="bottom"/>
          </w:tcPr>
          <w:p>
            <w:pPr>
              <w:pStyle w:val="TableContents"/>
              <w:spacing w:before="0" w:after="0"/>
              <w:ind w:left="0" w:right="0" w:hanging="0"/>
              <w:rPr>
                <w:color w:val="000000"/>
              </w:rPr>
            </w:pPr>
            <w:r>
              <w:rPr>
                <w:color w:val="000000"/>
              </w:rPr>
              <w:t xml:space="preserve">  </w:t>
            </w:r>
          </w:p>
        </w:tc>
        <w:tc>
          <w:tcPr>
            <w:tcW w:w="271"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901"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2,222</w:t>
            </w:r>
          </w:p>
        </w:tc>
        <w:tc>
          <w:tcPr>
            <w:tcW w:w="124"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4367"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Equity component</w:t>
            </w:r>
            <w:r>
              <w:rPr>
                <w:rFonts w:ascii="times new roman;times" w:hAnsi="times new roman;times"/>
                <w:color w:val="000000"/>
                <w:position w:val="7"/>
                <w:sz w:val="16"/>
                <w:sz w:val="20"/>
              </w:rPr>
              <w:t>(</w:t>
            </w:r>
            <w:r>
              <w:rPr>
                <w:rFonts w:ascii="times new roman;times" w:hAnsi="times new roman;times"/>
                <w:color w:val="000000"/>
                <w:position w:val="7"/>
                <w:sz w:val="16"/>
                <w:sz w:val="20"/>
              </w:rPr>
              <w:t>1</w:t>
            </w:r>
            <w:r>
              <w:rPr>
                <w:rFonts w:ascii="times new roman;times" w:hAnsi="times new roman;times"/>
                <w:color w:val="000000"/>
                <w:position w:val="7"/>
                <w:sz w:val="16"/>
                <w:sz w:val="20"/>
              </w:rPr>
              <w:t>)</w:t>
            </w:r>
            <w:r>
              <w:rPr>
                <w:rFonts w:ascii="times new roman;times" w:hAnsi="times new roman;times"/>
                <w:color w:val="000000"/>
                <w:sz w:val="20"/>
              </w:rPr>
              <w:t>:</w:t>
            </w:r>
          </w:p>
        </w:tc>
        <w:tc>
          <w:tcPr>
            <w:tcW w:w="94" w:type="dxa"/>
            <w:tcBorders/>
            <w:shd w:fill="CFF0FC" w:val="clear"/>
            <w:vAlign w:val="bottom"/>
          </w:tcPr>
          <w:p>
            <w:pPr>
              <w:pStyle w:val="TableContents"/>
              <w:spacing w:before="0" w:after="0"/>
              <w:ind w:left="0" w:right="0" w:hanging="0"/>
              <w:rPr>
                <w:color w:val="000000"/>
              </w:rPr>
            </w:pPr>
            <w:r>
              <w:rPr>
                <w:color w:val="000000"/>
              </w:rPr>
              <w:t xml:space="preserve">  </w:t>
            </w:r>
          </w:p>
        </w:tc>
        <w:tc>
          <w:tcPr>
            <w:tcW w:w="271" w:type="dxa"/>
            <w:tcBorders/>
            <w:shd w:fill="CFF0FC" w:val="clear"/>
            <w:vAlign w:val="bottom"/>
          </w:tcPr>
          <w:p>
            <w:pPr>
              <w:pStyle w:val="TableContents"/>
              <w:spacing w:before="0" w:after="0"/>
              <w:ind w:left="0" w:right="0" w:hanging="0"/>
              <w:rPr>
                <w:color w:val="000000"/>
              </w:rPr>
            </w:pPr>
            <w:r>
              <w:rPr>
                <w:color w:val="000000"/>
              </w:rPr>
              <w:t xml:space="preserve">  </w:t>
            </w:r>
          </w:p>
        </w:tc>
        <w:tc>
          <w:tcPr>
            <w:tcW w:w="901"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94" w:type="dxa"/>
            <w:tcBorders/>
            <w:shd w:fill="CFF0FC" w:val="clear"/>
            <w:vAlign w:val="bottom"/>
          </w:tcPr>
          <w:p>
            <w:pPr>
              <w:pStyle w:val="TableContents"/>
              <w:spacing w:before="0" w:after="0"/>
              <w:ind w:left="0" w:right="0" w:hanging="0"/>
              <w:rPr>
                <w:color w:val="000000"/>
              </w:rPr>
            </w:pPr>
            <w:r>
              <w:rPr>
                <w:color w:val="000000"/>
              </w:rPr>
              <w:t xml:space="preserve">  </w:t>
            </w:r>
          </w:p>
        </w:tc>
        <w:tc>
          <w:tcPr>
            <w:tcW w:w="271" w:type="dxa"/>
            <w:tcBorders/>
            <w:shd w:fill="CFF0FC" w:val="clear"/>
            <w:vAlign w:val="bottom"/>
          </w:tcPr>
          <w:p>
            <w:pPr>
              <w:pStyle w:val="TableContents"/>
              <w:spacing w:before="0" w:after="0"/>
              <w:ind w:left="0" w:right="0" w:hanging="0"/>
              <w:rPr>
                <w:color w:val="000000"/>
              </w:rPr>
            </w:pPr>
            <w:r>
              <w:rPr>
                <w:color w:val="000000"/>
              </w:rPr>
              <w:t xml:space="preserve">  </w:t>
            </w:r>
          </w:p>
        </w:tc>
        <w:tc>
          <w:tcPr>
            <w:tcW w:w="901"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124"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4367"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Warrants </w:t>
            </w:r>
          </w:p>
        </w:tc>
        <w:tc>
          <w:tcPr>
            <w:tcW w:w="94" w:type="dxa"/>
            <w:tcBorders/>
            <w:shd w:fill="auto" w:val="clear"/>
            <w:vAlign w:val="bottom"/>
          </w:tcPr>
          <w:p>
            <w:pPr>
              <w:pStyle w:val="TableContents"/>
              <w:spacing w:before="0" w:after="0"/>
              <w:ind w:left="0" w:right="0" w:hanging="0"/>
              <w:rPr>
                <w:color w:val="000000"/>
              </w:rPr>
            </w:pPr>
            <w:r>
              <w:rPr>
                <w:color w:val="000000"/>
              </w:rPr>
              <w:t xml:space="preserve">  </w:t>
            </w:r>
          </w:p>
        </w:tc>
        <w:tc>
          <w:tcPr>
            <w:tcW w:w="271"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901"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318 </w:t>
            </w:r>
          </w:p>
        </w:tc>
        <w:tc>
          <w:tcPr>
            <w:tcW w:w="120" w:type="dxa"/>
            <w:tcBorders/>
            <w:shd w:fill="auto" w:val="clear"/>
            <w:vAlign w:val="bottom"/>
          </w:tcPr>
          <w:p>
            <w:pPr>
              <w:pStyle w:val="TableContents"/>
              <w:spacing w:before="0" w:after="0"/>
              <w:ind w:left="0" w:right="0" w:hanging="0"/>
              <w:rPr>
                <w:color w:val="000000"/>
              </w:rPr>
            </w:pPr>
            <w:r>
              <w:rPr>
                <w:color w:val="000000"/>
              </w:rPr>
              <w:t xml:space="preserve">  </w:t>
            </w:r>
          </w:p>
        </w:tc>
        <w:tc>
          <w:tcPr>
            <w:tcW w:w="94" w:type="dxa"/>
            <w:tcBorders/>
            <w:shd w:fill="auto" w:val="clear"/>
            <w:vAlign w:val="bottom"/>
          </w:tcPr>
          <w:p>
            <w:pPr>
              <w:pStyle w:val="TableContents"/>
              <w:spacing w:before="0" w:after="0"/>
              <w:ind w:left="0" w:right="0" w:hanging="0"/>
              <w:rPr>
                <w:color w:val="000000"/>
              </w:rPr>
            </w:pPr>
            <w:r>
              <w:rPr>
                <w:color w:val="000000"/>
              </w:rPr>
              <w:t xml:space="preserve">  </w:t>
            </w:r>
          </w:p>
        </w:tc>
        <w:tc>
          <w:tcPr>
            <w:tcW w:w="271"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901"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318</w:t>
            </w:r>
          </w:p>
        </w:tc>
        <w:tc>
          <w:tcPr>
            <w:tcW w:w="124"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4367"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Conversion feature </w:t>
            </w:r>
          </w:p>
        </w:tc>
        <w:tc>
          <w:tcPr>
            <w:tcW w:w="94" w:type="dxa"/>
            <w:tcBorders/>
            <w:shd w:fill="CFF0FC" w:val="clear"/>
            <w:vAlign w:val="bottom"/>
          </w:tcPr>
          <w:p>
            <w:pPr>
              <w:pStyle w:val="TableContents"/>
              <w:spacing w:before="0" w:after="0"/>
              <w:ind w:left="0" w:right="0" w:hanging="0"/>
              <w:rPr>
                <w:color w:val="000000"/>
              </w:rPr>
            </w:pPr>
            <w:r>
              <w:rPr>
                <w:color w:val="000000"/>
              </w:rPr>
              <w:t xml:space="preserve">  </w:t>
            </w:r>
          </w:p>
        </w:tc>
        <w:tc>
          <w:tcPr>
            <w:tcW w:w="271" w:type="dxa"/>
            <w:tcBorders/>
            <w:shd w:fill="CFF0FC" w:val="clear"/>
            <w:vAlign w:val="bottom"/>
          </w:tcPr>
          <w:p>
            <w:pPr>
              <w:pStyle w:val="TableContents"/>
              <w:spacing w:before="0" w:after="283"/>
              <w:rPr>
                <w:sz w:val="4"/>
                <w:szCs w:val="4"/>
              </w:rPr>
            </w:pPr>
            <w:r>
              <w:rPr>
                <w:sz w:val="4"/>
                <w:szCs w:val="4"/>
              </w:rPr>
            </w:r>
          </w:p>
        </w:tc>
        <w:tc>
          <w:tcPr>
            <w:tcW w:w="901" w:type="dxa"/>
            <w:tcBorders/>
            <w:shd w:fill="CFF0FC"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122 </w:t>
            </w:r>
          </w:p>
        </w:tc>
        <w:tc>
          <w:tcPr>
            <w:tcW w:w="120" w:type="dxa"/>
            <w:tcBorders/>
            <w:shd w:fill="CFF0FC" w:val="clear"/>
            <w:vAlign w:val="bottom"/>
          </w:tcPr>
          <w:p>
            <w:pPr>
              <w:pStyle w:val="TableContents"/>
              <w:spacing w:before="0" w:after="0"/>
              <w:ind w:left="0" w:right="0" w:hanging="0"/>
              <w:rPr>
                <w:color w:val="000000"/>
              </w:rPr>
            </w:pPr>
            <w:r>
              <w:rPr>
                <w:color w:val="000000"/>
              </w:rPr>
              <w:t xml:space="preserve">  </w:t>
            </w:r>
          </w:p>
        </w:tc>
        <w:tc>
          <w:tcPr>
            <w:tcW w:w="94" w:type="dxa"/>
            <w:tcBorders/>
            <w:shd w:fill="CFF0FC" w:val="clear"/>
            <w:vAlign w:val="bottom"/>
          </w:tcPr>
          <w:p>
            <w:pPr>
              <w:pStyle w:val="TableContents"/>
              <w:spacing w:before="0" w:after="0"/>
              <w:ind w:left="0" w:right="0" w:hanging="0"/>
              <w:rPr>
                <w:color w:val="000000"/>
              </w:rPr>
            </w:pPr>
            <w:r>
              <w:rPr>
                <w:color w:val="000000"/>
              </w:rPr>
              <w:t xml:space="preserve">  </w:t>
            </w:r>
          </w:p>
        </w:tc>
        <w:tc>
          <w:tcPr>
            <w:tcW w:w="271" w:type="dxa"/>
            <w:tcBorders/>
            <w:shd w:fill="CFF0FC" w:val="clear"/>
            <w:vAlign w:val="bottom"/>
          </w:tcPr>
          <w:p>
            <w:pPr>
              <w:pStyle w:val="TableContents"/>
              <w:spacing w:before="0" w:after="283"/>
              <w:rPr>
                <w:sz w:val="4"/>
                <w:szCs w:val="4"/>
              </w:rPr>
            </w:pPr>
            <w:r>
              <w:rPr>
                <w:sz w:val="4"/>
                <w:szCs w:val="4"/>
              </w:rPr>
            </w:r>
          </w:p>
        </w:tc>
        <w:tc>
          <w:tcPr>
            <w:tcW w:w="901" w:type="dxa"/>
            <w:tcBorders/>
            <w:shd w:fill="CFF0FC"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122</w:t>
            </w:r>
          </w:p>
        </w:tc>
        <w:tc>
          <w:tcPr>
            <w:tcW w:w="124"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4367"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Net carrying amount </w:t>
            </w:r>
          </w:p>
        </w:tc>
        <w:tc>
          <w:tcPr>
            <w:tcW w:w="94" w:type="dxa"/>
            <w:tcBorders/>
            <w:shd w:fill="auto" w:val="clear"/>
            <w:vAlign w:val="bottom"/>
          </w:tcPr>
          <w:p>
            <w:pPr>
              <w:pStyle w:val="TableContents"/>
              <w:spacing w:before="0" w:after="0"/>
              <w:ind w:left="0" w:right="0" w:hanging="0"/>
              <w:rPr>
                <w:color w:val="000000"/>
              </w:rPr>
            </w:pPr>
            <w:r>
              <w:rPr>
                <w:color w:val="000000"/>
              </w:rPr>
              <w:t xml:space="preserve">  </w:t>
            </w:r>
          </w:p>
        </w:tc>
        <w:tc>
          <w:tcPr>
            <w:tcW w:w="271"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901"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440 </w:t>
            </w:r>
          </w:p>
        </w:tc>
        <w:tc>
          <w:tcPr>
            <w:tcW w:w="120" w:type="dxa"/>
            <w:tcBorders/>
            <w:shd w:fill="auto" w:val="clear"/>
            <w:vAlign w:val="bottom"/>
          </w:tcPr>
          <w:p>
            <w:pPr>
              <w:pStyle w:val="TableContents"/>
              <w:spacing w:before="0" w:after="0"/>
              <w:ind w:left="0" w:right="0" w:hanging="0"/>
              <w:rPr>
                <w:color w:val="000000"/>
              </w:rPr>
            </w:pPr>
            <w:r>
              <w:rPr>
                <w:color w:val="000000"/>
              </w:rPr>
              <w:t xml:space="preserve">  </w:t>
            </w:r>
          </w:p>
        </w:tc>
        <w:tc>
          <w:tcPr>
            <w:tcW w:w="94" w:type="dxa"/>
            <w:tcBorders/>
            <w:shd w:fill="auto" w:val="clear"/>
            <w:vAlign w:val="bottom"/>
          </w:tcPr>
          <w:p>
            <w:pPr>
              <w:pStyle w:val="TableContents"/>
              <w:spacing w:before="0" w:after="0"/>
              <w:ind w:left="0" w:right="0" w:hanging="0"/>
              <w:rPr>
                <w:color w:val="000000"/>
              </w:rPr>
            </w:pPr>
            <w:r>
              <w:rPr>
                <w:color w:val="000000"/>
              </w:rPr>
              <w:t xml:space="preserve">  </w:t>
            </w:r>
          </w:p>
        </w:tc>
        <w:tc>
          <w:tcPr>
            <w:tcW w:w="271"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901"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440</w:t>
            </w:r>
          </w:p>
        </w:tc>
        <w:tc>
          <w:tcPr>
            <w:tcW w:w="124"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4367" w:type="dxa"/>
            <w:tcBorders/>
            <w:shd w:fill="CFF0FC" w:val="clear"/>
            <w:vAlign w:val="center"/>
          </w:tcPr>
          <w:p>
            <w:pPr>
              <w:pStyle w:val="TableContents"/>
              <w:spacing w:before="0" w:after="283"/>
              <w:rPr/>
            </w:pPr>
            <w:r>
              <w:rPr/>
            </w:r>
          </w:p>
        </w:tc>
        <w:tc>
          <w:tcPr>
            <w:tcW w:w="94" w:type="dxa"/>
            <w:tcBorders/>
            <w:shd w:fill="CFF0FC" w:val="clear"/>
            <w:vAlign w:val="center"/>
          </w:tcPr>
          <w:p>
            <w:pPr>
              <w:pStyle w:val="TableContents"/>
              <w:spacing w:before="0" w:after="283"/>
              <w:rPr/>
            </w:pPr>
            <w:r>
              <w:rPr/>
            </w:r>
          </w:p>
        </w:tc>
        <w:tc>
          <w:tcPr>
            <w:tcW w:w="271" w:type="dxa"/>
            <w:tcBorders/>
            <w:shd w:fill="CFF0FC" w:val="clear"/>
            <w:vAlign w:val="center"/>
          </w:tcPr>
          <w:p>
            <w:pPr>
              <w:pStyle w:val="TableContents"/>
              <w:spacing w:before="0" w:after="283"/>
              <w:rPr/>
            </w:pPr>
            <w:r>
              <w:rPr/>
            </w:r>
          </w:p>
        </w:tc>
        <w:tc>
          <w:tcPr>
            <w:tcW w:w="901" w:type="dxa"/>
            <w:tcBorders/>
            <w:shd w:fill="CFF0FC" w:val="clear"/>
            <w:vAlign w:val="center"/>
          </w:tcPr>
          <w:p>
            <w:pPr>
              <w:pStyle w:val="TableContents"/>
              <w:spacing w:before="0" w:after="283"/>
              <w:rPr/>
            </w:pPr>
            <w:r>
              <w:rPr/>
            </w:r>
          </w:p>
        </w:tc>
        <w:tc>
          <w:tcPr>
            <w:tcW w:w="120" w:type="dxa"/>
            <w:tcBorders/>
            <w:shd w:fill="CFF0FC" w:val="clear"/>
            <w:vAlign w:val="center"/>
          </w:tcPr>
          <w:p>
            <w:pPr>
              <w:pStyle w:val="TableContents"/>
              <w:spacing w:before="0" w:after="283"/>
              <w:rPr/>
            </w:pPr>
            <w:r>
              <w:rPr/>
            </w:r>
          </w:p>
        </w:tc>
        <w:tc>
          <w:tcPr>
            <w:tcW w:w="94" w:type="dxa"/>
            <w:tcBorders/>
            <w:shd w:fill="CFF0FC" w:val="clear"/>
            <w:vAlign w:val="center"/>
          </w:tcPr>
          <w:p>
            <w:pPr>
              <w:pStyle w:val="TableContents"/>
              <w:spacing w:before="0" w:after="283"/>
              <w:rPr/>
            </w:pPr>
            <w:r>
              <w:rPr/>
            </w:r>
          </w:p>
        </w:tc>
        <w:tc>
          <w:tcPr>
            <w:tcW w:w="271" w:type="dxa"/>
            <w:tcBorders/>
            <w:shd w:fill="CFF0FC" w:val="clear"/>
            <w:vAlign w:val="center"/>
          </w:tcPr>
          <w:p>
            <w:pPr>
              <w:pStyle w:val="TableContents"/>
              <w:spacing w:before="0" w:after="283"/>
              <w:rPr/>
            </w:pPr>
            <w:r>
              <w:rPr/>
            </w:r>
          </w:p>
        </w:tc>
        <w:tc>
          <w:tcPr>
            <w:tcW w:w="901" w:type="dxa"/>
            <w:tcBorders/>
            <w:shd w:fill="CFF0FC" w:val="clear"/>
            <w:vAlign w:val="center"/>
          </w:tcPr>
          <w:p>
            <w:pPr>
              <w:pStyle w:val="TableContents"/>
              <w:spacing w:before="0" w:after="283"/>
              <w:rPr/>
            </w:pPr>
            <w:r>
              <w:rPr/>
            </w:r>
          </w:p>
        </w:tc>
        <w:tc>
          <w:tcPr>
            <w:tcW w:w="124" w:type="dxa"/>
            <w:tcBorders/>
            <w:shd w:fill="CFF0FC" w:val="clear"/>
            <w:vAlign w:val="center"/>
          </w:tcPr>
          <w:p>
            <w:pPr>
              <w:pStyle w:val="TableContents"/>
              <w:spacing w:before="0" w:after="283"/>
              <w:rPr/>
            </w:pPr>
            <w:r>
              <w:rPr/>
            </w:r>
          </w:p>
        </w:tc>
      </w:tr>
      <w:tr>
        <w:trPr/>
        <w:tc>
          <w:tcPr>
            <w:tcW w:w="4367" w:type="dxa"/>
            <w:tcBorders/>
            <w:shd w:fill="auto" w:val="clear"/>
            <w:vAlign w:val="center"/>
          </w:tcPr>
          <w:p>
            <w:pPr>
              <w:pStyle w:val="TableContents"/>
              <w:spacing w:before="0" w:after="283"/>
              <w:rPr/>
            </w:pPr>
            <w:r>
              <w:rPr/>
              <w:t>Current portion of liability component included under short-term debt</w:t>
            </w:r>
          </w:p>
        </w:tc>
        <w:tc>
          <w:tcPr>
            <w:tcW w:w="94" w:type="dxa"/>
            <w:tcBorders/>
            <w:shd w:fill="auto" w:val="clear"/>
            <w:vAlign w:val="center"/>
          </w:tcPr>
          <w:p>
            <w:pPr>
              <w:pStyle w:val="TableContents"/>
              <w:spacing w:before="0" w:after="283"/>
              <w:rPr/>
            </w:pPr>
            <w:r>
              <w:rPr/>
            </w:r>
          </w:p>
        </w:tc>
        <w:tc>
          <w:tcPr>
            <w:tcW w:w="271" w:type="dxa"/>
            <w:tcBorders/>
            <w:shd w:fill="auto" w:val="clear"/>
            <w:vAlign w:val="center"/>
          </w:tcPr>
          <w:p>
            <w:pPr>
              <w:pStyle w:val="TableContents"/>
              <w:spacing w:before="0" w:after="283"/>
              <w:rPr/>
            </w:pPr>
            <w:r>
              <w:rPr/>
              <w:t>$</w:t>
            </w:r>
          </w:p>
        </w:tc>
        <w:tc>
          <w:tcPr>
            <w:tcW w:w="901" w:type="dxa"/>
            <w:tcBorders/>
            <w:shd w:fill="auto" w:val="clear"/>
            <w:vAlign w:val="center"/>
          </w:tcPr>
          <w:p>
            <w:pPr>
              <w:pStyle w:val="TableContents"/>
              <w:spacing w:before="0" w:after="283"/>
              <w:jc w:val="right"/>
              <w:rPr/>
            </w:pPr>
            <w:r>
              <w:rPr/>
              <w:t>360</w:t>
            </w:r>
          </w:p>
        </w:tc>
        <w:tc>
          <w:tcPr>
            <w:tcW w:w="120" w:type="dxa"/>
            <w:tcBorders/>
            <w:shd w:fill="auto" w:val="clear"/>
            <w:vAlign w:val="center"/>
          </w:tcPr>
          <w:p>
            <w:pPr>
              <w:pStyle w:val="TableContents"/>
              <w:spacing w:before="0" w:after="283"/>
              <w:rPr/>
            </w:pPr>
            <w:r>
              <w:rPr/>
            </w:r>
          </w:p>
        </w:tc>
        <w:tc>
          <w:tcPr>
            <w:tcW w:w="94" w:type="dxa"/>
            <w:tcBorders/>
            <w:shd w:fill="auto" w:val="clear"/>
            <w:vAlign w:val="center"/>
          </w:tcPr>
          <w:p>
            <w:pPr>
              <w:pStyle w:val="TableContents"/>
              <w:spacing w:before="0" w:after="283"/>
              <w:rPr/>
            </w:pPr>
            <w:r>
              <w:rPr/>
            </w:r>
          </w:p>
        </w:tc>
        <w:tc>
          <w:tcPr>
            <w:tcW w:w="271" w:type="dxa"/>
            <w:tcBorders/>
            <w:shd w:fill="auto" w:val="clear"/>
            <w:vAlign w:val="center"/>
          </w:tcPr>
          <w:p>
            <w:pPr>
              <w:pStyle w:val="TableContents"/>
              <w:spacing w:before="0" w:after="283"/>
              <w:rPr/>
            </w:pPr>
            <w:r>
              <w:rPr/>
              <w:t>$</w:t>
            </w:r>
          </w:p>
        </w:tc>
        <w:tc>
          <w:tcPr>
            <w:tcW w:w="901" w:type="dxa"/>
            <w:tcBorders/>
            <w:shd w:fill="auto" w:val="clear"/>
            <w:vAlign w:val="center"/>
          </w:tcPr>
          <w:p>
            <w:pPr>
              <w:pStyle w:val="TableContents"/>
              <w:spacing w:before="0" w:after="283"/>
              <w:jc w:val="right"/>
              <w:rPr/>
            </w:pPr>
            <w:r>
              <w:rPr/>
              <w:t>—</w:t>
            </w:r>
          </w:p>
        </w:tc>
        <w:tc>
          <w:tcPr>
            <w:tcW w:w="124" w:type="dxa"/>
            <w:tcBorders/>
            <w:shd w:fill="auto" w:val="clear"/>
            <w:vAlign w:val="center"/>
          </w:tcPr>
          <w:p>
            <w:pPr>
              <w:pStyle w:val="TableContents"/>
              <w:spacing w:before="0" w:after="283"/>
              <w:rPr/>
            </w:pPr>
            <w:r>
              <w:rPr/>
            </w:r>
          </w:p>
        </w:tc>
      </w:tr>
      <w:tr>
        <w:trPr/>
        <w:tc>
          <w:tcPr>
            <w:tcW w:w="4367" w:type="dxa"/>
            <w:tcBorders/>
            <w:shd w:fill="CFF0FC" w:val="clear"/>
            <w:vAlign w:val="center"/>
          </w:tcPr>
          <w:p>
            <w:pPr>
              <w:pStyle w:val="TableContents"/>
              <w:spacing w:before="0" w:after="283"/>
              <w:rPr/>
            </w:pPr>
            <w:r>
              <w:rPr/>
              <w:t>Long-term portion of liability component included under long-term debt</w:t>
            </w:r>
          </w:p>
        </w:tc>
        <w:tc>
          <w:tcPr>
            <w:tcW w:w="94" w:type="dxa"/>
            <w:tcBorders/>
            <w:shd w:fill="CFF0FC" w:val="clear"/>
            <w:vAlign w:val="center"/>
          </w:tcPr>
          <w:p>
            <w:pPr>
              <w:pStyle w:val="TableContents"/>
              <w:spacing w:before="0" w:after="283"/>
              <w:rPr/>
            </w:pPr>
            <w:r>
              <w:rPr/>
            </w:r>
          </w:p>
        </w:tc>
        <w:tc>
          <w:tcPr>
            <w:tcW w:w="271" w:type="dxa"/>
            <w:tcBorders>
              <w:bottom w:val="single" w:sz="8" w:space="0" w:color="000000"/>
            </w:tcBorders>
            <w:shd w:fill="CFF0FC" w:val="clear"/>
            <w:tcMar>
              <w:bottom w:w="28" w:type="dxa"/>
            </w:tcMar>
            <w:vAlign w:val="center"/>
          </w:tcPr>
          <w:p>
            <w:pPr>
              <w:pStyle w:val="TableContents"/>
              <w:spacing w:before="0" w:after="283"/>
              <w:rPr/>
            </w:pPr>
            <w:r>
              <w:rPr/>
            </w:r>
          </w:p>
        </w:tc>
        <w:tc>
          <w:tcPr>
            <w:tcW w:w="901" w:type="dxa"/>
            <w:tcBorders>
              <w:bottom w:val="single" w:sz="8" w:space="0" w:color="000000"/>
            </w:tcBorders>
            <w:shd w:fill="CFF0FC" w:val="clear"/>
            <w:tcMar>
              <w:bottom w:w="28" w:type="dxa"/>
            </w:tcMar>
            <w:vAlign w:val="center"/>
          </w:tcPr>
          <w:p>
            <w:pPr>
              <w:pStyle w:val="TableContents"/>
              <w:spacing w:before="0" w:after="283"/>
              <w:jc w:val="right"/>
              <w:rPr/>
            </w:pPr>
            <w:r>
              <w:rPr/>
              <w:t>2,059</w:t>
            </w:r>
          </w:p>
        </w:tc>
        <w:tc>
          <w:tcPr>
            <w:tcW w:w="120" w:type="dxa"/>
            <w:tcBorders/>
            <w:shd w:fill="CFF0FC" w:val="clear"/>
            <w:vAlign w:val="center"/>
          </w:tcPr>
          <w:p>
            <w:pPr>
              <w:pStyle w:val="TableContents"/>
              <w:spacing w:before="0" w:after="283"/>
              <w:rPr/>
            </w:pPr>
            <w:r>
              <w:rPr/>
            </w:r>
          </w:p>
        </w:tc>
        <w:tc>
          <w:tcPr>
            <w:tcW w:w="94" w:type="dxa"/>
            <w:tcBorders/>
            <w:shd w:fill="CFF0FC" w:val="clear"/>
            <w:vAlign w:val="center"/>
          </w:tcPr>
          <w:p>
            <w:pPr>
              <w:pStyle w:val="TableContents"/>
              <w:spacing w:before="0" w:after="283"/>
              <w:rPr/>
            </w:pPr>
            <w:r>
              <w:rPr/>
            </w:r>
          </w:p>
        </w:tc>
        <w:tc>
          <w:tcPr>
            <w:tcW w:w="271" w:type="dxa"/>
            <w:tcBorders>
              <w:bottom w:val="single" w:sz="8" w:space="0" w:color="000000"/>
            </w:tcBorders>
            <w:shd w:fill="CFF0FC" w:val="clear"/>
            <w:tcMar>
              <w:bottom w:w="28" w:type="dxa"/>
            </w:tcMar>
            <w:vAlign w:val="center"/>
          </w:tcPr>
          <w:p>
            <w:pPr>
              <w:pStyle w:val="TableContents"/>
              <w:spacing w:before="0" w:after="283"/>
              <w:rPr/>
            </w:pPr>
            <w:r>
              <w:rPr/>
            </w:r>
          </w:p>
        </w:tc>
        <w:tc>
          <w:tcPr>
            <w:tcW w:w="901" w:type="dxa"/>
            <w:tcBorders>
              <w:bottom w:val="single" w:sz="8" w:space="0" w:color="000000"/>
            </w:tcBorders>
            <w:shd w:fill="CFF0FC" w:val="clear"/>
            <w:tcMar>
              <w:bottom w:w="28" w:type="dxa"/>
            </w:tcMar>
            <w:vAlign w:val="center"/>
          </w:tcPr>
          <w:p>
            <w:pPr>
              <w:pStyle w:val="TableContents"/>
              <w:spacing w:before="0" w:after="283"/>
              <w:jc w:val="right"/>
              <w:rPr/>
            </w:pPr>
            <w:r>
              <w:rPr/>
              <w:t>2,222</w:t>
            </w:r>
          </w:p>
        </w:tc>
        <w:tc>
          <w:tcPr>
            <w:tcW w:w="124" w:type="dxa"/>
            <w:tcBorders/>
            <w:shd w:fill="CFF0FC" w:val="clear"/>
            <w:vAlign w:val="center"/>
          </w:tcPr>
          <w:p>
            <w:pPr>
              <w:pStyle w:val="TableContents"/>
              <w:spacing w:before="0" w:after="283"/>
              <w:rPr/>
            </w:pPr>
            <w:r>
              <w:rPr/>
            </w:r>
          </w:p>
        </w:tc>
      </w:tr>
      <w:tr>
        <w:trPr/>
        <w:tc>
          <w:tcPr>
            <w:tcW w:w="4367" w:type="dxa"/>
            <w:tcBorders/>
            <w:shd w:fill="auto" w:val="clear"/>
            <w:vAlign w:val="center"/>
          </w:tcPr>
          <w:p>
            <w:pPr>
              <w:pStyle w:val="TableContents"/>
              <w:spacing w:before="0" w:after="283"/>
              <w:rPr/>
            </w:pPr>
            <w:r>
              <w:rPr/>
              <w:t>Liability component total</w:t>
            </w:r>
          </w:p>
        </w:tc>
        <w:tc>
          <w:tcPr>
            <w:tcW w:w="94" w:type="dxa"/>
            <w:tcBorders/>
            <w:shd w:fill="auto" w:val="clear"/>
            <w:vAlign w:val="center"/>
          </w:tcPr>
          <w:p>
            <w:pPr>
              <w:pStyle w:val="TableContents"/>
              <w:spacing w:before="0" w:after="283"/>
              <w:rPr/>
            </w:pPr>
            <w:r>
              <w:rPr/>
            </w:r>
          </w:p>
        </w:tc>
        <w:tc>
          <w:tcPr>
            <w:tcW w:w="271" w:type="dxa"/>
            <w:tcBorders>
              <w:bottom w:val="double" w:sz="7" w:space="0" w:color="000000"/>
            </w:tcBorders>
            <w:shd w:fill="auto" w:val="clear"/>
            <w:tcMar>
              <w:bottom w:w="28" w:type="dxa"/>
            </w:tcMar>
            <w:vAlign w:val="center"/>
          </w:tcPr>
          <w:p>
            <w:pPr>
              <w:pStyle w:val="TableContents"/>
              <w:spacing w:before="0" w:after="283"/>
              <w:rPr/>
            </w:pPr>
            <w:r>
              <w:rPr/>
              <w:t>$</w:t>
            </w:r>
          </w:p>
        </w:tc>
        <w:tc>
          <w:tcPr>
            <w:tcW w:w="901" w:type="dxa"/>
            <w:tcBorders>
              <w:bottom w:val="double" w:sz="7" w:space="0" w:color="000000"/>
            </w:tcBorders>
            <w:shd w:fill="auto" w:val="clear"/>
            <w:tcMar>
              <w:bottom w:w="28" w:type="dxa"/>
            </w:tcMar>
            <w:vAlign w:val="center"/>
          </w:tcPr>
          <w:p>
            <w:pPr>
              <w:pStyle w:val="TableContents"/>
              <w:spacing w:before="0" w:after="283"/>
              <w:jc w:val="right"/>
              <w:rPr/>
            </w:pPr>
            <w:r>
              <w:rPr/>
              <w:t>2,419</w:t>
            </w:r>
          </w:p>
        </w:tc>
        <w:tc>
          <w:tcPr>
            <w:tcW w:w="120" w:type="dxa"/>
            <w:tcBorders/>
            <w:shd w:fill="auto" w:val="clear"/>
            <w:vAlign w:val="center"/>
          </w:tcPr>
          <w:p>
            <w:pPr>
              <w:pStyle w:val="TableContents"/>
              <w:spacing w:before="0" w:after="283"/>
              <w:rPr/>
            </w:pPr>
            <w:r>
              <w:rPr/>
            </w:r>
          </w:p>
        </w:tc>
        <w:tc>
          <w:tcPr>
            <w:tcW w:w="94" w:type="dxa"/>
            <w:tcBorders/>
            <w:shd w:fill="auto" w:val="clear"/>
            <w:vAlign w:val="center"/>
          </w:tcPr>
          <w:p>
            <w:pPr>
              <w:pStyle w:val="TableContents"/>
              <w:spacing w:before="0" w:after="283"/>
              <w:rPr/>
            </w:pPr>
            <w:r>
              <w:rPr/>
            </w:r>
          </w:p>
        </w:tc>
        <w:tc>
          <w:tcPr>
            <w:tcW w:w="271" w:type="dxa"/>
            <w:tcBorders>
              <w:bottom w:val="double" w:sz="7" w:space="0" w:color="000000"/>
            </w:tcBorders>
            <w:shd w:fill="auto" w:val="clear"/>
            <w:tcMar>
              <w:bottom w:w="28" w:type="dxa"/>
            </w:tcMar>
            <w:vAlign w:val="center"/>
          </w:tcPr>
          <w:p>
            <w:pPr>
              <w:pStyle w:val="TableContents"/>
              <w:spacing w:before="0" w:after="283"/>
              <w:rPr/>
            </w:pPr>
            <w:r>
              <w:rPr/>
              <w:t>$</w:t>
            </w:r>
          </w:p>
        </w:tc>
        <w:tc>
          <w:tcPr>
            <w:tcW w:w="901" w:type="dxa"/>
            <w:tcBorders>
              <w:bottom w:val="double" w:sz="7" w:space="0" w:color="000000"/>
            </w:tcBorders>
            <w:shd w:fill="auto" w:val="clear"/>
            <w:tcMar>
              <w:bottom w:w="28" w:type="dxa"/>
            </w:tcMar>
            <w:vAlign w:val="center"/>
          </w:tcPr>
          <w:p>
            <w:pPr>
              <w:pStyle w:val="TableContents"/>
              <w:spacing w:before="0" w:after="283"/>
              <w:jc w:val="right"/>
              <w:rPr/>
            </w:pPr>
            <w:r>
              <w:rPr/>
              <w:t>2,222</w:t>
            </w:r>
          </w:p>
        </w:tc>
        <w:tc>
          <w:tcPr>
            <w:tcW w:w="124" w:type="dxa"/>
            <w:tcBorders/>
            <w:shd w:fill="auto" w:val="clear"/>
            <w:vAlign w:val="center"/>
          </w:tcPr>
          <w:p>
            <w:pPr>
              <w:pStyle w:val="TableContents"/>
              <w:spacing w:before="0" w:after="283"/>
              <w:rPr/>
            </w:pPr>
            <w:r>
              <w:rPr/>
            </w:r>
          </w:p>
        </w:tc>
      </w:tr>
    </w:tbl>
    <w:p>
      <w:pPr>
        <w:pStyle w:val="TextBody"/>
        <w:spacing w:before="180" w:after="0"/>
        <w:ind w:left="0" w:right="0" w:hanging="0"/>
        <w:rPr>
          <w:rFonts w:ascii="times new roman;times" w:hAnsi="times new roman;times"/>
          <w:color w:val="212529"/>
          <w:sz w:val="20"/>
        </w:rPr>
      </w:pPr>
      <w:r>
        <w:rPr>
          <w:rFonts w:ascii="times new roman;times" w:hAnsi="times new roman;times"/>
          <w:color w:val="212529"/>
          <w:sz w:val="20"/>
        </w:rPr>
        <w:t xml:space="preserve">(1) </w:t>
      </w:r>
      <w:r>
        <w:rPr>
          <w:rFonts w:ascii="times new roman;times" w:hAnsi="times new roman;times"/>
          <w:color w:val="212529"/>
          <w:sz w:val="20"/>
          <w:highlight w:val="white"/>
        </w:rPr>
        <w:t>Recorded on the consolidated balance sheets as additional paid-in capital.</w:t>
      </w:r>
      <w:r>
        <w:rPr>
          <w:rFonts w:ascii="times new roman;times" w:hAnsi="times new roman;times"/>
          <w:color w:val="212529"/>
          <w:sz w:val="20"/>
        </w:rPr>
        <w:t> </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 xml:space="preserve">Debt discount and issuance costs are amortized over the life of the note to interest expense using the effective interest method. During the year ended December 31, 2020, amortization of debt discount and issuance costs was </w:t>
      </w:r>
      <w:r>
        <w:rPr>
          <w:rFonts w:ascii="times new roman;times" w:hAnsi="times new roman;times"/>
          <w:sz w:val="20"/>
        </w:rPr>
        <w:t>$197</w:t>
      </w:r>
      <w:r>
        <w:rPr>
          <w:rFonts w:ascii="times new roman;times" w:hAnsi="times new roman;times"/>
          <w:sz w:val="20"/>
        </w:rPr>
        <w:t>. The following table represents schedule of maturities of principal amount contained in the Notes as of December 31, 2020:</w:t>
      </w:r>
    </w:p>
    <w:tbl>
      <w:tblPr>
        <w:tblW w:w="3250" w:type="pct"/>
        <w:jc w:val="left"/>
        <w:tblInd w:w="0" w:type="dxa"/>
        <w:tblCellMar>
          <w:top w:w="0" w:type="dxa"/>
          <w:left w:w="0" w:type="dxa"/>
          <w:bottom w:w="28" w:type="dxa"/>
          <w:right w:w="0" w:type="dxa"/>
        </w:tblCellMar>
      </w:tblPr>
      <w:tblGrid>
        <w:gridCol w:w="3038"/>
        <w:gridCol w:w="178"/>
        <w:gridCol w:w="785"/>
        <w:gridCol w:w="2453"/>
        <w:gridCol w:w="179"/>
      </w:tblGrid>
      <w:tr>
        <w:trPr/>
        <w:tc>
          <w:tcPr>
            <w:tcW w:w="3038" w:type="dxa"/>
            <w:tcBorders>
              <w:bottom w:val="single" w:sz="8" w:space="0" w:color="000000"/>
            </w:tcBorders>
            <w:shd w:fill="FFFFFF" w:val="clear"/>
            <w:vAlign w:val="bottom"/>
          </w:tcPr>
          <w:p>
            <w:pPr>
              <w:pStyle w:val="TableContents"/>
              <w:spacing w:before="0" w:after="0"/>
              <w:ind w:left="0" w:right="0" w:hanging="0"/>
              <w:rPr>
                <w:rFonts w:ascii="times new roman;times" w:hAnsi="times new roman;times"/>
                <w:b/>
                <w:sz w:val="18"/>
              </w:rPr>
            </w:pPr>
            <w:r>
              <w:rPr>
                <w:rFonts w:ascii="times new roman;times" w:hAnsi="times new roman;times"/>
                <w:b/>
                <w:sz w:val="18"/>
              </w:rPr>
              <w:t>Year</w:t>
            </w:r>
            <w:r>
              <w:rPr>
                <w:rFonts w:ascii="times new roman;times" w:hAnsi="times new roman;times"/>
                <w:b/>
                <w:color w:val="000000"/>
                <w:sz w:val="18"/>
              </w:rPr>
              <w:t> ending December 31,</w:t>
            </w:r>
          </w:p>
        </w:tc>
        <w:tc>
          <w:tcPr>
            <w:tcW w:w="178" w:type="dxa"/>
            <w:tcBorders/>
            <w:shd w:fill="FFFFFF" w:val="clear"/>
            <w:tcMar>
              <w:bottom w:w="0" w:type="dxa"/>
            </w:tcMar>
            <w:vAlign w:val="bottom"/>
          </w:tcPr>
          <w:p>
            <w:pPr>
              <w:pStyle w:val="TableContents"/>
              <w:spacing w:before="0" w:after="0"/>
              <w:ind w:left="0" w:right="0" w:hanging="0"/>
              <w:rPr>
                <w:color w:val="000000"/>
              </w:rPr>
            </w:pPr>
            <w:r>
              <w:rPr>
                <w:color w:val="000000"/>
              </w:rPr>
              <w:t> </w:t>
            </w:r>
          </w:p>
        </w:tc>
        <w:tc>
          <w:tcPr>
            <w:tcW w:w="3238" w:type="dxa"/>
            <w:gridSpan w:val="2"/>
            <w:tcBorders>
              <w:bottom w:val="single" w:sz="8" w:space="0" w:color="000000"/>
            </w:tcBorders>
            <w:shd w:fill="FFFFFF" w:val="cle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Principal Amount Maturing</w:t>
            </w:r>
          </w:p>
        </w:tc>
        <w:tc>
          <w:tcPr>
            <w:tcW w:w="179" w:type="dxa"/>
            <w:tcBorders/>
            <w:shd w:fill="FFFFFF" w:val="clear"/>
            <w:tcMar>
              <w:bottom w:w="0" w:type="dxa"/>
            </w:tcMar>
            <w:vAlign w:val="bottom"/>
          </w:tcPr>
          <w:p>
            <w:pPr>
              <w:pStyle w:val="TableContents"/>
              <w:spacing w:before="0" w:after="0"/>
              <w:ind w:left="0" w:right="0" w:hanging="0"/>
              <w:rPr>
                <w:color w:val="000000"/>
              </w:rPr>
            </w:pPr>
            <w:r>
              <w:rPr>
                <w:color w:val="000000"/>
              </w:rPr>
              <w:t> </w:t>
            </w:r>
          </w:p>
        </w:tc>
      </w:tr>
      <w:tr>
        <w:trPr/>
        <w:tc>
          <w:tcPr>
            <w:tcW w:w="3038" w:type="dxa"/>
            <w:tcBorders/>
            <w:shd w:fill="CFF0FC" w:val="clear"/>
            <w:tcMar>
              <w:bottom w:w="0" w:type="dxa"/>
            </w:tcM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2021 </w:t>
            </w:r>
          </w:p>
        </w:tc>
        <w:tc>
          <w:tcPr>
            <w:tcW w:w="178" w:type="dxa"/>
            <w:tcBorders/>
            <w:shd w:fill="CFF0FC" w:val="clear"/>
            <w:tcMar>
              <w:bottom w:w="0" w:type="dxa"/>
            </w:tcMar>
            <w:vAlign w:val="bottom"/>
          </w:tcPr>
          <w:p>
            <w:pPr>
              <w:pStyle w:val="TableContents"/>
              <w:spacing w:before="0" w:after="0"/>
              <w:ind w:left="0" w:right="0" w:hanging="0"/>
              <w:rPr>
                <w:color w:val="000000"/>
              </w:rPr>
            </w:pPr>
            <w:r>
              <w:rPr>
                <w:color w:val="000000"/>
              </w:rPr>
              <w:t xml:space="preserve">  </w:t>
            </w:r>
          </w:p>
        </w:tc>
        <w:tc>
          <w:tcPr>
            <w:tcW w:w="785" w:type="dxa"/>
            <w:tcBorders/>
            <w:shd w:fill="CFF0FC" w:val="clear"/>
            <w:tcMar>
              <w:bottom w:w="0" w:type="dxa"/>
            </w:tcM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2453" w:type="dxa"/>
            <w:tcBorders/>
            <w:shd w:fill="CFF0FC" w:val="clear"/>
            <w:tcMar>
              <w:bottom w:w="0"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360</w:t>
            </w:r>
          </w:p>
        </w:tc>
        <w:tc>
          <w:tcPr>
            <w:tcW w:w="179" w:type="dxa"/>
            <w:tcBorders/>
            <w:shd w:fill="CFF0FC" w:val="clear"/>
            <w:tcMar>
              <w:bottom w:w="0" w:type="dxa"/>
            </w:tcMar>
            <w:vAlign w:val="bottom"/>
          </w:tcPr>
          <w:p>
            <w:pPr>
              <w:pStyle w:val="TableContents"/>
              <w:spacing w:before="0" w:after="0"/>
              <w:ind w:left="0" w:right="0" w:hanging="0"/>
              <w:rPr>
                <w:color w:val="000000"/>
              </w:rPr>
            </w:pPr>
            <w:r>
              <w:rPr>
                <w:color w:val="000000"/>
              </w:rPr>
              <w:t xml:space="preserve">  </w:t>
            </w:r>
          </w:p>
        </w:tc>
      </w:tr>
      <w:tr>
        <w:trPr/>
        <w:tc>
          <w:tcPr>
            <w:tcW w:w="3038" w:type="dxa"/>
            <w:tcBorders/>
            <w:shd w:fill="auto" w:val="clear"/>
            <w:tcMar>
              <w:bottom w:w="0" w:type="dxa"/>
            </w:tcM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2022 </w:t>
            </w:r>
          </w:p>
        </w:tc>
        <w:tc>
          <w:tcPr>
            <w:tcW w:w="178" w:type="dxa"/>
            <w:tcBorders/>
            <w:shd w:fill="auto" w:val="clear"/>
            <w:tcMar>
              <w:bottom w:w="0" w:type="dxa"/>
            </w:tcMar>
            <w:vAlign w:val="bottom"/>
          </w:tcPr>
          <w:p>
            <w:pPr>
              <w:pStyle w:val="TableContents"/>
              <w:spacing w:before="0" w:after="0"/>
              <w:ind w:left="0" w:right="0" w:hanging="0"/>
              <w:rPr>
                <w:color w:val="000000"/>
              </w:rPr>
            </w:pPr>
            <w:r>
              <w:rPr>
                <w:color w:val="000000"/>
              </w:rPr>
              <w:t xml:space="preserve">  </w:t>
            </w:r>
          </w:p>
        </w:tc>
        <w:tc>
          <w:tcPr>
            <w:tcW w:w="785" w:type="dxa"/>
            <w:tcBorders/>
            <w:shd w:fill="auto" w:val="clear"/>
            <w:tcMar>
              <w:bottom w:w="0" w:type="dxa"/>
            </w:tcMar>
            <w:vAlign w:val="bottom"/>
          </w:tcPr>
          <w:p>
            <w:pPr>
              <w:pStyle w:val="TableContents"/>
              <w:spacing w:before="0" w:after="0"/>
              <w:ind w:left="0" w:right="0" w:hanging="0"/>
              <w:rPr>
                <w:color w:val="000000"/>
              </w:rPr>
            </w:pPr>
            <w:r>
              <w:rPr>
                <w:color w:val="000000"/>
              </w:rPr>
              <w:t xml:space="preserve">  </w:t>
            </w:r>
          </w:p>
        </w:tc>
        <w:tc>
          <w:tcPr>
            <w:tcW w:w="2453" w:type="dxa"/>
            <w:tcBorders/>
            <w:shd w:fill="auto" w:val="clear"/>
            <w:tcMar>
              <w:bottom w:w="0"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720 </w:t>
            </w:r>
          </w:p>
        </w:tc>
        <w:tc>
          <w:tcPr>
            <w:tcW w:w="179" w:type="dxa"/>
            <w:tcBorders/>
            <w:shd w:fill="auto" w:val="clear"/>
            <w:tcMar>
              <w:bottom w:w="0" w:type="dxa"/>
            </w:tcMar>
            <w:vAlign w:val="bottom"/>
          </w:tcPr>
          <w:p>
            <w:pPr>
              <w:pStyle w:val="TableContents"/>
              <w:spacing w:before="0" w:after="0"/>
              <w:ind w:left="0" w:right="0" w:hanging="0"/>
              <w:rPr>
                <w:color w:val="000000"/>
              </w:rPr>
            </w:pPr>
            <w:r>
              <w:rPr>
                <w:color w:val="000000"/>
              </w:rPr>
              <w:t xml:space="preserve">  </w:t>
            </w:r>
          </w:p>
        </w:tc>
      </w:tr>
      <w:tr>
        <w:trPr/>
        <w:tc>
          <w:tcPr>
            <w:tcW w:w="3038" w:type="dxa"/>
            <w:tcBorders/>
            <w:shd w:fill="CFF0FC" w:val="clear"/>
            <w:tcMar>
              <w:bottom w:w="0" w:type="dxa"/>
            </w:tcM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2023 </w:t>
            </w:r>
          </w:p>
        </w:tc>
        <w:tc>
          <w:tcPr>
            <w:tcW w:w="178" w:type="dxa"/>
            <w:tcBorders/>
            <w:shd w:fill="CFF0FC" w:val="clear"/>
            <w:tcMar>
              <w:bottom w:w="0" w:type="dxa"/>
            </w:tcMar>
            <w:vAlign w:val="bottom"/>
          </w:tcPr>
          <w:p>
            <w:pPr>
              <w:pStyle w:val="TableContents"/>
              <w:spacing w:before="0" w:after="0"/>
              <w:ind w:left="0" w:right="0" w:hanging="0"/>
              <w:rPr>
                <w:color w:val="000000"/>
              </w:rPr>
            </w:pPr>
            <w:r>
              <w:rPr>
                <w:color w:val="000000"/>
              </w:rPr>
              <w:t xml:space="preserve">  </w:t>
            </w:r>
          </w:p>
        </w:tc>
        <w:tc>
          <w:tcPr>
            <w:tcW w:w="785" w:type="dxa"/>
            <w:tcBorders/>
            <w:shd w:fill="CFF0FC" w:val="clear"/>
            <w:tcMar>
              <w:bottom w:w="0" w:type="dxa"/>
            </w:tcMar>
            <w:vAlign w:val="bottom"/>
          </w:tcPr>
          <w:p>
            <w:pPr>
              <w:pStyle w:val="TableContents"/>
              <w:spacing w:before="0" w:after="0"/>
              <w:ind w:left="0" w:right="0" w:hanging="0"/>
              <w:rPr>
                <w:color w:val="000000"/>
              </w:rPr>
            </w:pPr>
            <w:r>
              <w:rPr>
                <w:color w:val="000000"/>
              </w:rPr>
              <w:t xml:space="preserve">  </w:t>
            </w:r>
          </w:p>
        </w:tc>
        <w:tc>
          <w:tcPr>
            <w:tcW w:w="2453" w:type="dxa"/>
            <w:tcBorders/>
            <w:shd w:fill="CFF0FC" w:val="clear"/>
            <w:tcMar>
              <w:bottom w:w="0"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1,920 </w:t>
            </w:r>
          </w:p>
        </w:tc>
        <w:tc>
          <w:tcPr>
            <w:tcW w:w="179" w:type="dxa"/>
            <w:tcBorders/>
            <w:shd w:fill="CFF0FC" w:val="clear"/>
            <w:tcMar>
              <w:bottom w:w="0" w:type="dxa"/>
            </w:tcMar>
            <w:vAlign w:val="bottom"/>
          </w:tcPr>
          <w:p>
            <w:pPr>
              <w:pStyle w:val="TableContents"/>
              <w:spacing w:before="0" w:after="0"/>
              <w:ind w:left="0" w:right="0" w:hanging="0"/>
              <w:rPr>
                <w:color w:val="000000"/>
              </w:rPr>
            </w:pPr>
            <w:r>
              <w:rPr>
                <w:color w:val="000000"/>
              </w:rPr>
              <w:t xml:space="preserve">  </w:t>
            </w:r>
          </w:p>
        </w:tc>
      </w:tr>
      <w:tr>
        <w:trPr/>
        <w:tc>
          <w:tcPr>
            <w:tcW w:w="3038" w:type="dxa"/>
            <w:tcBorders/>
            <w:shd w:fill="auto" w:val="clear"/>
            <w:tcMar>
              <w:bottom w:w="0" w:type="dxa"/>
            </w:tcM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Net carrying amount </w:t>
            </w:r>
          </w:p>
        </w:tc>
        <w:tc>
          <w:tcPr>
            <w:tcW w:w="178" w:type="dxa"/>
            <w:tcBorders/>
            <w:shd w:fill="auto" w:val="clear"/>
            <w:tcMar>
              <w:bottom w:w="0" w:type="dxa"/>
            </w:tcMar>
            <w:vAlign w:val="bottom"/>
          </w:tcPr>
          <w:p>
            <w:pPr>
              <w:pStyle w:val="TableContents"/>
              <w:spacing w:before="0" w:after="0"/>
              <w:ind w:left="0" w:right="0" w:hanging="0"/>
              <w:rPr>
                <w:color w:val="000000"/>
              </w:rPr>
            </w:pPr>
            <w:r>
              <w:rPr>
                <w:color w:val="000000"/>
              </w:rPr>
              <w:t xml:space="preserve">  </w:t>
            </w:r>
          </w:p>
        </w:tc>
        <w:tc>
          <w:tcPr>
            <w:tcW w:w="785" w:type="dxa"/>
            <w:tcBorders/>
            <w:shd w:fill="auto" w:val="clear"/>
            <w:tcMar>
              <w:bottom w:w="0" w:type="dxa"/>
            </w:tcM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2453" w:type="dxa"/>
            <w:tcBorders/>
            <w:shd w:fill="auto" w:val="clear"/>
            <w:tcMar>
              <w:bottom w:w="0"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3,000 </w:t>
            </w:r>
          </w:p>
        </w:tc>
        <w:tc>
          <w:tcPr>
            <w:tcW w:w="179" w:type="dxa"/>
            <w:tcBorders/>
            <w:shd w:fill="auto" w:val="clear"/>
            <w:tcMar>
              <w:bottom w:w="0" w:type="dxa"/>
            </w:tcMar>
            <w:vAlign w:val="bottom"/>
          </w:tcPr>
          <w:p>
            <w:pPr>
              <w:pStyle w:val="TableContents"/>
              <w:spacing w:before="0" w:after="0"/>
              <w:ind w:left="0" w:right="0" w:hanging="0"/>
              <w:rPr>
                <w:color w:val="000000"/>
              </w:rPr>
            </w:pPr>
            <w:r>
              <w:rPr>
                <w:color w:val="000000"/>
              </w:rPr>
              <w:t xml:space="preserve">  </w:t>
            </w:r>
          </w:p>
        </w:tc>
      </w:tr>
    </w:tbl>
    <w:p>
      <w:pPr>
        <w:pStyle w:val="TextBody"/>
        <w:spacing w:before="0" w:after="0"/>
        <w:ind w:left="0" w:right="0" w:hanging="0"/>
        <w:jc w:val="both"/>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sz w:val="20"/>
              </w:rPr>
            </w:pPr>
            <w:r>
              <w:rPr>
                <w:rFonts w:ascii="Times New Roman" w:hAnsi="Times New Roman"/>
                <w:b w:val="false"/>
                <w:i w:val="false"/>
                <w:caps w:val="false"/>
                <w:smallCaps w:val="false"/>
                <w:color w:val="000000"/>
                <w:spacing w:val="0"/>
                <w:sz w:val="20"/>
              </w:rPr>
              <w:t>| F-24</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widowControl/>
        <w:ind w:left="0" w:right="0" w:hanging="0"/>
        <w:rPr>
          <w:rFonts w:ascii="Times New Roman;serif" w:hAnsi="Times New Roman;serif"/>
          <w:b/>
          <w:i/>
          <w:color w:val="000000"/>
          <w:sz w:val="20"/>
          <w:u w:val="single"/>
        </w:rPr>
      </w:pPr>
      <w:r>
        <w:rPr>
          <w:rFonts w:ascii="Times New Roman;serif" w:hAnsi="Times New Roman;serif"/>
          <w:b/>
          <w:i/>
          <w:color w:val="000000"/>
          <w:sz w:val="20"/>
          <w:u w:val="single"/>
        </w:rPr>
      </w:r>
    </w:p>
    <w:p>
      <w:pPr>
        <w:pStyle w:val="TextBody"/>
        <w:widowControl/>
        <w:ind w:left="0" w:right="0" w:hanging="0"/>
        <w:rPr>
          <w:rFonts w:ascii="Times New Roman;serif" w:hAnsi="Times New Roman;serif"/>
          <w:b/>
          <w:i/>
          <w:caps w:val="false"/>
          <w:smallCaps w:val="false"/>
          <w:color w:val="000000"/>
          <w:spacing w:val="0"/>
          <w:sz w:val="20"/>
          <w:u w:val="single"/>
        </w:rPr>
      </w:pPr>
      <w:r>
        <w:rPr>
          <w:rFonts w:ascii="Times New Roman;serif" w:hAnsi="Times New Roman;serif"/>
          <w:b/>
          <w:i/>
          <w:caps w:val="false"/>
          <w:smallCaps w:val="false"/>
          <w:color w:val="000000"/>
          <w:spacing w:val="0"/>
          <w:sz w:val="20"/>
          <w:u w:val="single"/>
        </w:rPr>
        <w:t>Paycheck Protection Program Loan</w:t>
      </w:r>
    </w:p>
    <w:p>
      <w:pPr>
        <w:pStyle w:val="TextBody"/>
        <w:widowControl/>
        <w:ind w:left="0" w:right="0" w:hanging="0"/>
        <w:rPr>
          <w:caps w:val="false"/>
          <w:smallCaps w:val="false"/>
          <w:color w:val="000000"/>
          <w:spacing w:val="0"/>
        </w:rPr>
      </w:pPr>
      <w:r>
        <w:rPr>
          <w:caps w:val="false"/>
          <w:smallCaps w:val="false"/>
          <w:color w:val="000000"/>
          <w:spacing w:val="0"/>
        </w:rPr>
        <w:t> </w:t>
      </w:r>
    </w:p>
    <w:p>
      <w:pPr>
        <w:pStyle w:val="TextBody"/>
        <w:widowControl/>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has a two-year term and bears interest at a rate of 1.0% per annum. Monthly principal and interest payments are deferred for approximately sixteen months after the date of disbursement.</w:t>
      </w:r>
    </w:p>
    <w:p>
      <w:pPr>
        <w:pStyle w:val="TextBody"/>
        <w:widowControl/>
        <w:ind w:left="0" w:right="0" w:hanging="0"/>
        <w:rPr>
          <w:caps w:val="false"/>
          <w:smallCaps w:val="false"/>
          <w:color w:val="000000"/>
          <w:spacing w:val="0"/>
        </w:rPr>
      </w:pPr>
      <w:r>
        <w:rPr>
          <w:caps w:val="false"/>
          <w:smallCaps w:val="false"/>
          <w:color w:val="000000"/>
          <w:spacing w:val="0"/>
        </w:rPr>
        <w:t> </w:t>
      </w:r>
    </w:p>
    <w:p>
      <w:pPr>
        <w:pStyle w:val="TextBody"/>
        <w:widowControl/>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The PPP Loan may be prepaid at any time prior to maturity with no prepayment penalties. The PPP Loan contains events of default and other provisions customary for a loan of this type. The Paycheck Protection Program provides that the Loans may be partially or wholly forgiven if the funds are used for certain qualifying expenses as described in the CARES Act. The Company intends to use the entire PPP Loan amount for qualifying expenses and to apply for forgiveness of the PPP Loan in accordance with the terms of the CARES Act. </w:t>
      </w:r>
    </w:p>
    <w:p>
      <w:pPr>
        <w:pStyle w:val="TextBody"/>
        <w:spacing w:before="0" w:after="0"/>
        <w:ind w:left="0" w:right="0" w:hanging="0"/>
        <w:jc w:val="both"/>
        <w:rPr/>
      </w:pPr>
      <w:r>
        <w:rPr/>
      </w:r>
    </w:p>
    <w:tbl>
      <w:tblPr>
        <w:tblW w:w="8990" w:type="dxa"/>
        <w:jc w:val="left"/>
        <w:tblInd w:w="0" w:type="dxa"/>
        <w:tblCellMar>
          <w:top w:w="0" w:type="dxa"/>
          <w:left w:w="0" w:type="dxa"/>
          <w:bottom w:w="0" w:type="dxa"/>
          <w:right w:w="0" w:type="dxa"/>
        </w:tblCellMar>
      </w:tblPr>
      <w:tblGrid>
        <w:gridCol w:w="5420"/>
        <w:gridCol w:w="60"/>
        <w:gridCol w:w="335"/>
        <w:gridCol w:w="1304"/>
        <w:gridCol w:w="60"/>
        <w:gridCol w:w="23"/>
        <w:gridCol w:w="125"/>
        <w:gridCol w:w="1640"/>
        <w:gridCol w:w="23"/>
      </w:tblGrid>
      <w:tr>
        <w:trPr/>
        <w:tc>
          <w:tcPr>
            <w:tcW w:w="542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283"/>
              <w:ind w:left="0" w:right="0" w:hanging="0"/>
              <w:rPr/>
            </w:pPr>
            <w:r>
              <w:rPr/>
              <w:t> </w:t>
            </w:r>
          </w:p>
        </w:tc>
        <w:tc>
          <w:tcPr>
            <w:tcW w:w="163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2020</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pPr>
            <w:r>
              <w:rPr/>
            </w:r>
          </w:p>
        </w:tc>
        <w:tc>
          <w:tcPr>
            <w:tcW w:w="125" w:type="dxa"/>
            <w:tcBorders/>
            <w:shd w:fill="auto" w:val="clear"/>
            <w:vAlign w:val="center"/>
          </w:tcPr>
          <w:p>
            <w:pPr>
              <w:pStyle w:val="TableContents"/>
              <w:spacing w:before="0" w:after="283"/>
              <w:rPr/>
            </w:pPr>
            <w:r>
              <w:rPr/>
            </w:r>
          </w:p>
        </w:tc>
        <w:tc>
          <w:tcPr>
            <w:tcW w:w="164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December 31, 2019</w:t>
            </w:r>
          </w:p>
        </w:tc>
        <w:tc>
          <w:tcPr>
            <w:tcW w:w="23" w:type="dxa"/>
            <w:tcBorders/>
            <w:shd w:fill="auto" w:val="clear"/>
            <w:vAlign w:val="center"/>
          </w:tcPr>
          <w:p>
            <w:pPr>
              <w:pStyle w:val="TableContents"/>
              <w:spacing w:before="0" w:after="283"/>
              <w:rPr/>
            </w:pPr>
            <w:r>
              <w:rPr/>
            </w:r>
          </w:p>
        </w:tc>
      </w:tr>
      <w:tr>
        <w:trPr/>
        <w:tc>
          <w:tcPr>
            <w:tcW w:w="54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Current portion of the PPP Loan included under short-term debt </w:t>
            </w:r>
          </w:p>
        </w:tc>
        <w:tc>
          <w:tcPr>
            <w:tcW w:w="60"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vAlign w:val="center"/>
          </w:tcPr>
          <w:p>
            <w:pPr>
              <w:pStyle w:val="TableContents"/>
              <w:spacing w:before="0" w:after="283"/>
              <w:ind w:left="0" w:right="0" w:hanging="0"/>
              <w:rPr/>
            </w:pPr>
            <w:r>
              <w:rPr/>
              <w:t> </w:t>
            </w:r>
          </w:p>
        </w:tc>
        <w:tc>
          <w:tcPr>
            <w:tcW w:w="23" w:type="dxa"/>
            <w:tcBorders/>
            <w:shd w:fill="CCEEFF" w:val="clear"/>
            <w:vAlign w:val="center"/>
          </w:tcPr>
          <w:p>
            <w:pPr>
              <w:pStyle w:val="TableContents"/>
              <w:spacing w:before="0" w:after="283"/>
              <w:ind w:left="0" w:right="0" w:hanging="0"/>
              <w:rPr/>
            </w:pPr>
            <w:r>
              <w:rPr/>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640" w:type="dxa"/>
            <w:tcBorders/>
            <w:shd w:fill="CCEEFF" w:val="clear"/>
            <w:vAlign w:val="bottom"/>
          </w:tcPr>
          <w:p>
            <w:pPr>
              <w:pStyle w:val="TableContents"/>
              <w:spacing w:before="0" w:after="283"/>
              <w:ind w:left="0" w:right="0" w:hanging="0"/>
              <w:jc w:val="right"/>
              <w:rPr/>
            </w:pPr>
            <w:r>
              <w:rPr/>
              <w:t>—</w:t>
            </w:r>
          </w:p>
        </w:tc>
        <w:tc>
          <w:tcPr>
            <w:tcW w:w="23" w:type="dxa"/>
            <w:tcBorders/>
            <w:shd w:fill="CCEEFF" w:val="clear"/>
            <w:vAlign w:val="center"/>
          </w:tcPr>
          <w:p>
            <w:pPr>
              <w:pStyle w:val="TableContents"/>
              <w:spacing w:before="0" w:after="283"/>
              <w:rPr/>
            </w:pPr>
            <w:r>
              <w:rPr/>
            </w:r>
          </w:p>
        </w:tc>
      </w:tr>
      <w:tr>
        <w:trPr/>
        <w:tc>
          <w:tcPr>
            <w:tcW w:w="5420"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Long-term portion of the PPP Loan included under long-term debt </w:t>
            </w:r>
          </w:p>
        </w:tc>
        <w:tc>
          <w:tcPr>
            <w:tcW w:w="60"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ind w:left="0" w:right="0" w:hanging="0"/>
              <w:rPr/>
            </w:pPr>
            <w:r>
              <w:rPr/>
              <w:t> </w:t>
            </w:r>
          </w:p>
        </w:tc>
        <w:tc>
          <w:tcPr>
            <w:tcW w:w="130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1,187</w:t>
            </w:r>
          </w:p>
        </w:tc>
        <w:tc>
          <w:tcPr>
            <w:tcW w:w="60" w:type="dxa"/>
            <w:tcBorders/>
            <w:shd w:fill="FFFFFF" w:val="clear"/>
            <w:vAlign w:val="center"/>
          </w:tcPr>
          <w:p>
            <w:pPr>
              <w:pStyle w:val="TableContents"/>
              <w:spacing w:before="0" w:after="283"/>
              <w:ind w:left="0" w:right="0" w:hanging="0"/>
              <w:rPr/>
            </w:pPr>
            <w:r>
              <w:rPr/>
              <w:t> </w:t>
            </w:r>
          </w:p>
        </w:tc>
        <w:tc>
          <w:tcPr>
            <w:tcW w:w="23" w:type="dxa"/>
            <w:tcBorders/>
            <w:shd w:fill="FFFFFF" w:val="clear"/>
            <w:vAlign w:val="center"/>
          </w:tcPr>
          <w:p>
            <w:pPr>
              <w:pStyle w:val="TableContents"/>
              <w:spacing w:before="0" w:after="283"/>
              <w:ind w:left="0" w:right="0" w:hanging="0"/>
              <w:rPr/>
            </w:pPr>
            <w:r>
              <w:rPr/>
            </w:r>
          </w:p>
        </w:tc>
        <w:tc>
          <w:tcPr>
            <w:tcW w:w="125" w:type="dxa"/>
            <w:tcBorders/>
            <w:shd w:fill="FFFFFF" w:val="clear"/>
            <w:vAlign w:val="center"/>
          </w:tcPr>
          <w:p>
            <w:pPr>
              <w:pStyle w:val="TableContents"/>
              <w:spacing w:before="0" w:after="283"/>
              <w:ind w:left="0" w:right="0" w:hanging="0"/>
              <w:rPr/>
            </w:pPr>
            <w:r>
              <w:rPr/>
            </w:r>
          </w:p>
        </w:tc>
        <w:tc>
          <w:tcPr>
            <w:tcW w:w="1640" w:type="dxa"/>
            <w:tcBorders/>
            <w:shd w:fill="FFFFFF" w:val="clear"/>
            <w:vAlign w:val="bottom"/>
          </w:tcPr>
          <w:p>
            <w:pPr>
              <w:pStyle w:val="TableContents"/>
              <w:spacing w:before="0" w:after="283"/>
              <w:ind w:left="0" w:right="0" w:hanging="0"/>
              <w:jc w:val="right"/>
              <w:rPr/>
            </w:pPr>
            <w:r>
              <w:rPr/>
              <w:t>—</w:t>
            </w:r>
          </w:p>
        </w:tc>
        <w:tc>
          <w:tcPr>
            <w:tcW w:w="23" w:type="dxa"/>
            <w:tcBorders/>
            <w:shd w:fill="FFFFFF" w:val="clear"/>
            <w:vAlign w:val="center"/>
          </w:tcPr>
          <w:p>
            <w:pPr>
              <w:pStyle w:val="TableContents"/>
              <w:spacing w:before="0" w:after="283"/>
              <w:rPr/>
            </w:pPr>
            <w:r>
              <w:rPr/>
            </w:r>
          </w:p>
        </w:tc>
      </w:tr>
      <w:tr>
        <w:trPr/>
        <w:tc>
          <w:tcPr>
            <w:tcW w:w="5420"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 xml:space="preserve">Total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1,499</w:t>
            </w:r>
          </w:p>
        </w:tc>
        <w:tc>
          <w:tcPr>
            <w:tcW w:w="60" w:type="dxa"/>
            <w:tcBorders/>
            <w:shd w:fill="CCEEFF" w:val="clear"/>
            <w:vAlign w:val="center"/>
          </w:tcPr>
          <w:p>
            <w:pPr>
              <w:pStyle w:val="TableContents"/>
              <w:spacing w:before="0" w:after="283"/>
              <w:ind w:left="0" w:right="0" w:hanging="0"/>
              <w:rPr/>
            </w:pPr>
            <w:r>
              <w:rPr/>
              <w:t> </w:t>
            </w:r>
          </w:p>
        </w:tc>
        <w:tc>
          <w:tcPr>
            <w:tcW w:w="23" w:type="dxa"/>
            <w:tcBorders/>
            <w:shd w:fill="CCEEFF" w:val="clear"/>
            <w:vAlign w:val="center"/>
          </w:tcPr>
          <w:p>
            <w:pPr>
              <w:pStyle w:val="TableContents"/>
              <w:spacing w:before="0" w:after="283"/>
              <w:ind w:left="0" w:right="0" w:hanging="0"/>
              <w:rPr/>
            </w:pPr>
            <w:r>
              <w:rPr/>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640" w:type="dxa"/>
            <w:tcBorders/>
            <w:shd w:fill="CCEEFF" w:val="clear"/>
            <w:vAlign w:val="bottom"/>
          </w:tcPr>
          <w:p>
            <w:pPr>
              <w:pStyle w:val="TableContents"/>
              <w:spacing w:before="0" w:after="283"/>
              <w:ind w:left="0" w:right="0" w:hanging="0"/>
              <w:jc w:val="right"/>
              <w:rPr/>
            </w:pPr>
            <w:r>
              <w:rPr/>
              <w:t>—</w:t>
            </w:r>
          </w:p>
        </w:tc>
        <w:tc>
          <w:tcPr>
            <w:tcW w:w="23" w:type="dxa"/>
            <w:tcBorders/>
            <w:shd w:fill="CCEEFF" w:val="clear"/>
            <w:vAlign w:val="center"/>
          </w:tcPr>
          <w:p>
            <w:pPr>
              <w:pStyle w:val="TableContents"/>
              <w:spacing w:before="0" w:after="283"/>
              <w:rPr/>
            </w:pPr>
            <w:r>
              <w:rPr/>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10</w:t>
      </w:r>
      <w:r>
        <w:rPr>
          <w:rFonts w:ascii="Times New Roman" w:hAnsi="Times New Roman"/>
          <w:b/>
          <w:sz w:val="20"/>
        </w:rPr>
        <w:t>. Share-Based Payments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Employee Stock Option Plans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Company’s share-based incentive plan offering stock options is primarily through 2007 Equity Incentive Plan (the “2007 Plan”). Under this plan, one new share is issued for each stock option exercised. The plan</w:t>
      </w:r>
      <w:r>
        <w:rPr>
          <w:rFonts w:ascii="times new roman;times" w:hAnsi="times new roman;times"/>
          <w:sz w:val="20"/>
        </w:rPr>
        <w:t> </w:t>
      </w:r>
      <w:r>
        <w:rPr>
          <w:rFonts w:ascii="Times New Roman" w:hAnsi="Times New Roman"/>
          <w:sz w:val="20"/>
        </w:rPr>
        <w:t>is described below.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2007 Plan was restated and approved by the shareholders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 xml:space="preserve">All vesting schedules for options granted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As of </w:t>
      </w:r>
      <w:r>
        <w:rPr>
          <w:rFonts w:ascii="times new roman;times" w:hAnsi="times new roman;times"/>
          <w:sz w:val="20"/>
        </w:rPr>
        <w:t>December 31, 2020</w:t>
      </w:r>
      <w:r>
        <w:rPr>
          <w:rFonts w:ascii="Times New Roman" w:hAnsi="Times New Roman"/>
          <w:sz w:val="20"/>
        </w:rPr>
        <w:t>, the Company had 505,946 options with contractual lives of ten years and 337,500 options with contractual lives of 6 years. </w:t>
      </w:r>
    </w:p>
    <w:p>
      <w:pPr>
        <w:pStyle w:val="TextBody"/>
        <w:widowControl/>
        <w:spacing w:before="0" w:after="0"/>
        <w:ind w:left="0" w:right="0" w:hanging="0"/>
        <w:rPr>
          <w:rFonts w:ascii="Times New Roman" w:hAnsi="Times New Roman"/>
          <w:sz w:val="20"/>
        </w:rPr>
      </w:pPr>
      <w:r>
        <w:rPr>
          <w:rFonts w:ascii="Times New Roman" w:hAnsi="Times New Roman"/>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2020, there were 843,446 options outstanding under the 2007 Plan. As of December 31, 2020, the 2007 Plan had 621,408 authorized unissued options.</w:t>
      </w:r>
    </w:p>
    <w:p>
      <w:pPr>
        <w:pStyle w:val="TextBody"/>
        <w:widowControl/>
        <w:spacing w:before="0" w:after="0"/>
        <w:ind w:left="0" w:right="0" w:hanging="0"/>
        <w:rPr>
          <w:rFonts w:ascii="Times New Roman" w:hAnsi="Times New Roman"/>
          <w:sz w:val="20"/>
        </w:rPr>
      </w:pPr>
      <w:r>
        <w:rPr>
          <w:rFonts w:ascii="Times New Roman" w:hAnsi="Times New Roman"/>
          <w:sz w:val="20"/>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uses judgment in determining the fair value of the share-based payments on the date of grant using an option-pricing model with assumptions regarding a number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pStyle w:val="TextBody"/>
        <w:spacing w:before="0" w:after="0"/>
        <w:ind w:left="144" w:right="144" w:hanging="0"/>
        <w:jc w:val="center"/>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F-25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pPr>
      <w:r>
        <w:rPr/>
        <w:t> </w:t>
      </w:r>
    </w:p>
    <w:p>
      <w:pPr>
        <w:pStyle w:val="TextBody"/>
        <w:widowControl/>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did not grant any options during the year ended December 31, 2019. </w:t>
      </w:r>
      <w:r>
        <w:rPr>
          <w:rFonts w:ascii="Times New Roman;Times;serif" w:hAnsi="Times New Roman;Times;serif"/>
          <w:b w:val="false"/>
          <w:i w:val="false"/>
          <w:caps w:val="false"/>
          <w:smallCaps w:val="false"/>
          <w:color w:val="000000"/>
          <w:spacing w:val="0"/>
          <w:sz w:val="20"/>
        </w:rPr>
        <w:t>In applying the Black-Scholes methodology to the options granted during the year ended December 31, 2020, the Company used the following assumptions: </w:t>
      </w:r>
    </w:p>
    <w:p>
      <w:pPr>
        <w:pStyle w:val="TextBody"/>
        <w:widowControl/>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r>
    </w:p>
    <w:tbl>
      <w:tblPr>
        <w:tblW w:w="3955" w:type="dxa"/>
        <w:jc w:val="left"/>
        <w:tblInd w:w="0" w:type="dxa"/>
        <w:tblCellMar>
          <w:top w:w="0" w:type="dxa"/>
          <w:left w:w="0" w:type="dxa"/>
          <w:bottom w:w="0" w:type="dxa"/>
          <w:right w:w="0" w:type="dxa"/>
        </w:tblCellMar>
      </w:tblPr>
      <w:tblGrid>
        <w:gridCol w:w="3185"/>
        <w:gridCol w:w="770"/>
      </w:tblGrid>
      <w:tr>
        <w:trPr/>
        <w:tc>
          <w:tcPr>
            <w:tcW w:w="3185" w:type="dxa"/>
            <w:tcBorders/>
            <w:shd w:fill="CCEEFF" w:val="clear"/>
            <w:vAlign w:val="center"/>
          </w:tcPr>
          <w:p>
            <w:pPr>
              <w:pStyle w:val="TableContents"/>
              <w:spacing w:before="0" w:after="283"/>
              <w:rPr/>
            </w:pPr>
            <w:r>
              <w:rPr/>
              <w:t>Risk free interest rate, average</w:t>
            </w:r>
          </w:p>
        </w:tc>
        <w:tc>
          <w:tcPr>
            <w:tcW w:w="770" w:type="dxa"/>
            <w:tcBorders/>
            <w:shd w:fill="CCEEFF" w:val="clear"/>
            <w:vAlign w:val="center"/>
          </w:tcPr>
          <w:p>
            <w:pPr>
              <w:pStyle w:val="TableContents"/>
              <w:spacing w:before="0" w:after="283"/>
              <w:rPr/>
            </w:pPr>
            <w:r>
              <w:rPr/>
              <w:t>0.37%</w:t>
            </w:r>
          </w:p>
        </w:tc>
      </w:tr>
      <w:tr>
        <w:trPr/>
        <w:tc>
          <w:tcPr>
            <w:tcW w:w="3185" w:type="dxa"/>
            <w:tcBorders/>
            <w:shd w:fill="auto" w:val="clear"/>
            <w:vAlign w:val="center"/>
          </w:tcPr>
          <w:p>
            <w:pPr>
              <w:pStyle w:val="TableContents"/>
              <w:spacing w:before="0" w:after="283"/>
              <w:rPr/>
            </w:pPr>
            <w:r>
              <w:rPr/>
              <w:t>Expected option life, average</w:t>
            </w:r>
          </w:p>
        </w:tc>
        <w:tc>
          <w:tcPr>
            <w:tcW w:w="770" w:type="dxa"/>
            <w:tcBorders/>
            <w:shd w:fill="auto" w:val="clear"/>
            <w:vAlign w:val="center"/>
          </w:tcPr>
          <w:p>
            <w:pPr>
              <w:pStyle w:val="TableContents"/>
              <w:spacing w:before="0" w:after="283"/>
              <w:rPr/>
            </w:pPr>
            <w:r>
              <w:rPr/>
              <w:t>5 years</w:t>
            </w:r>
          </w:p>
        </w:tc>
      </w:tr>
      <w:tr>
        <w:trPr/>
        <w:tc>
          <w:tcPr>
            <w:tcW w:w="3185" w:type="dxa"/>
            <w:tcBorders/>
            <w:shd w:fill="CCEEFF" w:val="clear"/>
            <w:vAlign w:val="center"/>
          </w:tcPr>
          <w:p>
            <w:pPr>
              <w:pStyle w:val="TableContents"/>
              <w:spacing w:before="0" w:after="283"/>
              <w:rPr/>
            </w:pPr>
            <w:r>
              <w:rPr/>
              <w:t>Expected price volatility, average</w:t>
            </w:r>
          </w:p>
        </w:tc>
        <w:tc>
          <w:tcPr>
            <w:tcW w:w="770" w:type="dxa"/>
            <w:tcBorders/>
            <w:shd w:fill="CCEEFF" w:val="clear"/>
            <w:vAlign w:val="center"/>
          </w:tcPr>
          <w:p>
            <w:pPr>
              <w:pStyle w:val="TableContents"/>
              <w:spacing w:before="0" w:after="283"/>
              <w:rPr/>
            </w:pPr>
            <w:r>
              <w:rPr/>
              <w:t>67.23%</w:t>
            </w:r>
          </w:p>
        </w:tc>
      </w:tr>
      <w:tr>
        <w:trPr/>
        <w:tc>
          <w:tcPr>
            <w:tcW w:w="3185" w:type="dxa"/>
            <w:tcBorders/>
            <w:shd w:fill="auto" w:val="clear"/>
            <w:vAlign w:val="center"/>
          </w:tcPr>
          <w:p>
            <w:pPr>
              <w:pStyle w:val="TableContents"/>
              <w:spacing w:before="0" w:after="283"/>
              <w:rPr/>
            </w:pPr>
            <w:r>
              <w:rPr/>
              <w:t>Expected dividend yield</w:t>
            </w:r>
          </w:p>
        </w:tc>
        <w:tc>
          <w:tcPr>
            <w:tcW w:w="770" w:type="dxa"/>
            <w:tcBorders/>
            <w:shd w:fill="auto" w:val="clear"/>
            <w:vAlign w:val="center"/>
          </w:tcPr>
          <w:p>
            <w:pPr>
              <w:pStyle w:val="TableContents"/>
              <w:spacing w:before="0" w:after="283"/>
              <w:rPr/>
            </w:pPr>
            <w:r>
              <w:rPr/>
              <w:t>0%</w:t>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risk-free interest rate is determined using the U.S. Treasury rate in effect as of the date of the grant, based on the expected life of the stock option. The expected life of the stock option is determined using historical data.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expected price volatility is determined using a weighted average of daily historical volatility of the Company’s stock price over the corresponding expected option life.</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Under guidelines of ASC Topic 718, the Company recognizes the associated compensation cost for only those awards expected to vest on a straight-line basis over the underlying requisite service period.</w:t>
      </w:r>
      <w:r>
        <w:rPr>
          <w:rFonts w:ascii="times new roman;times" w:hAnsi="times new roman;times"/>
          <w:sz w:val="20"/>
        </w:rPr>
        <w:t> </w:t>
      </w:r>
      <w:r>
        <w:rPr>
          <w:rFonts w:ascii="Times New Roman" w:hAnsi="Times New Roman"/>
          <w:sz w:val="20"/>
        </w:rPr>
        <w:t>The Company estimated the forfeiture rates based on its historical experience and expectations about future forfeitures.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did not grant any options during the years ended December 31, 2020 and 2019. </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The following table shows the stock option activity:</w:t>
      </w:r>
    </w:p>
    <w:p>
      <w:pPr>
        <w:pStyle w:val="TextBody"/>
        <w:spacing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2545"/>
        <w:gridCol w:w="90"/>
        <w:gridCol w:w="133"/>
        <w:gridCol w:w="984"/>
        <w:gridCol w:w="102"/>
        <w:gridCol w:w="90"/>
        <w:gridCol w:w="361"/>
        <w:gridCol w:w="1307"/>
        <w:gridCol w:w="90"/>
        <w:gridCol w:w="90"/>
        <w:gridCol w:w="365"/>
        <w:gridCol w:w="2329"/>
        <w:gridCol w:w="90"/>
        <w:gridCol w:w="90"/>
        <w:gridCol w:w="462"/>
        <w:gridCol w:w="964"/>
        <w:gridCol w:w="113"/>
      </w:tblGrid>
      <w:tr>
        <w:trPr/>
        <w:tc>
          <w:tcPr>
            <w:tcW w:w="2545"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111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Number of Shares </w:t>
            </w:r>
          </w:p>
        </w:tc>
        <w:tc>
          <w:tcPr>
            <w:tcW w:w="102"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166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Weighted Average Exercise Price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2694"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Weighted Average Remaining Contractual Term (Years)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1426"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Aggregate Intrinsic Value </w:t>
            </w:r>
          </w:p>
        </w:tc>
        <w:tc>
          <w:tcPr>
            <w:tcW w:w="113" w:type="dxa"/>
            <w:tcBorders/>
            <w:shd w:fill="auto" w:val="clear"/>
            <w:vAlign w:val="center"/>
          </w:tcPr>
          <w:p>
            <w:pPr>
              <w:pStyle w:val="TableContents"/>
              <w:spacing w:before="0" w:after="0"/>
              <w:ind w:left="0" w:right="0" w:hanging="0"/>
              <w:rPr/>
            </w:pPr>
            <w:r>
              <w:rPr/>
              <w:t xml:space="preserve">  </w:t>
            </w:r>
          </w:p>
        </w:tc>
      </w:tr>
      <w:tr>
        <w:trPr/>
        <w:tc>
          <w:tcPr>
            <w:tcW w:w="25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As of December 31, 2018 </w:t>
            </w:r>
          </w:p>
        </w:tc>
        <w:tc>
          <w:tcPr>
            <w:tcW w:w="90"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98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624,256 </w:t>
            </w:r>
          </w:p>
        </w:tc>
        <w:tc>
          <w:tcPr>
            <w:tcW w:w="102"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0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8.87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232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5.28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4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64" w:type="dxa"/>
            <w:tcBorders/>
            <w:shd w:fill="CCEEFF" w:val="clear"/>
            <w:vAlign w:val="center"/>
          </w:tcPr>
          <w:p>
            <w:pPr>
              <w:pStyle w:val="TableContents"/>
              <w:spacing w:before="0" w:after="0"/>
              <w:ind w:left="0" w:right="0" w:hanging="0"/>
              <w:jc w:val="right"/>
              <w:rPr/>
            </w:pPr>
            <w:r>
              <w:rPr/>
              <w:t xml:space="preserve">— </w:t>
            </w:r>
          </w:p>
        </w:tc>
        <w:tc>
          <w:tcPr>
            <w:tcW w:w="113" w:type="dxa"/>
            <w:tcBorders/>
            <w:shd w:fill="CCEEFF" w:val="clear"/>
            <w:vAlign w:val="center"/>
          </w:tcPr>
          <w:p>
            <w:pPr>
              <w:pStyle w:val="TableContents"/>
              <w:spacing w:before="0" w:after="0"/>
              <w:ind w:left="0" w:right="0" w:hanging="0"/>
              <w:rPr/>
            </w:pPr>
            <w:r>
              <w:rPr/>
              <w:t xml:space="preserve">  </w:t>
            </w:r>
          </w:p>
        </w:tc>
      </w:tr>
      <w:tr>
        <w:trPr/>
        <w:tc>
          <w:tcPr>
            <w:tcW w:w="2545"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Granted </w:t>
            </w:r>
          </w:p>
        </w:tc>
        <w:tc>
          <w:tcPr>
            <w:tcW w:w="90"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984" w:type="dxa"/>
            <w:tcBorders/>
            <w:shd w:fill="auto" w:val="clear"/>
            <w:vAlign w:val="center"/>
          </w:tcPr>
          <w:p>
            <w:pPr>
              <w:pStyle w:val="TableContents"/>
              <w:spacing w:before="0" w:after="0"/>
              <w:ind w:left="0" w:right="0" w:hanging="0"/>
              <w:jc w:val="right"/>
              <w:rPr/>
            </w:pPr>
            <w:r>
              <w:rPr/>
              <w:t>—</w:t>
            </w:r>
          </w:p>
        </w:tc>
        <w:tc>
          <w:tcPr>
            <w:tcW w:w="102"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1" w:type="dxa"/>
            <w:tcBorders/>
            <w:shd w:fill="auto" w:val="clear"/>
            <w:vAlign w:val="center"/>
          </w:tcPr>
          <w:p>
            <w:pPr>
              <w:pStyle w:val="TableContents"/>
              <w:spacing w:before="0" w:after="0"/>
              <w:ind w:left="0" w:right="0" w:hanging="0"/>
              <w:rPr/>
            </w:pPr>
            <w:r>
              <w:rPr/>
              <w:t xml:space="preserve">  </w:t>
            </w:r>
          </w:p>
        </w:tc>
        <w:tc>
          <w:tcPr>
            <w:tcW w:w="1307" w:type="dxa"/>
            <w:tcBorders/>
            <w:shd w:fill="auto" w:val="clear"/>
            <w:vAlign w:val="center"/>
          </w:tcPr>
          <w:p>
            <w:pPr>
              <w:pStyle w:val="TableContents"/>
              <w:spacing w:before="0" w:after="0"/>
              <w:ind w:left="0" w:right="0" w:hanging="0"/>
              <w:jc w:val="right"/>
              <w:rPr/>
            </w:pPr>
            <w:r>
              <w:rPr/>
              <w:t>—</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2329" w:type="dxa"/>
            <w:tcBorders/>
            <w:shd w:fill="auto" w:val="clear"/>
            <w:vAlign w:val="center"/>
          </w:tcPr>
          <w:p>
            <w:pPr>
              <w:pStyle w:val="TableContents"/>
              <w:spacing w:before="0" w:after="0"/>
              <w:ind w:left="0" w:right="0" w:hanging="0"/>
              <w:jc w:val="right"/>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462" w:type="dxa"/>
            <w:tcBorders/>
            <w:shd w:fill="auto" w:val="clear"/>
            <w:vAlign w:val="center"/>
          </w:tcPr>
          <w:p>
            <w:pPr>
              <w:pStyle w:val="TableContents"/>
              <w:spacing w:before="0" w:after="0"/>
              <w:ind w:left="0" w:right="0" w:hanging="0"/>
              <w:rPr/>
            </w:pPr>
            <w:r>
              <w:rPr/>
              <w:t xml:space="preserve">  </w:t>
            </w:r>
          </w:p>
        </w:tc>
        <w:tc>
          <w:tcPr>
            <w:tcW w:w="964" w:type="dxa"/>
            <w:tcBorders/>
            <w:shd w:fill="auto" w:val="clear"/>
            <w:vAlign w:val="center"/>
          </w:tcPr>
          <w:p>
            <w:pPr>
              <w:pStyle w:val="TableContents"/>
              <w:spacing w:before="0" w:after="0"/>
              <w:ind w:left="0" w:right="0" w:hanging="0"/>
              <w:jc w:val="right"/>
              <w:rPr/>
            </w:pPr>
            <w:r>
              <w:rPr/>
              <w:t xml:space="preserve">  </w:t>
            </w:r>
          </w:p>
        </w:tc>
        <w:tc>
          <w:tcPr>
            <w:tcW w:w="113" w:type="dxa"/>
            <w:tcBorders/>
            <w:shd w:fill="auto" w:val="clear"/>
            <w:vAlign w:val="center"/>
          </w:tcPr>
          <w:p>
            <w:pPr>
              <w:pStyle w:val="TableContents"/>
              <w:spacing w:before="0" w:after="0"/>
              <w:ind w:left="0" w:right="0" w:hanging="0"/>
              <w:rPr/>
            </w:pPr>
            <w:r>
              <w:rPr/>
              <w:t xml:space="preserve">  </w:t>
            </w:r>
          </w:p>
        </w:tc>
      </w:tr>
      <w:tr>
        <w:trPr/>
        <w:tc>
          <w:tcPr>
            <w:tcW w:w="2545"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Expired and canceled </w:t>
            </w:r>
          </w:p>
        </w:tc>
        <w:tc>
          <w:tcPr>
            <w:tcW w:w="90"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98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(78,786 </w:t>
            </w:r>
          </w:p>
        </w:tc>
        <w:tc>
          <w:tcPr>
            <w:tcW w:w="10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1" w:type="dxa"/>
            <w:tcBorders/>
            <w:shd w:fill="CCEEFF" w:val="clear"/>
            <w:vAlign w:val="center"/>
          </w:tcPr>
          <w:p>
            <w:pPr>
              <w:pStyle w:val="TableContents"/>
              <w:spacing w:before="0" w:after="0"/>
              <w:ind w:left="0" w:right="0" w:hanging="0"/>
              <w:rPr/>
            </w:pPr>
            <w:r>
              <w:rPr/>
              <w:t xml:space="preserve">  </w:t>
            </w:r>
          </w:p>
        </w:tc>
        <w:tc>
          <w:tcPr>
            <w:tcW w:w="130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7.85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2329" w:type="dxa"/>
            <w:tcBorders/>
            <w:shd w:fill="CCEEFF" w:val="clear"/>
            <w:vAlign w:val="center"/>
          </w:tcPr>
          <w:p>
            <w:pPr>
              <w:pStyle w:val="TableContents"/>
              <w:spacing w:before="0" w:after="0"/>
              <w:ind w:left="0" w:right="0" w:hanging="0"/>
              <w:jc w:val="right"/>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462" w:type="dxa"/>
            <w:tcBorders/>
            <w:shd w:fill="CCEEFF" w:val="clear"/>
            <w:vAlign w:val="center"/>
          </w:tcPr>
          <w:p>
            <w:pPr>
              <w:pStyle w:val="TableContents"/>
              <w:spacing w:before="0" w:after="0"/>
              <w:ind w:left="0" w:right="0" w:hanging="0"/>
              <w:rPr/>
            </w:pPr>
            <w:r>
              <w:rPr/>
              <w:t xml:space="preserve">  </w:t>
            </w:r>
          </w:p>
        </w:tc>
        <w:tc>
          <w:tcPr>
            <w:tcW w:w="964" w:type="dxa"/>
            <w:tcBorders/>
            <w:shd w:fill="CCEEFF" w:val="clear"/>
            <w:vAlign w:val="center"/>
          </w:tcPr>
          <w:p>
            <w:pPr>
              <w:pStyle w:val="TableContents"/>
              <w:spacing w:before="0" w:after="0"/>
              <w:ind w:left="0" w:right="0" w:hanging="0"/>
              <w:jc w:val="right"/>
              <w:rPr/>
            </w:pPr>
            <w:r>
              <w:rPr/>
              <w:t xml:space="preserve">  </w:t>
            </w:r>
          </w:p>
        </w:tc>
        <w:tc>
          <w:tcPr>
            <w:tcW w:w="113" w:type="dxa"/>
            <w:tcBorders/>
            <w:shd w:fill="CCEEFF" w:val="clear"/>
            <w:vAlign w:val="center"/>
          </w:tcPr>
          <w:p>
            <w:pPr>
              <w:pStyle w:val="TableContents"/>
              <w:spacing w:before="0" w:after="0"/>
              <w:ind w:left="0" w:right="0" w:hanging="0"/>
              <w:rPr/>
            </w:pPr>
            <w:r>
              <w:rPr/>
              <w:t xml:space="preserve">  </w:t>
            </w:r>
          </w:p>
        </w:tc>
      </w:tr>
      <w:tr>
        <w:trPr/>
        <w:tc>
          <w:tcPr>
            <w:tcW w:w="2545"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Forfeited prior to vesting </w:t>
            </w:r>
          </w:p>
        </w:tc>
        <w:tc>
          <w:tcPr>
            <w:tcW w:w="90"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98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(823 </w:t>
            </w:r>
          </w:p>
        </w:tc>
        <w:tc>
          <w:tcPr>
            <w:tcW w:w="10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1" w:type="dxa"/>
            <w:tcBorders/>
            <w:shd w:fill="auto" w:val="clear"/>
            <w:vAlign w:val="center"/>
          </w:tcPr>
          <w:p>
            <w:pPr>
              <w:pStyle w:val="TableContents"/>
              <w:spacing w:before="0" w:after="0"/>
              <w:ind w:left="0" w:right="0" w:hanging="0"/>
              <w:rPr/>
            </w:pPr>
            <w:r>
              <w:rPr/>
              <w:t xml:space="preserve">  </w:t>
            </w:r>
          </w:p>
        </w:tc>
        <w:tc>
          <w:tcPr>
            <w:tcW w:w="1307"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11.97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2329" w:type="dxa"/>
            <w:tcBorders/>
            <w:shd w:fill="auto" w:val="clear"/>
            <w:vAlign w:val="center"/>
          </w:tcPr>
          <w:p>
            <w:pPr>
              <w:pStyle w:val="TableContents"/>
              <w:spacing w:before="0" w:after="0"/>
              <w:ind w:left="0" w:right="0" w:hanging="0"/>
              <w:jc w:val="right"/>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462" w:type="dxa"/>
            <w:tcBorders/>
            <w:shd w:fill="auto" w:val="clear"/>
            <w:vAlign w:val="center"/>
          </w:tcPr>
          <w:p>
            <w:pPr>
              <w:pStyle w:val="TableContents"/>
              <w:spacing w:before="0" w:after="0"/>
              <w:ind w:left="0" w:right="0" w:hanging="0"/>
              <w:rPr/>
            </w:pPr>
            <w:r>
              <w:rPr/>
              <w:t xml:space="preserve">  </w:t>
            </w:r>
          </w:p>
        </w:tc>
        <w:tc>
          <w:tcPr>
            <w:tcW w:w="964" w:type="dxa"/>
            <w:tcBorders/>
            <w:shd w:fill="auto" w:val="clear"/>
            <w:vAlign w:val="center"/>
          </w:tcPr>
          <w:p>
            <w:pPr>
              <w:pStyle w:val="TableContents"/>
              <w:spacing w:before="0" w:after="0"/>
              <w:ind w:left="0" w:right="0" w:hanging="0"/>
              <w:jc w:val="right"/>
              <w:rPr/>
            </w:pPr>
            <w:r>
              <w:rPr/>
              <w:t xml:space="preserve">  </w:t>
            </w:r>
          </w:p>
        </w:tc>
        <w:tc>
          <w:tcPr>
            <w:tcW w:w="113" w:type="dxa"/>
            <w:tcBorders/>
            <w:shd w:fill="auto" w:val="clear"/>
            <w:vAlign w:val="center"/>
          </w:tcPr>
          <w:p>
            <w:pPr>
              <w:pStyle w:val="TableContents"/>
              <w:spacing w:before="0" w:after="0"/>
              <w:ind w:left="0" w:right="0" w:hanging="0"/>
              <w:rPr/>
            </w:pPr>
            <w:r>
              <w:rPr/>
              <w:t xml:space="preserve">  </w:t>
            </w:r>
          </w:p>
        </w:tc>
      </w:tr>
      <w:tr>
        <w:trPr/>
        <w:tc>
          <w:tcPr>
            <w:tcW w:w="2545"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Exercised </w:t>
            </w:r>
          </w:p>
        </w:tc>
        <w:tc>
          <w:tcPr>
            <w:tcW w:w="90" w:type="dxa"/>
            <w:tcBorders/>
            <w:shd w:fill="CCEEFF" w:val="clear"/>
            <w:vAlign w:val="center"/>
          </w:tcPr>
          <w:p>
            <w:pPr>
              <w:pStyle w:val="TableContents"/>
              <w:spacing w:before="0" w:after="0"/>
              <w:ind w:left="0" w:right="0" w:hanging="0"/>
              <w:rPr/>
            </w:pPr>
            <w:r>
              <w:rPr/>
              <w:t xml:space="preserve">  </w:t>
            </w:r>
          </w:p>
        </w:tc>
        <w:tc>
          <w:tcPr>
            <w:tcW w:w="133"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984"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2"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1"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307"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2329"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462"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964"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 xml:space="preserve">  </w:t>
            </w:r>
          </w:p>
        </w:tc>
        <w:tc>
          <w:tcPr>
            <w:tcW w:w="113" w:type="dxa"/>
            <w:tcBorders/>
            <w:shd w:fill="CCEEFF" w:val="clear"/>
            <w:vAlign w:val="center"/>
          </w:tcPr>
          <w:p>
            <w:pPr>
              <w:pStyle w:val="TableContents"/>
              <w:spacing w:before="0" w:after="0"/>
              <w:ind w:left="0" w:right="0" w:hanging="0"/>
              <w:rPr/>
            </w:pPr>
            <w:r>
              <w:rPr/>
              <w:t xml:space="preserve">  </w:t>
            </w:r>
          </w:p>
        </w:tc>
      </w:tr>
      <w:tr>
        <w:trPr/>
        <w:tc>
          <w:tcPr>
            <w:tcW w:w="254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As of December 31, 2019 </w:t>
            </w:r>
          </w:p>
        </w:tc>
        <w:tc>
          <w:tcPr>
            <w:tcW w:w="90"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98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544,647 </w:t>
            </w:r>
          </w:p>
        </w:tc>
        <w:tc>
          <w:tcPr>
            <w:tcW w:w="102"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07"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9.01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232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4.93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4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64" w:type="dxa"/>
            <w:tcBorders/>
            <w:shd w:fill="auto" w:val="clear"/>
            <w:vAlign w:val="center"/>
          </w:tcPr>
          <w:p>
            <w:pPr>
              <w:pStyle w:val="TableContents"/>
              <w:spacing w:before="0" w:after="0"/>
              <w:ind w:left="0" w:right="0" w:hanging="0"/>
              <w:jc w:val="right"/>
              <w:rPr/>
            </w:pPr>
            <w:r>
              <w:rPr/>
              <w:t>—</w:t>
            </w:r>
          </w:p>
        </w:tc>
        <w:tc>
          <w:tcPr>
            <w:tcW w:w="113" w:type="dxa"/>
            <w:tcBorders/>
            <w:shd w:fill="auto" w:val="clear"/>
            <w:vAlign w:val="center"/>
          </w:tcPr>
          <w:p>
            <w:pPr>
              <w:pStyle w:val="TableContents"/>
              <w:spacing w:before="0" w:after="0"/>
              <w:ind w:left="0" w:right="0" w:hanging="0"/>
              <w:rPr/>
            </w:pPr>
            <w:r>
              <w:rPr/>
              <w:t xml:space="preserve">  </w:t>
            </w:r>
          </w:p>
        </w:tc>
      </w:tr>
      <w:tr>
        <w:trPr/>
        <w:tc>
          <w:tcPr>
            <w:tcW w:w="2545"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Granted </w:t>
            </w:r>
          </w:p>
        </w:tc>
        <w:tc>
          <w:tcPr>
            <w:tcW w:w="90"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98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337,500</w:t>
            </w:r>
          </w:p>
        </w:tc>
        <w:tc>
          <w:tcPr>
            <w:tcW w:w="102"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1" w:type="dxa"/>
            <w:tcBorders/>
            <w:shd w:fill="CCEEFF" w:val="clear"/>
            <w:vAlign w:val="center"/>
          </w:tcPr>
          <w:p>
            <w:pPr>
              <w:pStyle w:val="TableContents"/>
              <w:spacing w:before="0" w:after="0"/>
              <w:ind w:left="0" w:right="0" w:hanging="0"/>
              <w:rPr/>
            </w:pPr>
            <w:r>
              <w:rPr/>
              <w:t xml:space="preserve">  </w:t>
            </w:r>
          </w:p>
        </w:tc>
        <w:tc>
          <w:tcPr>
            <w:tcW w:w="130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2329" w:type="dxa"/>
            <w:tcBorders/>
            <w:shd w:fill="CCEEFF" w:val="clear"/>
            <w:vAlign w:val="center"/>
          </w:tcPr>
          <w:p>
            <w:pPr>
              <w:pStyle w:val="TableContents"/>
              <w:spacing w:before="0" w:after="0"/>
              <w:ind w:left="0" w:right="0" w:hanging="0"/>
              <w:jc w:val="right"/>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462" w:type="dxa"/>
            <w:tcBorders/>
            <w:shd w:fill="CCEEFF" w:val="clear"/>
            <w:vAlign w:val="center"/>
          </w:tcPr>
          <w:p>
            <w:pPr>
              <w:pStyle w:val="TableContents"/>
              <w:spacing w:before="0" w:after="0"/>
              <w:ind w:left="0" w:right="0" w:hanging="0"/>
              <w:rPr/>
            </w:pPr>
            <w:r>
              <w:rPr/>
              <w:t xml:space="preserve">  </w:t>
            </w:r>
          </w:p>
        </w:tc>
        <w:tc>
          <w:tcPr>
            <w:tcW w:w="964" w:type="dxa"/>
            <w:tcBorders/>
            <w:shd w:fill="CCEEFF" w:val="clear"/>
            <w:vAlign w:val="center"/>
          </w:tcPr>
          <w:p>
            <w:pPr>
              <w:pStyle w:val="TableContents"/>
              <w:spacing w:before="0" w:after="0"/>
              <w:ind w:left="0" w:right="0" w:hanging="0"/>
              <w:jc w:val="right"/>
              <w:rPr/>
            </w:pPr>
            <w:r>
              <w:rPr/>
              <w:t xml:space="preserve">  </w:t>
            </w:r>
          </w:p>
        </w:tc>
        <w:tc>
          <w:tcPr>
            <w:tcW w:w="113" w:type="dxa"/>
            <w:tcBorders/>
            <w:shd w:fill="CCEEFF" w:val="clear"/>
            <w:vAlign w:val="center"/>
          </w:tcPr>
          <w:p>
            <w:pPr>
              <w:pStyle w:val="TableContents"/>
              <w:spacing w:before="0" w:after="0"/>
              <w:ind w:left="0" w:right="0" w:hanging="0"/>
              <w:rPr/>
            </w:pPr>
            <w:r>
              <w:rPr/>
              <w:t xml:space="preserve">  </w:t>
            </w:r>
          </w:p>
        </w:tc>
      </w:tr>
      <w:tr>
        <w:trPr/>
        <w:tc>
          <w:tcPr>
            <w:tcW w:w="2545"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Expired and canceled </w:t>
            </w:r>
          </w:p>
        </w:tc>
        <w:tc>
          <w:tcPr>
            <w:tcW w:w="90"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98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(38,701)</w:t>
            </w:r>
          </w:p>
        </w:tc>
        <w:tc>
          <w:tcPr>
            <w:tcW w:w="10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xml:space="preserve">  </w:t>
            </w:r>
          </w:p>
        </w:tc>
        <w:tc>
          <w:tcPr>
            <w:tcW w:w="361" w:type="dxa"/>
            <w:tcBorders/>
            <w:shd w:fill="auto" w:val="clear"/>
            <w:vAlign w:val="center"/>
          </w:tcPr>
          <w:p>
            <w:pPr>
              <w:pStyle w:val="TableContents"/>
              <w:spacing w:before="0" w:after="0"/>
              <w:ind w:left="0" w:right="0" w:hanging="0"/>
              <w:rPr/>
            </w:pPr>
            <w:r>
              <w:rPr/>
              <w:t xml:space="preserve">  </w:t>
            </w:r>
          </w:p>
        </w:tc>
        <w:tc>
          <w:tcPr>
            <w:tcW w:w="1307"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4.81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2329" w:type="dxa"/>
            <w:tcBorders/>
            <w:shd w:fill="auto" w:val="clear"/>
            <w:vAlign w:val="center"/>
          </w:tcPr>
          <w:p>
            <w:pPr>
              <w:pStyle w:val="TableContents"/>
              <w:spacing w:before="0" w:after="0"/>
              <w:ind w:left="0" w:right="0" w:hanging="0"/>
              <w:jc w:val="right"/>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462" w:type="dxa"/>
            <w:tcBorders/>
            <w:shd w:fill="auto" w:val="clear"/>
            <w:vAlign w:val="center"/>
          </w:tcPr>
          <w:p>
            <w:pPr>
              <w:pStyle w:val="TableContents"/>
              <w:spacing w:before="0" w:after="0"/>
              <w:ind w:left="0" w:right="0" w:hanging="0"/>
              <w:rPr/>
            </w:pPr>
            <w:r>
              <w:rPr/>
              <w:t xml:space="preserve">  </w:t>
            </w:r>
          </w:p>
        </w:tc>
        <w:tc>
          <w:tcPr>
            <w:tcW w:w="964" w:type="dxa"/>
            <w:tcBorders/>
            <w:shd w:fill="auto" w:val="clear"/>
            <w:vAlign w:val="center"/>
          </w:tcPr>
          <w:p>
            <w:pPr>
              <w:pStyle w:val="TableContents"/>
              <w:spacing w:before="0" w:after="0"/>
              <w:ind w:left="0" w:right="0" w:hanging="0"/>
              <w:jc w:val="right"/>
              <w:rPr/>
            </w:pPr>
            <w:r>
              <w:rPr/>
              <w:t xml:space="preserve">  </w:t>
            </w:r>
          </w:p>
        </w:tc>
        <w:tc>
          <w:tcPr>
            <w:tcW w:w="113" w:type="dxa"/>
            <w:tcBorders/>
            <w:shd w:fill="auto" w:val="clear"/>
            <w:vAlign w:val="center"/>
          </w:tcPr>
          <w:p>
            <w:pPr>
              <w:pStyle w:val="TableContents"/>
              <w:spacing w:before="0" w:after="0"/>
              <w:ind w:left="0" w:right="0" w:hanging="0"/>
              <w:rPr/>
            </w:pPr>
            <w:r>
              <w:rPr/>
              <w:t xml:space="preserve">  </w:t>
            </w:r>
          </w:p>
        </w:tc>
      </w:tr>
      <w:tr>
        <w:trPr/>
        <w:tc>
          <w:tcPr>
            <w:tcW w:w="2545"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Forfeited prior to vesting </w:t>
            </w:r>
          </w:p>
        </w:tc>
        <w:tc>
          <w:tcPr>
            <w:tcW w:w="90"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984" w:type="dxa"/>
            <w:tcBorders/>
            <w:shd w:fill="CCEEFF" w:val="clear"/>
            <w:vAlign w:val="center"/>
          </w:tcPr>
          <w:p>
            <w:pPr>
              <w:pStyle w:val="TableContents"/>
              <w:spacing w:before="0" w:after="0"/>
              <w:ind w:left="0" w:right="0" w:hanging="0"/>
              <w:jc w:val="right"/>
              <w:rPr/>
            </w:pPr>
            <w:r>
              <w:rPr/>
              <w:t>—</w:t>
            </w:r>
          </w:p>
        </w:tc>
        <w:tc>
          <w:tcPr>
            <w:tcW w:w="102"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ind w:left="0" w:right="0" w:hanging="0"/>
              <w:rPr/>
            </w:pPr>
            <w:r>
              <w:rPr/>
              <w:t xml:space="preserve">  </w:t>
            </w:r>
          </w:p>
        </w:tc>
        <w:tc>
          <w:tcPr>
            <w:tcW w:w="361" w:type="dxa"/>
            <w:tcBorders/>
            <w:shd w:fill="CCEEFF" w:val="clear"/>
            <w:vAlign w:val="center"/>
          </w:tcPr>
          <w:p>
            <w:pPr>
              <w:pStyle w:val="TableContents"/>
              <w:spacing w:before="0" w:after="0"/>
              <w:ind w:left="0" w:right="0" w:hanging="0"/>
              <w:rPr/>
            </w:pPr>
            <w:r>
              <w:rPr/>
              <w:t xml:space="preserve">  </w:t>
            </w:r>
          </w:p>
        </w:tc>
        <w:tc>
          <w:tcPr>
            <w:tcW w:w="1307" w:type="dxa"/>
            <w:tcBorders/>
            <w:shd w:fill="CCEEFF" w:val="clear"/>
            <w:vAlign w:val="center"/>
          </w:tcPr>
          <w:p>
            <w:pPr>
              <w:pStyle w:val="TableContents"/>
              <w:spacing w:before="0" w:after="0"/>
              <w:ind w:left="0" w:right="0" w:hanging="0"/>
              <w:jc w:val="right"/>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2329" w:type="dxa"/>
            <w:tcBorders/>
            <w:shd w:fill="CCEEFF" w:val="clear"/>
            <w:vAlign w:val="center"/>
          </w:tcPr>
          <w:p>
            <w:pPr>
              <w:pStyle w:val="TableContents"/>
              <w:spacing w:before="0" w:after="0"/>
              <w:ind w:left="0" w:right="0" w:hanging="0"/>
              <w:jc w:val="right"/>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462" w:type="dxa"/>
            <w:tcBorders/>
            <w:shd w:fill="CCEEFF" w:val="clear"/>
            <w:vAlign w:val="center"/>
          </w:tcPr>
          <w:p>
            <w:pPr>
              <w:pStyle w:val="TableContents"/>
              <w:spacing w:before="0" w:after="0"/>
              <w:ind w:left="0" w:right="0" w:hanging="0"/>
              <w:rPr/>
            </w:pPr>
            <w:r>
              <w:rPr/>
              <w:t xml:space="preserve">  </w:t>
            </w:r>
          </w:p>
        </w:tc>
        <w:tc>
          <w:tcPr>
            <w:tcW w:w="964" w:type="dxa"/>
            <w:tcBorders/>
            <w:shd w:fill="CCEEFF" w:val="clear"/>
            <w:vAlign w:val="center"/>
          </w:tcPr>
          <w:p>
            <w:pPr>
              <w:pStyle w:val="TableContents"/>
              <w:spacing w:before="0" w:after="0"/>
              <w:ind w:left="0" w:right="0" w:hanging="0"/>
              <w:jc w:val="right"/>
              <w:rPr/>
            </w:pPr>
            <w:r>
              <w:rPr/>
              <w:t xml:space="preserve">  </w:t>
            </w:r>
          </w:p>
        </w:tc>
        <w:tc>
          <w:tcPr>
            <w:tcW w:w="113" w:type="dxa"/>
            <w:tcBorders/>
            <w:shd w:fill="CCEEFF" w:val="clear"/>
            <w:vAlign w:val="center"/>
          </w:tcPr>
          <w:p>
            <w:pPr>
              <w:pStyle w:val="TableContents"/>
              <w:spacing w:before="0" w:after="0"/>
              <w:ind w:left="0" w:right="0" w:hanging="0"/>
              <w:rPr/>
            </w:pPr>
            <w:r>
              <w:rPr/>
              <w:t xml:space="preserve">  </w:t>
            </w:r>
          </w:p>
        </w:tc>
      </w:tr>
      <w:tr>
        <w:trPr/>
        <w:tc>
          <w:tcPr>
            <w:tcW w:w="2545"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Exercised </w:t>
            </w:r>
          </w:p>
        </w:tc>
        <w:tc>
          <w:tcPr>
            <w:tcW w:w="90" w:type="dxa"/>
            <w:tcBorders/>
            <w:shd w:fill="auto" w:val="clear"/>
            <w:vAlign w:val="center"/>
          </w:tcPr>
          <w:p>
            <w:pPr>
              <w:pStyle w:val="TableContents"/>
              <w:spacing w:before="0" w:after="0"/>
              <w:ind w:left="0" w:right="0" w:hanging="0"/>
              <w:rPr/>
            </w:pPr>
            <w:r>
              <w:rPr/>
              <w:t xml:space="preserve">  </w:t>
            </w:r>
          </w:p>
        </w:tc>
        <w:tc>
          <w:tcPr>
            <w:tcW w:w="133"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84"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2"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1"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307"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2329"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46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64"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 xml:space="preserve">  </w:t>
            </w:r>
          </w:p>
        </w:tc>
        <w:tc>
          <w:tcPr>
            <w:tcW w:w="113" w:type="dxa"/>
            <w:tcBorders/>
            <w:shd w:fill="auto" w:val="clear"/>
            <w:vAlign w:val="center"/>
          </w:tcPr>
          <w:p>
            <w:pPr>
              <w:pStyle w:val="TableContents"/>
              <w:spacing w:before="0" w:after="0"/>
              <w:ind w:left="0" w:right="0" w:hanging="0"/>
              <w:rPr/>
            </w:pPr>
            <w:r>
              <w:rPr/>
              <w:t xml:space="preserve">  </w:t>
            </w:r>
          </w:p>
        </w:tc>
      </w:tr>
      <w:tr>
        <w:trPr/>
        <w:tc>
          <w:tcPr>
            <w:tcW w:w="25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As of December 31, 2020 </w:t>
            </w:r>
          </w:p>
        </w:tc>
        <w:tc>
          <w:tcPr>
            <w:tcW w:w="90" w:type="dxa"/>
            <w:tcBorders/>
            <w:shd w:fill="CCEEFF" w:val="clear"/>
            <w:vAlign w:val="center"/>
          </w:tcPr>
          <w:p>
            <w:pPr>
              <w:pStyle w:val="TableContents"/>
              <w:spacing w:before="0" w:after="0"/>
              <w:ind w:left="0" w:right="0" w:hanging="0"/>
              <w:rPr/>
            </w:pPr>
            <w:r>
              <w:rPr/>
              <w:t xml:space="preserve">  </w:t>
            </w:r>
          </w:p>
        </w:tc>
        <w:tc>
          <w:tcPr>
            <w:tcW w:w="133" w:type="dxa"/>
            <w:tcBorders>
              <w:bottom w:val="doub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9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843,446 </w:t>
            </w:r>
          </w:p>
        </w:tc>
        <w:tc>
          <w:tcPr>
            <w:tcW w:w="102"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6.60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5" w:type="dxa"/>
            <w:tcBorders>
              <w:bottom w:val="doub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232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4.91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46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64"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13" w:type="dxa"/>
            <w:tcBorders/>
            <w:shd w:fill="CCEEFF" w:val="clear"/>
            <w:vAlign w:val="center"/>
          </w:tcPr>
          <w:p>
            <w:pPr>
              <w:pStyle w:val="TableContents"/>
              <w:spacing w:before="0" w:after="0"/>
              <w:ind w:left="0" w:right="0" w:hanging="0"/>
              <w:rPr/>
            </w:pPr>
            <w:r>
              <w:rPr/>
              <w:t xml:space="preserve">  </w:t>
            </w:r>
          </w:p>
        </w:tc>
      </w:tr>
      <w:tr>
        <w:trPr/>
        <w:tc>
          <w:tcPr>
            <w:tcW w:w="2545" w:type="dxa"/>
            <w:tcBorders/>
            <w:shd w:fill="auto" w:val="clear"/>
            <w:vAlign w:val="center"/>
          </w:tcPr>
          <w:p>
            <w:pPr>
              <w:pStyle w:val="TableContents"/>
              <w:spacing w:before="0" w:after="0"/>
              <w:ind w:left="180" w:right="0" w:hanging="180"/>
              <w:rPr>
                <w:rFonts w:ascii="Times New Roman" w:hAnsi="Times New Roman"/>
                <w:sz w:val="20"/>
              </w:rPr>
            </w:pPr>
            <w:r>
              <w:rPr>
                <w:rFonts w:ascii="Times New Roman" w:hAnsi="Times New Roman"/>
                <w:sz w:val="20"/>
              </w:rPr>
              <w:t xml:space="preserve">Vested and Expected to Vest at December 31, 2019 </w:t>
            </w:r>
          </w:p>
        </w:tc>
        <w:tc>
          <w:tcPr>
            <w:tcW w:w="90"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98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544,647 </w:t>
            </w:r>
          </w:p>
        </w:tc>
        <w:tc>
          <w:tcPr>
            <w:tcW w:w="102"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07"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9.01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232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4.93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4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64" w:type="dxa"/>
            <w:tcBorders/>
            <w:shd w:fill="auto" w:val="clear"/>
            <w:vAlign w:val="center"/>
          </w:tcPr>
          <w:p>
            <w:pPr>
              <w:pStyle w:val="TableContents"/>
              <w:spacing w:before="0" w:after="0"/>
              <w:ind w:left="0" w:right="0" w:hanging="0"/>
              <w:jc w:val="right"/>
              <w:rPr/>
            </w:pPr>
            <w:r>
              <w:rPr/>
              <w:t>—</w:t>
            </w:r>
          </w:p>
        </w:tc>
        <w:tc>
          <w:tcPr>
            <w:tcW w:w="113" w:type="dxa"/>
            <w:tcBorders/>
            <w:shd w:fill="auto" w:val="clear"/>
            <w:vAlign w:val="center"/>
          </w:tcPr>
          <w:p>
            <w:pPr>
              <w:pStyle w:val="TableContents"/>
              <w:spacing w:before="0" w:after="0"/>
              <w:ind w:left="0" w:right="0" w:hanging="0"/>
              <w:rPr/>
            </w:pPr>
            <w:r>
              <w:rPr/>
              <w:t xml:space="preserve">  </w:t>
            </w:r>
          </w:p>
        </w:tc>
      </w:tr>
      <w:tr>
        <w:trPr/>
        <w:tc>
          <w:tcPr>
            <w:tcW w:w="25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Vested at December 31, 2019 </w:t>
            </w:r>
          </w:p>
        </w:tc>
        <w:tc>
          <w:tcPr>
            <w:tcW w:w="90"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98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527,181 </w:t>
            </w:r>
          </w:p>
        </w:tc>
        <w:tc>
          <w:tcPr>
            <w:tcW w:w="102"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0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8.97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232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4.85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4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64" w:type="dxa"/>
            <w:tcBorders/>
            <w:shd w:fill="CCEEFF" w:val="clear"/>
            <w:vAlign w:val="center"/>
          </w:tcPr>
          <w:p>
            <w:pPr>
              <w:pStyle w:val="TableContents"/>
              <w:spacing w:before="0" w:after="0"/>
              <w:ind w:left="0" w:right="0" w:hanging="0"/>
              <w:jc w:val="right"/>
              <w:rPr/>
            </w:pPr>
            <w:r>
              <w:rPr/>
              <w:t>—</w:t>
            </w:r>
          </w:p>
        </w:tc>
        <w:tc>
          <w:tcPr>
            <w:tcW w:w="113" w:type="dxa"/>
            <w:tcBorders/>
            <w:shd w:fill="CCEEFF" w:val="clear"/>
            <w:vAlign w:val="center"/>
          </w:tcPr>
          <w:p>
            <w:pPr>
              <w:pStyle w:val="TableContents"/>
              <w:spacing w:before="0" w:after="0"/>
              <w:ind w:left="0" w:right="0" w:hanging="0"/>
              <w:rPr/>
            </w:pPr>
            <w:r>
              <w:rPr/>
              <w:t xml:space="preserve">  </w:t>
            </w:r>
          </w:p>
        </w:tc>
      </w:tr>
      <w:tr>
        <w:trPr/>
        <w:tc>
          <w:tcPr>
            <w:tcW w:w="2545" w:type="dxa"/>
            <w:tcBorders/>
            <w:shd w:fill="auto" w:val="clear"/>
            <w:vAlign w:val="center"/>
          </w:tcPr>
          <w:p>
            <w:pPr>
              <w:pStyle w:val="TableContents"/>
              <w:spacing w:before="0" w:after="0"/>
              <w:ind w:left="180" w:right="0" w:hanging="180"/>
              <w:rPr>
                <w:rFonts w:ascii="Times New Roman" w:hAnsi="Times New Roman"/>
                <w:sz w:val="20"/>
              </w:rPr>
            </w:pPr>
            <w:r>
              <w:rPr>
                <w:rFonts w:ascii="Times New Roman" w:hAnsi="Times New Roman"/>
                <w:sz w:val="20"/>
              </w:rPr>
              <w:t xml:space="preserve">Vested and Expected to Vest at December 31, 2020 </w:t>
            </w:r>
          </w:p>
        </w:tc>
        <w:tc>
          <w:tcPr>
            <w:tcW w:w="90" w:type="dxa"/>
            <w:tcBorders/>
            <w:shd w:fill="auto" w:val="clear"/>
            <w:vAlign w:val="cente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0"/>
              <w:ind w:left="0" w:right="0" w:hanging="0"/>
              <w:rPr/>
            </w:pPr>
            <w:r>
              <w:rPr/>
              <w:t xml:space="preserve">  </w:t>
            </w:r>
          </w:p>
        </w:tc>
        <w:tc>
          <w:tcPr>
            <w:tcW w:w="98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843,446 </w:t>
            </w:r>
          </w:p>
        </w:tc>
        <w:tc>
          <w:tcPr>
            <w:tcW w:w="102"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07"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6.60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232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4.91 </w:t>
            </w:r>
          </w:p>
        </w:tc>
        <w:tc>
          <w:tcPr>
            <w:tcW w:w="90" w:type="dxa"/>
            <w:tcBorders/>
            <w:shd w:fill="auto" w:val="clear"/>
            <w:vAlign w:val="center"/>
          </w:tcPr>
          <w:p>
            <w:pPr>
              <w:pStyle w:val="TableContents"/>
              <w:spacing w:before="0" w:after="0"/>
              <w:ind w:left="0" w:right="0" w:hanging="0"/>
              <w:rPr/>
            </w:pPr>
            <w:r>
              <w:rPr/>
              <w:t xml:space="preserve">  </w:t>
            </w:r>
          </w:p>
        </w:tc>
        <w:tc>
          <w:tcPr>
            <w:tcW w:w="90" w:type="dxa"/>
            <w:tcBorders/>
            <w:shd w:fill="auto" w:val="clear"/>
            <w:vAlign w:val="center"/>
          </w:tcPr>
          <w:p>
            <w:pPr>
              <w:pStyle w:val="TableContents"/>
              <w:spacing w:before="0" w:after="0"/>
              <w:ind w:left="0" w:right="0" w:hanging="0"/>
              <w:rPr/>
            </w:pPr>
            <w:r>
              <w:rPr/>
              <w:t xml:space="preserve">  </w:t>
            </w:r>
          </w:p>
        </w:tc>
        <w:tc>
          <w:tcPr>
            <w:tcW w:w="4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64" w:type="dxa"/>
            <w:tcBorders/>
            <w:shd w:fill="auto" w:val="clear"/>
            <w:vAlign w:val="center"/>
          </w:tcPr>
          <w:p>
            <w:pPr>
              <w:pStyle w:val="TableContents"/>
              <w:spacing w:before="0" w:after="0"/>
              <w:ind w:left="0" w:right="0" w:hanging="0"/>
              <w:jc w:val="right"/>
              <w:rPr/>
            </w:pPr>
            <w:r>
              <w:rPr/>
              <w:t>—</w:t>
            </w:r>
          </w:p>
        </w:tc>
        <w:tc>
          <w:tcPr>
            <w:tcW w:w="113" w:type="dxa"/>
            <w:tcBorders/>
            <w:shd w:fill="auto" w:val="clear"/>
            <w:vAlign w:val="center"/>
          </w:tcPr>
          <w:p>
            <w:pPr>
              <w:pStyle w:val="TableContents"/>
              <w:spacing w:before="0" w:after="0"/>
              <w:ind w:left="0" w:right="0" w:hanging="0"/>
              <w:rPr/>
            </w:pPr>
            <w:r>
              <w:rPr/>
              <w:t xml:space="preserve">  </w:t>
            </w:r>
          </w:p>
        </w:tc>
      </w:tr>
      <w:tr>
        <w:trPr/>
        <w:tc>
          <w:tcPr>
            <w:tcW w:w="25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Vested at December 31, 2020 </w:t>
            </w:r>
          </w:p>
        </w:tc>
        <w:tc>
          <w:tcPr>
            <w:tcW w:w="90" w:type="dxa"/>
            <w:tcBorders/>
            <w:shd w:fill="CCEEFF" w:val="clear"/>
            <w:vAlign w:val="center"/>
          </w:tcPr>
          <w:p>
            <w:pPr>
              <w:pStyle w:val="TableContents"/>
              <w:spacing w:before="0" w:after="0"/>
              <w:ind w:left="0" w:right="0" w:hanging="0"/>
              <w:rPr/>
            </w:pPr>
            <w:r>
              <w:rPr/>
              <w:t xml:space="preserve">  </w:t>
            </w:r>
          </w:p>
        </w:tc>
        <w:tc>
          <w:tcPr>
            <w:tcW w:w="133" w:type="dxa"/>
            <w:tcBorders/>
            <w:shd w:fill="CCEEFF" w:val="clear"/>
            <w:vAlign w:val="center"/>
          </w:tcPr>
          <w:p>
            <w:pPr>
              <w:pStyle w:val="TableContents"/>
              <w:spacing w:before="0" w:after="0"/>
              <w:ind w:left="0" w:right="0" w:hanging="0"/>
              <w:rPr/>
            </w:pPr>
            <w:r>
              <w:rPr/>
              <w:t xml:space="preserve">  </w:t>
            </w:r>
          </w:p>
        </w:tc>
        <w:tc>
          <w:tcPr>
            <w:tcW w:w="98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505,946 </w:t>
            </w:r>
          </w:p>
        </w:tc>
        <w:tc>
          <w:tcPr>
            <w:tcW w:w="102"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0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9.33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232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4.21 </w:t>
            </w:r>
          </w:p>
        </w:tc>
        <w:tc>
          <w:tcPr>
            <w:tcW w:w="90" w:type="dxa"/>
            <w:tcBorders/>
            <w:shd w:fill="CCEEFF" w:val="clear"/>
            <w:vAlign w:val="center"/>
          </w:tcPr>
          <w:p>
            <w:pPr>
              <w:pStyle w:val="TableContents"/>
              <w:spacing w:before="0" w:after="0"/>
              <w:ind w:left="0" w:right="0" w:hanging="0"/>
              <w:rPr/>
            </w:pPr>
            <w:r>
              <w:rPr/>
              <w:t xml:space="preserve">  </w:t>
            </w:r>
          </w:p>
        </w:tc>
        <w:tc>
          <w:tcPr>
            <w:tcW w:w="90" w:type="dxa"/>
            <w:tcBorders/>
            <w:shd w:fill="CCEEFF" w:val="clear"/>
            <w:vAlign w:val="center"/>
          </w:tcPr>
          <w:p>
            <w:pPr>
              <w:pStyle w:val="TableContents"/>
              <w:spacing w:before="0" w:after="0"/>
              <w:ind w:left="0" w:right="0" w:hanging="0"/>
              <w:rPr/>
            </w:pPr>
            <w:r>
              <w:rPr/>
              <w:t xml:space="preserve">  </w:t>
            </w:r>
          </w:p>
        </w:tc>
        <w:tc>
          <w:tcPr>
            <w:tcW w:w="4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64" w:type="dxa"/>
            <w:tcBorders/>
            <w:shd w:fill="CCEEFF" w:val="clear"/>
            <w:vAlign w:val="center"/>
          </w:tcPr>
          <w:p>
            <w:pPr>
              <w:pStyle w:val="TableContents"/>
              <w:spacing w:before="0" w:after="0"/>
              <w:ind w:left="0" w:right="0" w:hanging="0"/>
              <w:jc w:val="right"/>
              <w:rPr/>
            </w:pPr>
            <w:r>
              <w:rPr/>
              <w:t>—</w:t>
            </w:r>
          </w:p>
        </w:tc>
        <w:tc>
          <w:tcPr>
            <w:tcW w:w="113"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F-26 |</w:t>
            </w:r>
          </w:p>
        </w:tc>
      </w:tr>
    </w:tbl>
    <w:p>
      <w:pPr>
        <w:pStyle w:val="HorizontalLine"/>
        <w:spacing w:before="0" w:after="0"/>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total pre-tax compensation cost related to stock options recognized during the years ended December 31, 2020 and 2019 was $58 and $208, respectively. Tax benefit from compensation cost related to stock options during the years ended December 31, 2020 and 2019 was $0. As of December 31, 2020, the total compensation cost related to stock options not yet recognized and before the effect of any forfeitures was $457, which is expected to be recognized over approximately the next </w:t>
      </w:r>
      <w:r>
        <w:rPr>
          <w:rFonts w:ascii="Times New Roman" w:hAnsi="Times New Roman"/>
          <w:sz w:val="20"/>
        </w:rPr>
        <w:t>3.72</w:t>
      </w:r>
      <w:r>
        <w:rPr>
          <w:rFonts w:ascii="Times New Roman" w:hAnsi="Times New Roman"/>
          <w:sz w:val="20"/>
        </w:rPr>
        <w:t xml:space="preserve"> years on a straight-line basis.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Employee Stock Purchase Plan</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 xml:space="preserve">During the years ended </w:t>
      </w:r>
      <w:r>
        <w:rPr>
          <w:rFonts w:ascii="times new roman;times" w:hAnsi="times new roman;times"/>
          <w:sz w:val="20"/>
        </w:rPr>
        <w:t xml:space="preserve">December 31, 2020 </w:t>
      </w:r>
      <w:r>
        <w:rPr>
          <w:rFonts w:ascii="Times New Roman" w:hAnsi="Times New Roman"/>
          <w:sz w:val="20"/>
        </w:rPr>
        <w:t>and 2019, the Company issued shares to employees under the Company’s 2016 Employee Stock Purchase Plan (the “ESPP”). The ESPP was approved by the Company’s shareholders on December 12, 2016. As of December 31, 2020,</w:t>
      </w:r>
      <w:r>
        <w:rPr>
          <w:rFonts w:ascii="times new roman;times" w:hAnsi="times new roman;times"/>
          <w:sz w:val="20"/>
        </w:rPr>
        <w:t xml:space="preserve"> </w:t>
      </w:r>
      <w:r>
        <w:rPr>
          <w:rFonts w:ascii="Times New Roman" w:hAnsi="Times New Roman"/>
          <w:sz w:val="20"/>
        </w:rPr>
        <w:t xml:space="preserve">and </w:t>
      </w:r>
      <w:r>
        <w:rPr>
          <w:rFonts w:ascii="times new roman;times" w:hAnsi="times new roman;times"/>
          <w:sz w:val="20"/>
        </w:rPr>
        <w:t>December 31, 2019</w:t>
      </w:r>
      <w:r>
        <w:rPr>
          <w:rFonts w:ascii="Times New Roman" w:hAnsi="Times New Roman"/>
          <w:sz w:val="20"/>
        </w:rPr>
        <w:t xml:space="preserve">, </w:t>
      </w:r>
      <w:r>
        <w:rPr>
          <w:rFonts w:ascii="times new roman;times" w:hAnsi="times new roman;times"/>
          <w:sz w:val="20"/>
        </w:rPr>
        <w:t xml:space="preserve">413,868 </w:t>
      </w:r>
      <w:r>
        <w:rPr>
          <w:rFonts w:ascii="Times New Roman" w:hAnsi="Times New Roman"/>
          <w:sz w:val="20"/>
        </w:rPr>
        <w:t>and 422,866, respectively</w:t>
      </w:r>
      <w:r>
        <w:rPr>
          <w:rFonts w:ascii="times new roman;times" w:hAnsi="times new roman;times"/>
          <w:sz w:val="20"/>
        </w:rPr>
        <w:t> </w:t>
      </w:r>
      <w:r>
        <w:rPr>
          <w:rFonts w:ascii="Times New Roman" w:hAnsi="Times New Roman"/>
          <w:sz w:val="20"/>
        </w:rPr>
        <w:t>of the originally approved 500,000 shares were available for offerings under the ESPP. Offering periods under the ESPP commence on each Jan 1 and July 1 and</w:t>
      </w:r>
      <w:r>
        <w:rPr>
          <w:rFonts w:ascii="times new roman;times" w:hAnsi="times new roman;times"/>
          <w:sz w:val="20"/>
        </w:rPr>
        <w:t xml:space="preserve"> </w:t>
      </w:r>
      <w:r>
        <w:rPr>
          <w:rFonts w:ascii="Times New Roman" w:hAnsi="Times New Roman"/>
          <w:sz w:val="20"/>
        </w:rPr>
        <w:t>continue for a duration of six months. The ESPP is available to all employees who do not own, or are deemed to own, shares of stock making up an excess of 5% of the combined voting power of the Company, its parent or subsidiary.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Shares purchased and compensation expense associated with Employee Stock Purchase Plans were as follows:</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811"/>
        <w:gridCol w:w="201"/>
        <w:gridCol w:w="285"/>
        <w:gridCol w:w="889"/>
        <w:gridCol w:w="201"/>
        <w:gridCol w:w="201"/>
        <w:gridCol w:w="285"/>
        <w:gridCol w:w="1064"/>
        <w:gridCol w:w="227"/>
      </w:tblGrid>
      <w:tr>
        <w:trPr/>
        <w:tc>
          <w:tcPr>
            <w:tcW w:w="4811" w:type="dxa"/>
            <w:tcBorders/>
            <w:shd w:fill="auto" w:val="clear"/>
            <w:vAlign w:val="cente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0"/>
              <w:ind w:left="0" w:right="0" w:hanging="0"/>
              <w:rPr/>
            </w:pPr>
            <w:r>
              <w:rPr/>
              <w:t xml:space="preserve">  </w:t>
            </w:r>
          </w:p>
        </w:tc>
        <w:tc>
          <w:tcPr>
            <w:tcW w:w="1174"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201" w:type="dxa"/>
            <w:tcBorders/>
            <w:shd w:fill="auto" w:val="clear"/>
            <w:vAlign w:val="cente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0"/>
              <w:ind w:left="0" w:right="0" w:hanging="0"/>
              <w:rPr/>
            </w:pPr>
            <w:r>
              <w:rPr/>
              <w:t xml:space="preserve">  </w:t>
            </w:r>
          </w:p>
        </w:tc>
        <w:tc>
          <w:tcPr>
            <w:tcW w:w="134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227" w:type="dxa"/>
            <w:tcBorders/>
            <w:shd w:fill="auto" w:val="clear"/>
            <w:vAlign w:val="center"/>
          </w:tcPr>
          <w:p>
            <w:pPr>
              <w:pStyle w:val="TableContents"/>
              <w:spacing w:before="0" w:after="0"/>
              <w:ind w:left="0" w:right="0" w:hanging="0"/>
              <w:rPr/>
            </w:pPr>
            <w:r>
              <w:rPr/>
              <w:t xml:space="preserve">  </w:t>
            </w:r>
          </w:p>
        </w:tc>
      </w:tr>
      <w:tr>
        <w:trPr/>
        <w:tc>
          <w:tcPr>
            <w:tcW w:w="481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Shares purchased under ESPP plan </w:t>
            </w:r>
          </w:p>
        </w:tc>
        <w:tc>
          <w:tcPr>
            <w:tcW w:w="201" w:type="dxa"/>
            <w:tcBorders/>
            <w:shd w:fill="CCEEFF" w:val="clear"/>
            <w:vAlign w:val="center"/>
          </w:tcPr>
          <w:p>
            <w:pPr>
              <w:pStyle w:val="TableContents"/>
              <w:spacing w:before="0" w:after="0"/>
              <w:ind w:left="0" w:right="0" w:hanging="0"/>
              <w:rPr/>
            </w:pPr>
            <w:r>
              <w:rPr/>
              <w:t xml:space="preserve">  </w:t>
            </w:r>
          </w:p>
        </w:tc>
        <w:tc>
          <w:tcPr>
            <w:tcW w:w="285" w:type="dxa"/>
            <w:tcBorders/>
            <w:shd w:fill="CCEEFF" w:val="clear"/>
            <w:vAlign w:val="center"/>
          </w:tcPr>
          <w:p>
            <w:pPr>
              <w:pStyle w:val="TableContents"/>
              <w:spacing w:before="0" w:after="0"/>
              <w:ind w:left="0" w:right="0" w:hanging="0"/>
              <w:rPr/>
            </w:pPr>
            <w:r>
              <w:rPr/>
              <w:t xml:space="preserve">  </w:t>
            </w:r>
          </w:p>
        </w:tc>
        <w:tc>
          <w:tcPr>
            <w:tcW w:w="88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8,998 </w:t>
            </w:r>
          </w:p>
        </w:tc>
        <w:tc>
          <w:tcPr>
            <w:tcW w:w="201" w:type="dxa"/>
            <w:tcBorders/>
            <w:shd w:fill="CCEEFF" w:val="clear"/>
            <w:vAlign w:val="center"/>
          </w:tcPr>
          <w:p>
            <w:pPr>
              <w:pStyle w:val="TableContents"/>
              <w:spacing w:before="0" w:after="0"/>
              <w:ind w:left="0" w:right="0" w:hanging="0"/>
              <w:rPr/>
            </w:pPr>
            <w:r>
              <w:rPr/>
              <w:t xml:space="preserve">  </w:t>
            </w:r>
          </w:p>
        </w:tc>
        <w:tc>
          <w:tcPr>
            <w:tcW w:w="201" w:type="dxa"/>
            <w:tcBorders/>
            <w:shd w:fill="CCEEFF" w:val="clear"/>
            <w:vAlign w:val="center"/>
          </w:tcPr>
          <w:p>
            <w:pPr>
              <w:pStyle w:val="TableContents"/>
              <w:spacing w:before="0" w:after="0"/>
              <w:ind w:left="0" w:right="0" w:hanging="0"/>
              <w:rPr/>
            </w:pPr>
            <w:r>
              <w:rPr/>
              <w:t xml:space="preserve">  </w:t>
            </w:r>
          </w:p>
        </w:tc>
        <w:tc>
          <w:tcPr>
            <w:tcW w:w="285" w:type="dxa"/>
            <w:tcBorders/>
            <w:shd w:fill="CCEEFF" w:val="clear"/>
            <w:vAlign w:val="center"/>
          </w:tcPr>
          <w:p>
            <w:pPr>
              <w:pStyle w:val="TableContents"/>
              <w:spacing w:before="0" w:after="0"/>
              <w:ind w:left="0" w:right="0" w:hanging="0"/>
              <w:rPr/>
            </w:pPr>
            <w:r>
              <w:rPr/>
              <w:t xml:space="preserve">  </w:t>
            </w:r>
          </w:p>
        </w:tc>
        <w:tc>
          <w:tcPr>
            <w:tcW w:w="106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20,128 </w:t>
            </w:r>
          </w:p>
        </w:tc>
        <w:tc>
          <w:tcPr>
            <w:tcW w:w="227" w:type="dxa"/>
            <w:tcBorders/>
            <w:shd w:fill="CCEEFF" w:val="clear"/>
            <w:vAlign w:val="center"/>
          </w:tcPr>
          <w:p>
            <w:pPr>
              <w:pStyle w:val="TableContents"/>
              <w:spacing w:before="0" w:after="0"/>
              <w:ind w:left="0" w:right="0" w:hanging="0"/>
              <w:rPr/>
            </w:pPr>
            <w:r>
              <w:rPr/>
              <w:t xml:space="preserve">  </w:t>
            </w:r>
          </w:p>
        </w:tc>
      </w:tr>
      <w:tr>
        <w:trPr/>
        <w:tc>
          <w:tcPr>
            <w:tcW w:w="481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Plan compensation expense </w:t>
            </w:r>
          </w:p>
        </w:tc>
        <w:tc>
          <w:tcPr>
            <w:tcW w:w="201" w:type="dxa"/>
            <w:tcBorders/>
            <w:shd w:fill="auto" w:val="clear"/>
            <w:vAlign w:val="center"/>
          </w:tcPr>
          <w:p>
            <w:pPr>
              <w:pStyle w:val="TableContents"/>
              <w:spacing w:before="0" w:after="0"/>
              <w:ind w:left="0" w:right="0" w:hanging="0"/>
              <w:rPr/>
            </w:pPr>
            <w:r>
              <w:rPr/>
              <w:t xml:space="preserve">  </w:t>
            </w:r>
          </w:p>
        </w:tc>
        <w:tc>
          <w:tcPr>
            <w:tcW w:w="28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8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5 </w:t>
            </w:r>
          </w:p>
        </w:tc>
        <w:tc>
          <w:tcPr>
            <w:tcW w:w="201" w:type="dxa"/>
            <w:tcBorders/>
            <w:shd w:fill="auto" w:val="clear"/>
            <w:vAlign w:val="center"/>
          </w:tcPr>
          <w:p>
            <w:pPr>
              <w:pStyle w:val="TableContents"/>
              <w:spacing w:before="0" w:after="0"/>
              <w:ind w:left="0" w:right="0" w:hanging="0"/>
              <w:rPr/>
            </w:pPr>
            <w:r>
              <w:rPr/>
              <w:t xml:space="preserve">  </w:t>
            </w:r>
          </w:p>
        </w:tc>
        <w:tc>
          <w:tcPr>
            <w:tcW w:w="201" w:type="dxa"/>
            <w:tcBorders/>
            <w:shd w:fill="auto" w:val="clear"/>
            <w:vAlign w:val="center"/>
          </w:tcPr>
          <w:p>
            <w:pPr>
              <w:pStyle w:val="TableContents"/>
              <w:spacing w:before="0" w:after="0"/>
              <w:ind w:left="0" w:right="0" w:hanging="0"/>
              <w:rPr/>
            </w:pPr>
            <w:r>
              <w:rPr/>
              <w:t xml:space="preserve">  </w:t>
            </w:r>
          </w:p>
        </w:tc>
        <w:tc>
          <w:tcPr>
            <w:tcW w:w="28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6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9 </w:t>
            </w:r>
          </w:p>
        </w:tc>
        <w:tc>
          <w:tcPr>
            <w:tcW w:w="227" w:type="dxa"/>
            <w:tcBorders/>
            <w:shd w:fill="auto" w:val="cle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widowControl/>
        <w:ind w:left="0" w:right="0" w:hanging="0"/>
        <w:rPr>
          <w:rFonts w:ascii="Times New Roman" w:hAnsi="Times New Roman"/>
          <w:b w:val="false"/>
          <w:i/>
          <w:caps w:val="false"/>
          <w:smallCaps w:val="false"/>
          <w:color w:val="000000"/>
          <w:spacing w:val="0"/>
          <w:sz w:val="20"/>
          <w:u w:val="single"/>
        </w:rPr>
      </w:pPr>
      <w:r>
        <w:rPr>
          <w:rFonts w:ascii="Times New Roman" w:hAnsi="Times New Roman"/>
          <w:b w:val="false"/>
          <w:i/>
          <w:caps w:val="false"/>
          <w:smallCaps w:val="false"/>
          <w:color w:val="000000"/>
          <w:spacing w:val="0"/>
          <w:sz w:val="20"/>
          <w:u w:val="single"/>
        </w:rPr>
        <w:t>Issuance of Common Stock and Warrants</w:t>
      </w:r>
    </w:p>
    <w:p>
      <w:pPr>
        <w:pStyle w:val="TextBody"/>
        <w:widowControl/>
        <w:ind w:left="0" w:right="0" w:hanging="0"/>
        <w:rPr>
          <w:caps w:val="false"/>
          <w:smallCaps w:val="false"/>
          <w:color w:val="000000"/>
          <w:spacing w:val="0"/>
        </w:rPr>
      </w:pPr>
      <w:r>
        <w:rPr>
          <w:caps w:val="false"/>
          <w:smallCaps w:val="false"/>
          <w:color w:val="000000"/>
          <w:spacing w:val="0"/>
        </w:rPr>
        <w:t> </w:t>
      </w:r>
    </w:p>
    <w:p>
      <w:pPr>
        <w:pStyle w:val="TextBody"/>
        <w:widowControl/>
        <w:ind w:left="0" w:right="0" w:firstLine="72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On September 13, 2020, the Company, entered into a Securities Purchase Agreement (the “Purchase Agreement”) with certain purchasers named therein (the “Purchasers”), pursuant to which the Company issued and sold, in a registered direct offering 2,116,050</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shares (the “Shares”) of the Company’s common stock, par value $</w:t>
      </w:r>
      <w:r>
        <w:rPr>
          <w:rFonts w:ascii="Times New Roman" w:hAnsi="Times New Roman"/>
          <w:b w:val="false"/>
          <w:i w:val="false"/>
          <w:caps w:val="false"/>
          <w:smallCaps w:val="false"/>
          <w:color w:val="000000"/>
          <w:spacing w:val="0"/>
          <w:sz w:val="20"/>
        </w:rPr>
        <w:t>0.001</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per share (the “Common Stock”) at an offering price of $2.4925</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per share, (the “Registered Offering”). The Company received gross proceeds of approximately $5,275</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(4,764 net of issuance costs) in connection with the Registered Offering, before deducting placement agent fees and related offering expenses. </w:t>
      </w:r>
      <w:r>
        <w:rPr>
          <w:rFonts w:ascii="times new roman;times" w:hAnsi="times new roman;times"/>
          <w:b w:val="false"/>
          <w:i w:val="false"/>
          <w:caps w:val="false"/>
          <w:smallCaps w:val="false"/>
          <w:color w:val="000000"/>
          <w:spacing w:val="0"/>
          <w:sz w:val="20"/>
        </w:rPr>
        <w:t>In a concurrent private placement, the Company issued to the Purchasers who participated in the Registered Offering warrants exercisable for an aggregate of 1,058,025</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shares of common stock at an exercise price of $2.43</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xml:space="preserve">per share. Each warrant became immediately exercisable and had an expiry term of </w:t>
      </w:r>
      <w:r>
        <w:rPr>
          <w:rFonts w:ascii="times new roman;times" w:hAnsi="times new roman;times"/>
          <w:b w:val="false"/>
          <w:i w:val="false"/>
          <w:caps w:val="false"/>
          <w:smallCaps w:val="false"/>
          <w:color w:val="000000"/>
          <w:spacing w:val="0"/>
          <w:sz w:val="20"/>
        </w:rPr>
        <w:t>five years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from the issuance date. </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F-27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11</w:t>
      </w:r>
      <w:r>
        <w:rPr>
          <w:rFonts w:ascii="Times New Roman" w:hAnsi="Times New Roman"/>
          <w:b/>
          <w:sz w:val="20"/>
        </w:rPr>
        <w:t>. Significant Customers</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Sales to significant customers that represented more than 10 percent of total revenues are as follows:</w:t>
      </w:r>
    </w:p>
    <w:p>
      <w:pPr>
        <w:pStyle w:val="TextBody"/>
        <w:spacing w:before="0" w:after="0"/>
        <w:ind w:left="144" w:right="144" w:hanging="0"/>
        <w:rPr/>
      </w:pPr>
      <w:r>
        <w:rPr/>
        <w:t> </w:t>
      </w:r>
    </w:p>
    <w:tbl>
      <w:tblPr>
        <w:tblW w:w="5000" w:type="pct"/>
        <w:jc w:val="left"/>
        <w:tblInd w:w="0" w:type="dxa"/>
        <w:tblCellMar>
          <w:top w:w="0" w:type="dxa"/>
          <w:left w:w="0" w:type="dxa"/>
          <w:bottom w:w="0" w:type="dxa"/>
          <w:right w:w="0" w:type="dxa"/>
        </w:tblCellMar>
      </w:tblPr>
      <w:tblGrid>
        <w:gridCol w:w="3134"/>
        <w:gridCol w:w="362"/>
        <w:gridCol w:w="690"/>
        <w:gridCol w:w="808"/>
        <w:gridCol w:w="690"/>
        <w:gridCol w:w="690"/>
        <w:gridCol w:w="690"/>
        <w:gridCol w:w="2538"/>
        <w:gridCol w:w="603"/>
      </w:tblGrid>
      <w:tr>
        <w:trPr/>
        <w:tc>
          <w:tcPr>
            <w:tcW w:w="3134" w:type="dxa"/>
            <w:tcBorders/>
            <w:shd w:fill="auto" w:val="clear"/>
            <w:vAlign w:val="center"/>
          </w:tcPr>
          <w:p>
            <w:pPr>
              <w:pStyle w:val="TableContents"/>
              <w:spacing w:before="0" w:after="0"/>
              <w:ind w:left="0" w:right="0" w:hanging="0"/>
              <w:rPr/>
            </w:pPr>
            <w:r>
              <w:rPr/>
              <w:t xml:space="preserve">  </w:t>
            </w:r>
          </w:p>
        </w:tc>
        <w:tc>
          <w:tcPr>
            <w:tcW w:w="362" w:type="dxa"/>
            <w:tcBorders/>
            <w:shd w:fill="auto" w:val="clear"/>
            <w:vAlign w:val="center"/>
          </w:tcPr>
          <w:p>
            <w:pPr>
              <w:pStyle w:val="TableContents"/>
              <w:spacing w:before="0" w:after="0"/>
              <w:ind w:left="0" w:right="0" w:hanging="0"/>
              <w:rPr/>
            </w:pPr>
            <w:r>
              <w:rPr/>
              <w:t xml:space="preserve">  </w:t>
            </w:r>
          </w:p>
        </w:tc>
        <w:tc>
          <w:tcPr>
            <w:tcW w:w="6106"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603" w:type="dxa"/>
            <w:tcBorders/>
            <w:shd w:fill="auto" w:val="clear"/>
            <w:vAlign w:val="center"/>
          </w:tcPr>
          <w:p>
            <w:pPr>
              <w:pStyle w:val="TableContents"/>
              <w:spacing w:before="0" w:after="0"/>
              <w:ind w:left="0" w:right="0" w:hanging="0"/>
              <w:rPr/>
            </w:pPr>
            <w:r>
              <w:rPr/>
              <w:t xml:space="preserve">  </w:t>
            </w:r>
          </w:p>
        </w:tc>
      </w:tr>
      <w:tr>
        <w:trPr/>
        <w:tc>
          <w:tcPr>
            <w:tcW w:w="3134" w:type="dxa"/>
            <w:tcBorders/>
            <w:shd w:fill="auto" w:val="clear"/>
            <w:vAlign w:val="center"/>
          </w:tcPr>
          <w:p>
            <w:pPr>
              <w:pStyle w:val="TableContents"/>
              <w:spacing w:before="0" w:after="0"/>
              <w:ind w:left="0" w:right="0" w:hanging="0"/>
              <w:rPr/>
            </w:pPr>
            <w:r>
              <w:rPr/>
              <w:t xml:space="preserve">  </w:t>
            </w:r>
          </w:p>
        </w:tc>
        <w:tc>
          <w:tcPr>
            <w:tcW w:w="362" w:type="dxa"/>
            <w:tcBorders/>
            <w:shd w:fill="auto" w:val="clear"/>
            <w:vAlign w:val="center"/>
          </w:tcPr>
          <w:p>
            <w:pPr>
              <w:pStyle w:val="TableContents"/>
              <w:spacing w:before="0" w:after="0"/>
              <w:ind w:left="0" w:right="0" w:hanging="0"/>
              <w:rPr/>
            </w:pPr>
            <w:r>
              <w:rPr/>
              <w:t xml:space="preserve">  </w:t>
            </w:r>
          </w:p>
        </w:tc>
        <w:tc>
          <w:tcPr>
            <w:tcW w:w="149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690" w:type="dxa"/>
            <w:tcBorders/>
            <w:shd w:fill="auto" w:val="clear"/>
            <w:vAlign w:val="center"/>
          </w:tcPr>
          <w:p>
            <w:pPr>
              <w:pStyle w:val="TableContents"/>
              <w:spacing w:before="0" w:after="0"/>
              <w:ind w:left="0" w:right="0" w:hanging="0"/>
              <w:rPr/>
            </w:pPr>
            <w:r>
              <w:rPr/>
              <w:t xml:space="preserve">  </w:t>
            </w:r>
          </w:p>
        </w:tc>
        <w:tc>
          <w:tcPr>
            <w:tcW w:w="690" w:type="dxa"/>
            <w:tcBorders/>
            <w:shd w:fill="auto" w:val="clear"/>
            <w:vAlign w:val="center"/>
          </w:tcPr>
          <w:p>
            <w:pPr>
              <w:pStyle w:val="TableContents"/>
              <w:spacing w:before="0" w:after="0"/>
              <w:ind w:left="0" w:right="0" w:hanging="0"/>
              <w:rPr/>
            </w:pPr>
            <w:r>
              <w:rPr/>
              <w:t xml:space="preserve">  </w:t>
            </w:r>
          </w:p>
        </w:tc>
        <w:tc>
          <w:tcPr>
            <w:tcW w:w="322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603" w:type="dxa"/>
            <w:tcBorders/>
            <w:shd w:fill="auto" w:val="clear"/>
            <w:vAlign w:val="center"/>
          </w:tcPr>
          <w:p>
            <w:pPr>
              <w:pStyle w:val="TableContents"/>
              <w:spacing w:before="0" w:after="0"/>
              <w:ind w:left="0" w:right="0" w:hanging="0"/>
              <w:rPr/>
            </w:pPr>
            <w:r>
              <w:rPr/>
              <w:t xml:space="preserve">  </w:t>
            </w:r>
          </w:p>
        </w:tc>
      </w:tr>
      <w:tr>
        <w:trPr/>
        <w:tc>
          <w:tcPr>
            <w:tcW w:w="313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Customer A </w:t>
            </w:r>
          </w:p>
        </w:tc>
        <w:tc>
          <w:tcPr>
            <w:tcW w:w="362" w:type="dxa"/>
            <w:tcBorders/>
            <w:shd w:fill="CCEEFF" w:val="clear"/>
            <w:vAlign w:val="center"/>
          </w:tcPr>
          <w:p>
            <w:pPr>
              <w:pStyle w:val="TableContents"/>
              <w:spacing w:before="0" w:after="0"/>
              <w:ind w:left="0" w:right="0" w:hanging="0"/>
              <w:rPr/>
            </w:pPr>
            <w:r>
              <w:rPr/>
              <w:t xml:space="preserve">  </w:t>
            </w:r>
          </w:p>
        </w:tc>
        <w:tc>
          <w:tcPr>
            <w:tcW w:w="690" w:type="dxa"/>
            <w:tcBorders/>
            <w:shd w:fill="CCEEFF" w:val="clear"/>
            <w:vAlign w:val="center"/>
          </w:tcPr>
          <w:p>
            <w:pPr>
              <w:pStyle w:val="TableContents"/>
              <w:spacing w:before="0" w:after="0"/>
              <w:ind w:left="0" w:right="0" w:hanging="0"/>
              <w:rPr/>
            </w:pPr>
            <w:r>
              <w:rPr/>
              <w:t xml:space="preserve">  </w:t>
            </w:r>
          </w:p>
        </w:tc>
        <w:tc>
          <w:tcPr>
            <w:tcW w:w="808" w:type="dxa"/>
            <w:tcBorders/>
            <w:shd w:fill="CCEEFF" w:val="clear"/>
            <w:vAlign w:val="center"/>
          </w:tcPr>
          <w:p>
            <w:pPr>
              <w:pStyle w:val="TableContents"/>
              <w:spacing w:before="0" w:after="0"/>
              <w:ind w:left="0" w:right="0" w:hanging="0"/>
              <w:jc w:val="right"/>
              <w:rPr/>
            </w:pPr>
            <w:r>
              <w:rPr/>
              <w:t>*</w:t>
            </w:r>
          </w:p>
        </w:tc>
        <w:tc>
          <w:tcPr>
            <w:tcW w:w="690" w:type="dxa"/>
            <w:tcBorders/>
            <w:shd w:fill="CCEEFF" w:val="clear"/>
            <w:vAlign w:val="center"/>
          </w:tcPr>
          <w:p>
            <w:pPr>
              <w:pStyle w:val="TableContents"/>
              <w:spacing w:before="0" w:after="0"/>
              <w:ind w:left="0" w:right="0" w:hanging="0"/>
              <w:rPr/>
            </w:pPr>
            <w:r>
              <w:rPr/>
              <w:t>  </w:t>
            </w:r>
          </w:p>
        </w:tc>
        <w:tc>
          <w:tcPr>
            <w:tcW w:w="690" w:type="dxa"/>
            <w:tcBorders/>
            <w:shd w:fill="CCEEFF" w:val="clear"/>
            <w:vAlign w:val="center"/>
          </w:tcPr>
          <w:p>
            <w:pPr>
              <w:pStyle w:val="TableContents"/>
              <w:spacing w:before="0" w:after="0"/>
              <w:ind w:left="0" w:right="0" w:hanging="0"/>
              <w:rPr/>
            </w:pPr>
            <w:r>
              <w:rPr/>
              <w:t xml:space="preserve">  </w:t>
            </w:r>
          </w:p>
        </w:tc>
        <w:tc>
          <w:tcPr>
            <w:tcW w:w="690" w:type="dxa"/>
            <w:tcBorders/>
            <w:shd w:fill="CCEEFF" w:val="clear"/>
            <w:vAlign w:val="center"/>
          </w:tcPr>
          <w:p>
            <w:pPr>
              <w:pStyle w:val="TableContents"/>
              <w:spacing w:before="0" w:after="0"/>
              <w:ind w:left="0" w:right="0" w:hanging="0"/>
              <w:rPr/>
            </w:pPr>
            <w:r>
              <w:rPr/>
              <w:t xml:space="preserve">  </w:t>
            </w:r>
          </w:p>
        </w:tc>
        <w:tc>
          <w:tcPr>
            <w:tcW w:w="2538" w:type="dxa"/>
            <w:tcBorders/>
            <w:shd w:fill="CCEEFF" w:val="clear"/>
            <w:vAlign w:val="center"/>
          </w:tcPr>
          <w:p>
            <w:pPr>
              <w:pStyle w:val="TableContents"/>
              <w:spacing w:before="0" w:after="0"/>
              <w:ind w:left="0" w:right="0" w:hanging="0"/>
              <w:jc w:val="right"/>
              <w:rPr/>
            </w:pPr>
            <w:r>
              <w:rPr/>
              <w:t>10.7</w:t>
            </w:r>
          </w:p>
        </w:tc>
        <w:tc>
          <w:tcPr>
            <w:tcW w:w="60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The following table summarizes the percentage of total gross accounts receivable from significant customers that represented more than 10 percent of total gross accounts receivable: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94"/>
        <w:gridCol w:w="414"/>
        <w:gridCol w:w="581"/>
        <w:gridCol w:w="967"/>
        <w:gridCol w:w="581"/>
        <w:gridCol w:w="581"/>
        <w:gridCol w:w="580"/>
        <w:gridCol w:w="2060"/>
        <w:gridCol w:w="847"/>
      </w:tblGrid>
      <w:tr>
        <w:trPr/>
        <w:tc>
          <w:tcPr>
            <w:tcW w:w="3594" w:type="dxa"/>
            <w:tcBorders/>
            <w:shd w:fill="auto" w:val="clear"/>
            <w:vAlign w:val="center"/>
          </w:tcPr>
          <w:p>
            <w:pPr>
              <w:pStyle w:val="TableContents"/>
              <w:spacing w:before="0" w:after="0"/>
              <w:ind w:left="0" w:right="0" w:hanging="0"/>
              <w:rPr/>
            </w:pPr>
            <w:r>
              <w:rPr/>
              <w:t xml:space="preserve">  </w:t>
            </w:r>
          </w:p>
        </w:tc>
        <w:tc>
          <w:tcPr>
            <w:tcW w:w="414" w:type="dxa"/>
            <w:tcBorders/>
            <w:shd w:fill="auto" w:val="clear"/>
            <w:vAlign w:val="center"/>
          </w:tcPr>
          <w:p>
            <w:pPr>
              <w:pStyle w:val="TableContents"/>
              <w:spacing w:before="0" w:after="0"/>
              <w:ind w:left="0" w:right="0" w:hanging="0"/>
              <w:rPr/>
            </w:pPr>
            <w:r>
              <w:rPr/>
              <w:t xml:space="preserve">  </w:t>
            </w:r>
          </w:p>
        </w:tc>
        <w:tc>
          <w:tcPr>
            <w:tcW w:w="5350"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847" w:type="dxa"/>
            <w:tcBorders/>
            <w:shd w:fill="auto" w:val="clear"/>
            <w:vAlign w:val="center"/>
          </w:tcPr>
          <w:p>
            <w:pPr>
              <w:pStyle w:val="TableContents"/>
              <w:spacing w:before="0" w:after="0"/>
              <w:ind w:left="0" w:right="0" w:hanging="0"/>
              <w:rPr/>
            </w:pPr>
            <w:r>
              <w:rPr/>
              <w:t xml:space="preserve">  </w:t>
            </w:r>
          </w:p>
        </w:tc>
      </w:tr>
      <w:tr>
        <w:trPr/>
        <w:tc>
          <w:tcPr>
            <w:tcW w:w="3594" w:type="dxa"/>
            <w:tcBorders/>
            <w:shd w:fill="auto" w:val="clear"/>
            <w:vAlign w:val="center"/>
          </w:tcPr>
          <w:p>
            <w:pPr>
              <w:pStyle w:val="TableContents"/>
              <w:spacing w:before="0" w:after="0"/>
              <w:ind w:left="0" w:right="0" w:hanging="0"/>
              <w:rPr/>
            </w:pPr>
            <w:r>
              <w:rPr/>
              <w:t xml:space="preserve">  </w:t>
            </w:r>
          </w:p>
        </w:tc>
        <w:tc>
          <w:tcPr>
            <w:tcW w:w="414" w:type="dxa"/>
            <w:tcBorders/>
            <w:shd w:fill="auto" w:val="clear"/>
            <w:vAlign w:val="center"/>
          </w:tcPr>
          <w:p>
            <w:pPr>
              <w:pStyle w:val="TableContents"/>
              <w:spacing w:before="0" w:after="0"/>
              <w:ind w:left="0" w:right="0" w:hanging="0"/>
              <w:rPr/>
            </w:pPr>
            <w:r>
              <w:rPr/>
              <w:t xml:space="preserve">  </w:t>
            </w:r>
          </w:p>
        </w:tc>
        <w:tc>
          <w:tcPr>
            <w:tcW w:w="154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581" w:type="dxa"/>
            <w:tcBorders/>
            <w:shd w:fill="auto" w:val="clear"/>
            <w:vAlign w:val="center"/>
          </w:tcPr>
          <w:p>
            <w:pPr>
              <w:pStyle w:val="TableContents"/>
              <w:spacing w:before="0" w:after="0"/>
              <w:ind w:left="0" w:right="0" w:hanging="0"/>
              <w:rPr/>
            </w:pPr>
            <w:r>
              <w:rPr/>
              <w:t xml:space="preserve">  </w:t>
            </w:r>
          </w:p>
        </w:tc>
        <w:tc>
          <w:tcPr>
            <w:tcW w:w="581" w:type="dxa"/>
            <w:tcBorders/>
            <w:shd w:fill="auto" w:val="clear"/>
            <w:vAlign w:val="center"/>
          </w:tcPr>
          <w:p>
            <w:pPr>
              <w:pStyle w:val="TableContents"/>
              <w:spacing w:before="0" w:after="0"/>
              <w:ind w:left="0" w:right="0" w:hanging="0"/>
              <w:rPr/>
            </w:pPr>
            <w:r>
              <w:rPr/>
              <w:t xml:space="preserve">  </w:t>
            </w:r>
          </w:p>
        </w:tc>
        <w:tc>
          <w:tcPr>
            <w:tcW w:w="2640"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847" w:type="dxa"/>
            <w:tcBorders/>
            <w:shd w:fill="auto" w:val="clear"/>
            <w:vAlign w:val="center"/>
          </w:tcPr>
          <w:p>
            <w:pPr>
              <w:pStyle w:val="TableContents"/>
              <w:spacing w:before="0" w:after="0"/>
              <w:ind w:left="0" w:right="0" w:hanging="0"/>
              <w:rPr/>
            </w:pPr>
            <w:r>
              <w:rPr/>
              <w:t xml:space="preserve">  </w:t>
            </w:r>
          </w:p>
        </w:tc>
      </w:tr>
      <w:tr>
        <w:trPr/>
        <w:tc>
          <w:tcPr>
            <w:tcW w:w="3594" w:type="dxa"/>
            <w:tcBorders/>
            <w:shd w:fill="CFF0FC"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Customer A </w:t>
            </w:r>
          </w:p>
        </w:tc>
        <w:tc>
          <w:tcPr>
            <w:tcW w:w="414" w:type="dxa"/>
            <w:tcBorders/>
            <w:shd w:fill="CFF0FC" w:val="clear"/>
            <w:vAlign w:val="center"/>
          </w:tcPr>
          <w:p>
            <w:pPr>
              <w:pStyle w:val="TableContents"/>
              <w:spacing w:before="0" w:after="0"/>
              <w:ind w:left="0" w:right="0" w:hanging="0"/>
              <w:rPr/>
            </w:pPr>
            <w:r>
              <w:rPr/>
              <w:t xml:space="preserve">  </w:t>
            </w:r>
          </w:p>
        </w:tc>
        <w:tc>
          <w:tcPr>
            <w:tcW w:w="581" w:type="dxa"/>
            <w:tcBorders/>
            <w:shd w:fill="CFF0FC" w:val="clear"/>
            <w:vAlign w:val="center"/>
          </w:tcPr>
          <w:p>
            <w:pPr>
              <w:pStyle w:val="TableContents"/>
              <w:spacing w:before="0" w:after="0"/>
              <w:ind w:left="0" w:right="0" w:hanging="0"/>
              <w:rPr/>
            </w:pPr>
            <w:r>
              <w:rPr/>
              <w:t xml:space="preserve">  </w:t>
            </w:r>
          </w:p>
        </w:tc>
        <w:tc>
          <w:tcPr>
            <w:tcW w:w="967" w:type="dxa"/>
            <w:tcBorders/>
            <w:shd w:fill="CFF0FC" w:val="clear"/>
            <w:vAlign w:val="center"/>
          </w:tcPr>
          <w:p>
            <w:pPr>
              <w:pStyle w:val="TableContents"/>
              <w:spacing w:before="0" w:after="0"/>
              <w:ind w:left="0" w:right="0" w:hanging="0"/>
              <w:jc w:val="right"/>
              <w:rPr/>
            </w:pPr>
            <w:r>
              <w:rPr/>
              <w:t>* </w:t>
            </w:r>
          </w:p>
        </w:tc>
        <w:tc>
          <w:tcPr>
            <w:tcW w:w="581" w:type="dxa"/>
            <w:tcBorders/>
            <w:shd w:fill="CFF0FC" w:val="clear"/>
            <w:vAlign w:val="center"/>
          </w:tcPr>
          <w:p>
            <w:pPr>
              <w:pStyle w:val="TableContents"/>
              <w:spacing w:before="0" w:after="0"/>
              <w:ind w:left="0" w:right="0" w:hanging="0"/>
              <w:rPr/>
            </w:pPr>
            <w:r>
              <w:rPr/>
            </w:r>
          </w:p>
        </w:tc>
        <w:tc>
          <w:tcPr>
            <w:tcW w:w="581" w:type="dxa"/>
            <w:tcBorders/>
            <w:shd w:fill="CFF0FC" w:val="clear"/>
            <w:vAlign w:val="center"/>
          </w:tcPr>
          <w:p>
            <w:pPr>
              <w:pStyle w:val="TableContents"/>
              <w:spacing w:before="0" w:after="0"/>
              <w:ind w:left="0" w:right="0" w:hanging="0"/>
              <w:rPr/>
            </w:pPr>
            <w:r>
              <w:rPr/>
              <w:t xml:space="preserve">  </w:t>
            </w:r>
          </w:p>
        </w:tc>
        <w:tc>
          <w:tcPr>
            <w:tcW w:w="580" w:type="dxa"/>
            <w:tcBorders/>
            <w:shd w:fill="CFF0FC" w:val="clear"/>
            <w:vAlign w:val="center"/>
          </w:tcPr>
          <w:p>
            <w:pPr>
              <w:pStyle w:val="TableContents"/>
              <w:spacing w:before="0" w:after="0"/>
              <w:ind w:left="0" w:right="0" w:hanging="0"/>
              <w:rPr/>
            </w:pPr>
            <w:r>
              <w:rPr/>
              <w:t xml:space="preserve">  </w:t>
            </w:r>
          </w:p>
        </w:tc>
        <w:tc>
          <w:tcPr>
            <w:tcW w:w="2060"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14.8 </w:t>
            </w:r>
          </w:p>
        </w:tc>
        <w:tc>
          <w:tcPr>
            <w:tcW w:w="847" w:type="dxa"/>
            <w:tcBorders/>
            <w:shd w:fill="CFF0FC"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highlight w:val="white"/>
        </w:rPr>
        <w:t>*</w:t>
      </w:r>
      <w:r>
        <w:rPr>
          <w:rFonts w:ascii="times new roman;times" w:hAnsi="times new roman;times"/>
          <w:sz w:val="20"/>
          <w:highlight w:val="white"/>
        </w:rPr>
        <w:t>  </w:t>
      </w:r>
      <w:r>
        <w:rPr>
          <w:rFonts w:ascii="Times New Roman" w:hAnsi="Times New Roman"/>
          <w:sz w:val="20"/>
          <w:highlight w:val="white"/>
        </w:rPr>
        <w:t xml:space="preserve">Sales and accounts receivable from Customer A in 2020 did not exceed </w:t>
      </w:r>
      <w:r>
        <w:rPr>
          <w:rFonts w:ascii="Times New Roman" w:hAnsi="Times New Roman"/>
          <w:sz w:val="20"/>
          <w:highlight w:val="white"/>
        </w:rPr>
        <w:t>10</w:t>
      </w:r>
      <w:r>
        <w:rPr>
          <w:rFonts w:ascii="Times New Roman" w:hAnsi="Times New Roman"/>
          <w:sz w:val="20"/>
          <w:highlight w:val="white"/>
        </w:rPr>
        <w:t>% of revenue and total gross accounts receivable.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12</w:t>
      </w:r>
      <w:r>
        <w:rPr>
          <w:rFonts w:ascii="Times New Roman" w:hAnsi="Times New Roman"/>
          <w:b/>
          <w:sz w:val="20"/>
        </w:rPr>
        <w:t>. Fair Value Measurements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pStyle w:val="TextBody"/>
        <w:spacing w:before="0" w:after="0"/>
        <w:ind w:left="0" w:right="0" w:hanging="0"/>
        <w:jc w:val="both"/>
        <w:rPr/>
      </w:pPr>
      <w:r>
        <w:rPr/>
        <w:t> </w:t>
      </w:r>
    </w:p>
    <w:p>
      <w:pPr>
        <w:pStyle w:val="TextBody"/>
        <w:spacing w:before="0" w:after="0"/>
        <w:ind w:left="720" w:right="0" w:hanging="0"/>
        <w:jc w:val="both"/>
        <w:rPr>
          <w:rFonts w:ascii="times new roman;times" w:hAnsi="times new roman;times"/>
          <w:sz w:val="20"/>
        </w:rPr>
      </w:pPr>
      <w:r>
        <w:rPr>
          <w:rFonts w:ascii="Times New Roman" w:hAnsi="Times New Roman"/>
          <w:sz w:val="20"/>
          <w:u w:val="single"/>
        </w:rPr>
        <w:t>Level 1</w:t>
      </w:r>
      <w:r>
        <w:rPr>
          <w:rFonts w:ascii="times new roman;times" w:hAnsi="times new roman;times"/>
          <w:sz w:val="20"/>
        </w:rPr>
        <w:t xml:space="preserve"> </w:t>
      </w:r>
      <w:r>
        <w:rPr>
          <w:rFonts w:ascii="Times New Roman" w:hAnsi="Times New Roman"/>
          <w:sz w:val="20"/>
        </w:rPr>
        <w:t>- Quoted prices in active markets for identical assets and liabilities.</w:t>
      </w:r>
    </w:p>
    <w:p>
      <w:pPr>
        <w:pStyle w:val="TextBody"/>
        <w:spacing w:before="0" w:after="0"/>
        <w:ind w:left="0" w:right="0" w:hanging="0"/>
        <w:jc w:val="both"/>
        <w:rPr/>
      </w:pPr>
      <w:r>
        <w:rPr/>
        <w:t> </w:t>
      </w:r>
    </w:p>
    <w:p>
      <w:pPr>
        <w:pStyle w:val="TextBody"/>
        <w:spacing w:before="0" w:after="0"/>
        <w:ind w:left="720" w:right="0" w:hanging="0"/>
        <w:jc w:val="both"/>
        <w:rPr>
          <w:rFonts w:ascii="times new roman;times" w:hAnsi="times new roman;times"/>
          <w:sz w:val="20"/>
        </w:rPr>
      </w:pPr>
      <w:r>
        <w:rPr>
          <w:rFonts w:ascii="Times New Roman" w:hAnsi="Times New Roman"/>
          <w:sz w:val="20"/>
          <w:u w:val="single"/>
        </w:rPr>
        <w:t>Level 2</w:t>
      </w:r>
      <w:r>
        <w:rPr>
          <w:rFonts w:ascii="times new roman;times" w:hAnsi="times new roman;times"/>
          <w:sz w:val="20"/>
        </w:rPr>
        <w:t xml:space="preserve"> </w:t>
      </w:r>
      <w:r>
        <w:rPr>
          <w:rFonts w:ascii="Times New Roman" w:hAnsi="Times New Roman"/>
          <w:sz w:val="20"/>
        </w:rPr>
        <w:t>-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pStyle w:val="TextBody"/>
        <w:spacing w:before="0" w:after="0"/>
        <w:ind w:left="0" w:right="0" w:hanging="0"/>
        <w:jc w:val="both"/>
        <w:rPr/>
      </w:pPr>
      <w:r>
        <w:rPr/>
        <w:t> </w:t>
      </w:r>
    </w:p>
    <w:p>
      <w:pPr>
        <w:pStyle w:val="TextBody"/>
        <w:spacing w:before="0" w:after="0"/>
        <w:ind w:left="720" w:right="0" w:hanging="0"/>
        <w:jc w:val="both"/>
        <w:rPr>
          <w:rFonts w:ascii="times new roman;times" w:hAnsi="times new roman;times"/>
          <w:sz w:val="20"/>
        </w:rPr>
      </w:pPr>
      <w:r>
        <w:rPr>
          <w:rFonts w:ascii="Times New Roman" w:hAnsi="Times New Roman"/>
          <w:sz w:val="20"/>
          <w:u w:val="single"/>
        </w:rPr>
        <w:t>Level 3</w:t>
      </w:r>
      <w:r>
        <w:rPr>
          <w:rFonts w:ascii="times new roman;times" w:hAnsi="times new roman;times"/>
          <w:sz w:val="20"/>
        </w:rPr>
        <w:t xml:space="preserve"> </w:t>
      </w:r>
      <w:r>
        <w:rPr>
          <w:rFonts w:ascii="Times New Roman" w:hAnsi="Times New Roman"/>
          <w:sz w:val="20"/>
        </w:rPr>
        <w:t>- Unobservable inputs.</w:t>
      </w:r>
    </w:p>
    <w:p>
      <w:pPr>
        <w:pStyle w:val="TextBody"/>
        <w:spacing w:before="0" w:after="0"/>
        <w:ind w:left="0" w:right="0" w:hanging="0"/>
        <w:jc w:val="both"/>
        <w:rPr/>
      </w:pPr>
      <w:r>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substantial majority of</w:t>
      </w:r>
      <w:r>
        <w:rPr>
          <w:rFonts w:ascii="times new roman;times" w:hAnsi="times new roman;times"/>
          <w:sz w:val="20"/>
        </w:rPr>
        <w:t xml:space="preserve"> </w:t>
      </w:r>
      <w:r>
        <w:rPr>
          <w:rFonts w:ascii="Times New Roman" w:hAnsi="Times New Roman"/>
          <w:sz w:val="20"/>
        </w:rPr>
        <w:t xml:space="preserve">the Company’s financial instruments are valued using quoted prices in active markets or based on other observable inputs. The following tables set forth the fair value of the financial instruments re-measured by the Company as of </w:t>
      </w:r>
      <w:r>
        <w:rPr>
          <w:rFonts w:ascii="times new roman;times" w:hAnsi="times new roman;times"/>
          <w:sz w:val="20"/>
        </w:rPr>
        <w:t>December 31, 2020 </w:t>
      </w:r>
      <w:r>
        <w:rPr>
          <w:rFonts w:ascii="Times New Roman" w:hAnsi="Times New Roman"/>
          <w:sz w:val="20"/>
        </w:rPr>
        <w:t xml:space="preserve">and </w:t>
      </w:r>
      <w:r>
        <w:rPr>
          <w:rFonts w:ascii="Times New Roman" w:hAnsi="Times New Roman"/>
          <w:sz w:val="20"/>
        </w:rPr>
        <w:t>2019</w:t>
      </w:r>
      <w:r>
        <w:rPr>
          <w:rFonts w:ascii="Times New Roman" w:hAnsi="Times New Roman"/>
          <w:sz w:val="20"/>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824"/>
        <w:gridCol w:w="203"/>
        <w:gridCol w:w="394"/>
        <w:gridCol w:w="783"/>
        <w:gridCol w:w="204"/>
        <w:gridCol w:w="203"/>
        <w:gridCol w:w="288"/>
        <w:gridCol w:w="899"/>
        <w:gridCol w:w="203"/>
        <w:gridCol w:w="204"/>
        <w:gridCol w:w="393"/>
        <w:gridCol w:w="784"/>
        <w:gridCol w:w="203"/>
        <w:gridCol w:w="204"/>
        <w:gridCol w:w="288"/>
        <w:gridCol w:w="899"/>
        <w:gridCol w:w="229"/>
      </w:tblGrid>
      <w:tr>
        <w:trPr/>
        <w:tc>
          <w:tcPr>
            <w:tcW w:w="382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117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Level 1 </w:t>
            </w:r>
          </w:p>
        </w:tc>
        <w:tc>
          <w:tcPr>
            <w:tcW w:w="20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118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Level 2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117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Level 3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118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Total </w:t>
            </w:r>
          </w:p>
        </w:tc>
        <w:tc>
          <w:tcPr>
            <w:tcW w:w="229" w:type="dxa"/>
            <w:tcBorders/>
            <w:shd w:fill="auto" w:val="clear"/>
            <w:vAlign w:val="center"/>
          </w:tcPr>
          <w:p>
            <w:pPr>
              <w:pStyle w:val="TableContents"/>
              <w:spacing w:before="0" w:after="0"/>
              <w:ind w:left="0" w:right="0" w:hanging="0"/>
              <w:rPr/>
            </w:pPr>
            <w:r>
              <w:rPr/>
              <w:t xml:space="preserve">  </w:t>
            </w:r>
          </w:p>
        </w:tc>
      </w:tr>
      <w:tr>
        <w:trPr/>
        <w:tc>
          <w:tcPr>
            <w:tcW w:w="3824" w:type="dxa"/>
            <w:tcBorders/>
            <w:shd w:fill="auto"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December 31, 2020</w:t>
            </w:r>
          </w:p>
        </w:tc>
        <w:tc>
          <w:tcPr>
            <w:tcW w:w="203" w:type="dxa"/>
            <w:tcBorders/>
            <w:shd w:fill="auto" w:val="clear"/>
            <w:vAlign w:val="center"/>
          </w:tcPr>
          <w:p>
            <w:pPr>
              <w:pStyle w:val="TableContents"/>
              <w:spacing w:before="0" w:after="0"/>
              <w:ind w:left="0" w:right="0" w:hanging="0"/>
              <w:rPr/>
            </w:pPr>
            <w:r>
              <w:rPr/>
              <w:t xml:space="preserve">  </w:t>
            </w:r>
          </w:p>
        </w:tc>
        <w:tc>
          <w:tcPr>
            <w:tcW w:w="394" w:type="dxa"/>
            <w:tcBorders/>
            <w:shd w:fill="auto" w:val="clear"/>
            <w:vAlign w:val="center"/>
          </w:tcPr>
          <w:p>
            <w:pPr>
              <w:pStyle w:val="TableContents"/>
              <w:spacing w:before="0" w:after="0"/>
              <w:ind w:left="0" w:right="0" w:hanging="0"/>
              <w:rPr/>
            </w:pPr>
            <w:r>
              <w:rPr/>
              <w:t xml:space="preserve">  </w:t>
            </w:r>
          </w:p>
        </w:tc>
        <w:tc>
          <w:tcPr>
            <w:tcW w:w="78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88" w:type="dxa"/>
            <w:tcBorders/>
            <w:shd w:fill="auto" w:val="clear"/>
            <w:vAlign w:val="center"/>
          </w:tcPr>
          <w:p>
            <w:pPr>
              <w:pStyle w:val="TableContents"/>
              <w:spacing w:before="0" w:after="0"/>
              <w:ind w:left="0" w:right="0" w:hanging="0"/>
              <w:rPr/>
            </w:pPr>
            <w:r>
              <w:rPr/>
              <w:t xml:space="preserve">  </w:t>
            </w:r>
          </w:p>
        </w:tc>
        <w:tc>
          <w:tcPr>
            <w:tcW w:w="899"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393" w:type="dxa"/>
            <w:tcBorders/>
            <w:shd w:fill="auto" w:val="clear"/>
            <w:vAlign w:val="center"/>
          </w:tcPr>
          <w:p>
            <w:pPr>
              <w:pStyle w:val="TableContents"/>
              <w:spacing w:before="0" w:after="0"/>
              <w:ind w:left="0" w:right="0" w:hanging="0"/>
              <w:rPr/>
            </w:pPr>
            <w:r>
              <w:rPr/>
              <w:t xml:space="preserve">  </w:t>
            </w:r>
          </w:p>
        </w:tc>
        <w:tc>
          <w:tcPr>
            <w:tcW w:w="78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88" w:type="dxa"/>
            <w:tcBorders/>
            <w:shd w:fill="auto" w:val="clear"/>
            <w:vAlign w:val="center"/>
          </w:tcPr>
          <w:p>
            <w:pPr>
              <w:pStyle w:val="TableContents"/>
              <w:spacing w:before="0" w:after="0"/>
              <w:ind w:left="0" w:right="0" w:hanging="0"/>
              <w:rPr/>
            </w:pPr>
            <w:r>
              <w:rPr/>
              <w:t xml:space="preserve">  </w:t>
            </w:r>
          </w:p>
        </w:tc>
        <w:tc>
          <w:tcPr>
            <w:tcW w:w="899"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r>
      <w:tr>
        <w:trPr/>
        <w:tc>
          <w:tcPr>
            <w:tcW w:w="382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bonds and notes </w:t>
            </w:r>
          </w:p>
        </w:tc>
        <w:tc>
          <w:tcPr>
            <w:tcW w:w="203" w:type="dxa"/>
            <w:tcBorders/>
            <w:shd w:fill="CCEEFF" w:val="clear"/>
            <w:vAlign w:val="center"/>
          </w:tcPr>
          <w:p>
            <w:pPr>
              <w:pStyle w:val="TableContents"/>
              <w:spacing w:before="0" w:after="0"/>
              <w:ind w:left="0" w:right="0" w:hanging="0"/>
              <w:rPr/>
            </w:pPr>
            <w:r>
              <w:rPr/>
              <w:t xml:space="preserve">  </w:t>
            </w:r>
          </w:p>
        </w:tc>
        <w:tc>
          <w:tcPr>
            <w:tcW w:w="39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3" w:type="dxa"/>
            <w:tcBorders/>
            <w:shd w:fill="CCEEFF" w:val="clear"/>
            <w:vAlign w:val="center"/>
          </w:tcPr>
          <w:p>
            <w:pPr>
              <w:pStyle w:val="TableContents"/>
              <w:spacing w:before="0" w:after="0"/>
              <w:ind w:left="0" w:right="0" w:hanging="0"/>
              <w:jc w:val="right"/>
              <w:rPr/>
            </w:pPr>
            <w:r>
              <w:rPr/>
              <w:t>—</w:t>
            </w:r>
          </w:p>
        </w:tc>
        <w:tc>
          <w:tcPr>
            <w:tcW w:w="204" w:type="dxa"/>
            <w:tcBorders/>
            <w:shd w:fill="CCEEFF" w:val="clear"/>
            <w:vAlign w:val="center"/>
          </w:tcPr>
          <w:p>
            <w:pPr>
              <w:pStyle w:val="TableContents"/>
              <w:spacing w:before="0" w:after="0"/>
              <w:ind w:left="0" w:right="0" w:hanging="0"/>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8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9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1,338 </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39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4" w:type="dxa"/>
            <w:tcBorders/>
            <w:shd w:fill="CCEEFF" w:val="clear"/>
            <w:vAlign w:val="center"/>
          </w:tcPr>
          <w:p>
            <w:pPr>
              <w:pStyle w:val="TableContents"/>
              <w:spacing w:before="0" w:after="0"/>
              <w:ind w:left="0" w:right="0" w:hanging="0"/>
              <w:jc w:val="right"/>
              <w:rPr/>
            </w:pPr>
            <w:r>
              <w:rPr/>
              <w:t>—</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28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9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1,338 </w:t>
            </w:r>
          </w:p>
        </w:tc>
        <w:tc>
          <w:tcPr>
            <w:tcW w:w="229" w:type="dxa"/>
            <w:tcBorders/>
            <w:shd w:fill="CCEEFF" w:val="clear"/>
            <w:vAlign w:val="center"/>
          </w:tcPr>
          <w:p>
            <w:pPr>
              <w:pStyle w:val="TableContents"/>
              <w:spacing w:before="0" w:after="0"/>
              <w:ind w:left="0" w:right="0" w:hanging="0"/>
              <w:rPr/>
            </w:pPr>
            <w:r>
              <w:rPr/>
              <w:t xml:space="preserve">  </w:t>
            </w:r>
          </w:p>
        </w:tc>
      </w:tr>
      <w:tr>
        <w:trPr/>
        <w:tc>
          <w:tcPr>
            <w:tcW w:w="382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Municipal bonds </w:t>
            </w:r>
          </w:p>
        </w:tc>
        <w:tc>
          <w:tcPr>
            <w:tcW w:w="203" w:type="dxa"/>
            <w:tcBorders/>
            <w:shd w:fill="auto" w:val="clear"/>
            <w:vAlign w:val="center"/>
          </w:tcPr>
          <w:p>
            <w:pPr>
              <w:pStyle w:val="TableContents"/>
              <w:spacing w:before="0" w:after="0"/>
              <w:ind w:left="0" w:right="0" w:hanging="0"/>
              <w:rPr/>
            </w:pPr>
            <w:r>
              <w:rPr/>
              <w:t xml:space="preserve">  </w:t>
            </w:r>
          </w:p>
        </w:tc>
        <w:tc>
          <w:tcPr>
            <w:tcW w:w="394"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83"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8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99"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1,541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393"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84"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8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99"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1,541 </w:t>
            </w:r>
          </w:p>
        </w:tc>
        <w:tc>
          <w:tcPr>
            <w:tcW w:w="229" w:type="dxa"/>
            <w:tcBorders/>
            <w:shd w:fill="auto" w:val="clear"/>
            <w:vAlign w:val="center"/>
          </w:tcPr>
          <w:p>
            <w:pPr>
              <w:pStyle w:val="TableContents"/>
              <w:spacing w:before="0" w:after="0"/>
              <w:ind w:left="0" w:right="0" w:hanging="0"/>
              <w:rPr/>
            </w:pPr>
            <w:r>
              <w:rPr/>
              <w:t xml:space="preserve">  </w:t>
            </w:r>
          </w:p>
        </w:tc>
      </w:tr>
      <w:tr>
        <w:trPr/>
        <w:tc>
          <w:tcPr>
            <w:tcW w:w="3824"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Total </w:t>
            </w:r>
          </w:p>
        </w:tc>
        <w:tc>
          <w:tcPr>
            <w:tcW w:w="203" w:type="dxa"/>
            <w:tcBorders/>
            <w:shd w:fill="CCEEFF" w:val="clear"/>
            <w:vAlign w:val="center"/>
          </w:tcPr>
          <w:p>
            <w:pPr>
              <w:pStyle w:val="TableContents"/>
              <w:spacing w:before="0" w:after="0"/>
              <w:ind w:left="0" w:right="0" w:hanging="0"/>
              <w:rPr/>
            </w:pPr>
            <w:r>
              <w:rPr/>
              <w:t xml:space="preserve">  </w:t>
            </w:r>
          </w:p>
        </w:tc>
        <w:tc>
          <w:tcPr>
            <w:tcW w:w="3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3"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04" w:type="dxa"/>
            <w:tcBorders/>
            <w:shd w:fill="CCEEFF" w:val="clear"/>
            <w:vAlign w:val="center"/>
          </w:tcPr>
          <w:p>
            <w:pPr>
              <w:pStyle w:val="TableContents"/>
              <w:spacing w:before="0" w:after="0"/>
              <w:ind w:left="0" w:right="0" w:hanging="0"/>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2,879 </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39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4"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2,879 </w:t>
            </w:r>
          </w:p>
        </w:tc>
        <w:tc>
          <w:tcPr>
            <w:tcW w:w="229" w:type="dxa"/>
            <w:tcBorders/>
            <w:shd w:fill="CCEEFF" w:val="clear"/>
            <w:vAlign w:val="center"/>
          </w:tcPr>
          <w:p>
            <w:pPr>
              <w:pStyle w:val="TableContents"/>
              <w:spacing w:before="0" w:after="0"/>
              <w:ind w:left="0" w:right="0" w:hanging="0"/>
              <w:rPr/>
            </w:pPr>
            <w:r>
              <w:rPr/>
              <w:t xml:space="preserve">  </w:t>
            </w:r>
          </w:p>
        </w:tc>
      </w:tr>
      <w:tr>
        <w:trPr/>
        <w:tc>
          <w:tcPr>
            <w:tcW w:w="3824" w:type="dxa"/>
            <w:tcBorders/>
            <w:shd w:fill="auto"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December 31, 2019</w:t>
            </w:r>
          </w:p>
        </w:tc>
        <w:tc>
          <w:tcPr>
            <w:tcW w:w="203" w:type="dxa"/>
            <w:tcBorders/>
            <w:shd w:fill="auto" w:val="clear"/>
            <w:vAlign w:val="center"/>
          </w:tcPr>
          <w:p>
            <w:pPr>
              <w:pStyle w:val="TableContents"/>
              <w:spacing w:before="0" w:after="0"/>
              <w:ind w:left="0" w:right="0" w:hanging="0"/>
              <w:rPr/>
            </w:pPr>
            <w:r>
              <w:rPr/>
              <w:t xml:space="preserve">  </w:t>
            </w:r>
          </w:p>
        </w:tc>
        <w:tc>
          <w:tcPr>
            <w:tcW w:w="394" w:type="dxa"/>
            <w:tcBorders/>
            <w:shd w:fill="auto" w:val="clear"/>
            <w:vAlign w:val="center"/>
          </w:tcPr>
          <w:p>
            <w:pPr>
              <w:pStyle w:val="TableContents"/>
              <w:spacing w:before="0" w:after="0"/>
              <w:ind w:left="0" w:right="0" w:hanging="0"/>
              <w:rPr/>
            </w:pPr>
            <w:r>
              <w:rPr/>
              <w:t xml:space="preserve">  </w:t>
            </w:r>
          </w:p>
        </w:tc>
        <w:tc>
          <w:tcPr>
            <w:tcW w:w="78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88" w:type="dxa"/>
            <w:tcBorders/>
            <w:shd w:fill="auto" w:val="clear"/>
            <w:vAlign w:val="center"/>
          </w:tcPr>
          <w:p>
            <w:pPr>
              <w:pStyle w:val="TableContents"/>
              <w:spacing w:before="0" w:after="0"/>
              <w:ind w:left="0" w:right="0" w:hanging="0"/>
              <w:rPr/>
            </w:pPr>
            <w:r>
              <w:rPr/>
              <w:t xml:space="preserve">  </w:t>
            </w:r>
          </w:p>
        </w:tc>
        <w:tc>
          <w:tcPr>
            <w:tcW w:w="899"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393" w:type="dxa"/>
            <w:tcBorders/>
            <w:shd w:fill="auto" w:val="clear"/>
            <w:vAlign w:val="center"/>
          </w:tcPr>
          <w:p>
            <w:pPr>
              <w:pStyle w:val="TableContents"/>
              <w:spacing w:before="0" w:after="0"/>
              <w:ind w:left="0" w:right="0" w:hanging="0"/>
              <w:rPr/>
            </w:pPr>
            <w:r>
              <w:rPr/>
              <w:t xml:space="preserve">  </w:t>
            </w:r>
          </w:p>
        </w:tc>
        <w:tc>
          <w:tcPr>
            <w:tcW w:w="78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88" w:type="dxa"/>
            <w:tcBorders/>
            <w:shd w:fill="auto" w:val="clear"/>
            <w:vAlign w:val="center"/>
          </w:tcPr>
          <w:p>
            <w:pPr>
              <w:pStyle w:val="TableContents"/>
              <w:spacing w:before="0" w:after="0"/>
              <w:ind w:left="0" w:right="0" w:hanging="0"/>
              <w:rPr/>
            </w:pPr>
            <w:r>
              <w:rPr/>
              <w:t xml:space="preserve">  </w:t>
            </w:r>
          </w:p>
        </w:tc>
        <w:tc>
          <w:tcPr>
            <w:tcW w:w="899"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r>
      <w:tr>
        <w:trPr/>
        <w:tc>
          <w:tcPr>
            <w:tcW w:w="382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bonds and notes </w:t>
            </w:r>
          </w:p>
        </w:tc>
        <w:tc>
          <w:tcPr>
            <w:tcW w:w="203" w:type="dxa"/>
            <w:tcBorders/>
            <w:shd w:fill="CCEEFF" w:val="clear"/>
            <w:vAlign w:val="center"/>
          </w:tcPr>
          <w:p>
            <w:pPr>
              <w:pStyle w:val="TableContents"/>
              <w:spacing w:before="0" w:after="0"/>
              <w:ind w:left="0" w:right="0" w:hanging="0"/>
              <w:rPr/>
            </w:pPr>
            <w:r>
              <w:rPr/>
              <w:t xml:space="preserve">  </w:t>
            </w:r>
          </w:p>
        </w:tc>
        <w:tc>
          <w:tcPr>
            <w:tcW w:w="39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3" w:type="dxa"/>
            <w:tcBorders/>
            <w:shd w:fill="CCEEFF" w:val="clear"/>
            <w:vAlign w:val="center"/>
          </w:tcPr>
          <w:p>
            <w:pPr>
              <w:pStyle w:val="TableContents"/>
              <w:spacing w:before="0" w:after="0"/>
              <w:ind w:left="0" w:right="0" w:hanging="0"/>
              <w:jc w:val="right"/>
              <w:rPr/>
            </w:pPr>
            <w:r>
              <w:rPr/>
              <w:t>—</w:t>
            </w:r>
          </w:p>
        </w:tc>
        <w:tc>
          <w:tcPr>
            <w:tcW w:w="204" w:type="dxa"/>
            <w:tcBorders/>
            <w:shd w:fill="CCEEFF" w:val="clear"/>
            <w:vAlign w:val="center"/>
          </w:tcPr>
          <w:p>
            <w:pPr>
              <w:pStyle w:val="TableContents"/>
              <w:spacing w:before="0" w:after="0"/>
              <w:ind w:left="0" w:right="0" w:hanging="0"/>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8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9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1,832 </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39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4" w:type="dxa"/>
            <w:tcBorders/>
            <w:shd w:fill="CCEEFF" w:val="clear"/>
            <w:vAlign w:val="center"/>
          </w:tcPr>
          <w:p>
            <w:pPr>
              <w:pStyle w:val="TableContents"/>
              <w:spacing w:before="0" w:after="0"/>
              <w:ind w:left="0" w:right="0" w:hanging="0"/>
              <w:jc w:val="right"/>
              <w:rPr/>
            </w:pPr>
            <w:r>
              <w:rPr/>
              <w:t>—</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28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9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1,832 </w:t>
            </w:r>
          </w:p>
        </w:tc>
        <w:tc>
          <w:tcPr>
            <w:tcW w:w="229" w:type="dxa"/>
            <w:tcBorders/>
            <w:shd w:fill="CCEEFF" w:val="clear"/>
            <w:vAlign w:val="center"/>
          </w:tcPr>
          <w:p>
            <w:pPr>
              <w:pStyle w:val="TableContents"/>
              <w:spacing w:before="0" w:after="0"/>
              <w:ind w:left="0" w:right="0" w:hanging="0"/>
              <w:rPr/>
            </w:pPr>
            <w:r>
              <w:rPr/>
              <w:t xml:space="preserve">  </w:t>
            </w:r>
          </w:p>
        </w:tc>
      </w:tr>
      <w:tr>
        <w:trPr/>
        <w:tc>
          <w:tcPr>
            <w:tcW w:w="382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Municipal bonds </w:t>
            </w:r>
          </w:p>
        </w:tc>
        <w:tc>
          <w:tcPr>
            <w:tcW w:w="203" w:type="dxa"/>
            <w:tcBorders/>
            <w:shd w:fill="auto" w:val="clear"/>
            <w:vAlign w:val="center"/>
          </w:tcPr>
          <w:p>
            <w:pPr>
              <w:pStyle w:val="TableContents"/>
              <w:spacing w:before="0" w:after="0"/>
              <w:ind w:left="0" w:right="0" w:hanging="0"/>
              <w:rPr/>
            </w:pPr>
            <w:r>
              <w:rPr/>
              <w:t xml:space="preserve">  </w:t>
            </w:r>
          </w:p>
        </w:tc>
        <w:tc>
          <w:tcPr>
            <w:tcW w:w="394"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83"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8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99"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2,711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393"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84"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8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99"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2,711 </w:t>
            </w:r>
          </w:p>
        </w:tc>
        <w:tc>
          <w:tcPr>
            <w:tcW w:w="229" w:type="dxa"/>
            <w:tcBorders/>
            <w:shd w:fill="auto" w:val="clear"/>
            <w:vAlign w:val="center"/>
          </w:tcPr>
          <w:p>
            <w:pPr>
              <w:pStyle w:val="TableContents"/>
              <w:spacing w:before="0" w:after="0"/>
              <w:ind w:left="0" w:right="0" w:hanging="0"/>
              <w:rPr/>
            </w:pPr>
            <w:r>
              <w:rPr/>
              <w:t xml:space="preserve">  </w:t>
            </w:r>
          </w:p>
        </w:tc>
      </w:tr>
      <w:tr>
        <w:trPr/>
        <w:tc>
          <w:tcPr>
            <w:tcW w:w="3824"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Total </w:t>
            </w:r>
          </w:p>
        </w:tc>
        <w:tc>
          <w:tcPr>
            <w:tcW w:w="203" w:type="dxa"/>
            <w:tcBorders/>
            <w:shd w:fill="CCEEFF" w:val="clear"/>
            <w:vAlign w:val="center"/>
          </w:tcPr>
          <w:p>
            <w:pPr>
              <w:pStyle w:val="TableContents"/>
              <w:spacing w:before="0" w:after="0"/>
              <w:ind w:left="0" w:right="0" w:hanging="0"/>
              <w:rPr/>
            </w:pPr>
            <w:r>
              <w:rPr/>
              <w:t xml:space="preserve">  </w:t>
            </w:r>
          </w:p>
        </w:tc>
        <w:tc>
          <w:tcPr>
            <w:tcW w:w="3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3"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04" w:type="dxa"/>
            <w:tcBorders/>
            <w:shd w:fill="CCEEFF" w:val="clear"/>
            <w:vAlign w:val="center"/>
          </w:tcPr>
          <w:p>
            <w:pPr>
              <w:pStyle w:val="TableContents"/>
              <w:spacing w:before="0" w:after="0"/>
              <w:ind w:left="0" w:right="0" w:hanging="0"/>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4,543 </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39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4"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4,543 </w:t>
            </w:r>
          </w:p>
        </w:tc>
        <w:tc>
          <w:tcPr>
            <w:tcW w:w="229"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144" w:right="144" w:hanging="0"/>
        <w:jc w:val="both"/>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28</w:t>
            </w:r>
            <w:r>
              <w:rPr>
                <w:rFonts w:ascii="Times New Roman" w:hAnsi="Times New Roman"/>
                <w:b w:val="false"/>
                <w:i w:val="false"/>
                <w:caps w:val="false"/>
                <w:smallCaps w:val="false"/>
                <w:color w:val="000000"/>
                <w:spacing w:val="0"/>
                <w:sz w:val="20"/>
              </w:rPr>
              <w:t>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13</w:t>
      </w:r>
      <w:r>
        <w:rPr>
          <w:rFonts w:ascii="Times New Roman" w:hAnsi="Times New Roman"/>
          <w:b/>
          <w:sz w:val="20"/>
        </w:rPr>
        <w:t>. Income Taxes</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Consolidated loss before taxes for domestic and foreign operations consisted of the following:</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2338"/>
        <w:gridCol w:w="332"/>
        <w:gridCol w:w="557"/>
        <w:gridCol w:w="1785"/>
        <w:gridCol w:w="393"/>
        <w:gridCol w:w="393"/>
        <w:gridCol w:w="556"/>
        <w:gridCol w:w="1932"/>
        <w:gridCol w:w="388"/>
      </w:tblGrid>
      <w:tr>
        <w:trPr/>
        <w:tc>
          <w:tcPr>
            <w:tcW w:w="2338" w:type="dxa"/>
            <w:tcBorders/>
            <w:shd w:fill="auto" w:val="clear"/>
            <w:vAlign w:val="center"/>
          </w:tcPr>
          <w:p>
            <w:pPr>
              <w:pStyle w:val="TableContents"/>
              <w:spacing w:before="0" w:after="0"/>
              <w:ind w:left="0" w:right="0" w:hanging="0"/>
              <w:rPr/>
            </w:pPr>
            <w:r>
              <w:rPr/>
              <w:t xml:space="preserve">  </w:t>
            </w:r>
          </w:p>
        </w:tc>
        <w:tc>
          <w:tcPr>
            <w:tcW w:w="332" w:type="dxa"/>
            <w:tcBorders/>
            <w:shd w:fill="auto" w:val="clear"/>
            <w:vAlign w:val="center"/>
          </w:tcPr>
          <w:p>
            <w:pPr>
              <w:pStyle w:val="TableContents"/>
              <w:spacing w:before="0" w:after="0"/>
              <w:ind w:left="0" w:right="0" w:hanging="0"/>
              <w:rPr/>
            </w:pPr>
            <w:r>
              <w:rPr/>
              <w:t xml:space="preserve">  </w:t>
            </w:r>
          </w:p>
        </w:tc>
        <w:tc>
          <w:tcPr>
            <w:tcW w:w="5616"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388" w:type="dxa"/>
            <w:tcBorders/>
            <w:shd w:fill="auto" w:val="clear"/>
            <w:vAlign w:val="center"/>
          </w:tcPr>
          <w:p>
            <w:pPr>
              <w:pStyle w:val="TableContents"/>
              <w:spacing w:before="0" w:after="0"/>
              <w:ind w:left="0" w:right="0" w:hanging="0"/>
              <w:rPr/>
            </w:pPr>
            <w:r>
              <w:rPr/>
              <w:t xml:space="preserve">  </w:t>
            </w:r>
          </w:p>
        </w:tc>
      </w:tr>
      <w:tr>
        <w:trPr/>
        <w:tc>
          <w:tcPr>
            <w:tcW w:w="2338" w:type="dxa"/>
            <w:tcBorders/>
            <w:shd w:fill="auto" w:val="clear"/>
            <w:vAlign w:val="center"/>
          </w:tcPr>
          <w:p>
            <w:pPr>
              <w:pStyle w:val="TableContents"/>
              <w:spacing w:before="0" w:after="0"/>
              <w:ind w:left="0" w:right="0" w:hanging="0"/>
              <w:rPr/>
            </w:pPr>
            <w:r>
              <w:rPr/>
              <w:t xml:space="preserve">  </w:t>
            </w:r>
          </w:p>
        </w:tc>
        <w:tc>
          <w:tcPr>
            <w:tcW w:w="332" w:type="dxa"/>
            <w:tcBorders/>
            <w:shd w:fill="auto" w:val="clear"/>
            <w:vAlign w:val="center"/>
          </w:tcPr>
          <w:p>
            <w:pPr>
              <w:pStyle w:val="TableContents"/>
              <w:spacing w:before="0" w:after="0"/>
              <w:ind w:left="0" w:right="0" w:hanging="0"/>
              <w:rPr/>
            </w:pPr>
            <w:r>
              <w:rPr/>
              <w:t xml:space="preserve">  </w:t>
            </w:r>
          </w:p>
        </w:tc>
        <w:tc>
          <w:tcPr>
            <w:tcW w:w="234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393" w:type="dxa"/>
            <w:tcBorders/>
            <w:shd w:fill="auto" w:val="clear"/>
            <w:vAlign w:val="center"/>
          </w:tcPr>
          <w:p>
            <w:pPr>
              <w:pStyle w:val="TableContents"/>
              <w:spacing w:before="0" w:after="0"/>
              <w:ind w:left="0" w:right="0" w:hanging="0"/>
              <w:rPr/>
            </w:pPr>
            <w:r>
              <w:rPr/>
              <w:t xml:space="preserve">  </w:t>
            </w:r>
          </w:p>
        </w:tc>
        <w:tc>
          <w:tcPr>
            <w:tcW w:w="393" w:type="dxa"/>
            <w:tcBorders/>
            <w:shd w:fill="auto" w:val="clear"/>
            <w:vAlign w:val="center"/>
          </w:tcPr>
          <w:p>
            <w:pPr>
              <w:pStyle w:val="TableContents"/>
              <w:spacing w:before="0" w:after="0"/>
              <w:ind w:left="0" w:right="0" w:hanging="0"/>
              <w:rPr/>
            </w:pPr>
            <w:r>
              <w:rPr/>
              <w:t xml:space="preserve">  </w:t>
            </w:r>
          </w:p>
        </w:tc>
        <w:tc>
          <w:tcPr>
            <w:tcW w:w="248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388" w:type="dxa"/>
            <w:tcBorders/>
            <w:shd w:fill="auto" w:val="clear"/>
            <w:vAlign w:val="center"/>
          </w:tcPr>
          <w:p>
            <w:pPr>
              <w:pStyle w:val="TableContents"/>
              <w:spacing w:before="0" w:after="0"/>
              <w:ind w:left="0" w:right="0" w:hanging="0"/>
              <w:rPr/>
            </w:pPr>
            <w:r>
              <w:rPr/>
              <w:t xml:space="preserve">  </w:t>
            </w:r>
          </w:p>
        </w:tc>
      </w:tr>
      <w:tr>
        <w:trPr/>
        <w:tc>
          <w:tcPr>
            <w:tcW w:w="233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Domestic </w:t>
            </w:r>
          </w:p>
        </w:tc>
        <w:tc>
          <w:tcPr>
            <w:tcW w:w="332" w:type="dxa"/>
            <w:tcBorders/>
            <w:shd w:fill="CCEEFF" w:val="clear"/>
            <w:vAlign w:val="center"/>
          </w:tcPr>
          <w:p>
            <w:pPr>
              <w:pStyle w:val="TableContents"/>
              <w:spacing w:before="0" w:after="0"/>
              <w:ind w:left="0" w:right="0" w:hanging="0"/>
              <w:rPr/>
            </w:pPr>
            <w:r>
              <w:rPr/>
              <w:t xml:space="preserve">  </w:t>
            </w:r>
          </w:p>
        </w:tc>
        <w:tc>
          <w:tcPr>
            <w:tcW w:w="55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78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(4,574</w:t>
            </w:r>
          </w:p>
        </w:tc>
        <w:tc>
          <w:tcPr>
            <w:tcW w:w="393" w:type="dxa"/>
            <w:tcBorders/>
            <w:shd w:fill="CCEEFF" w:val="clear"/>
            <w:vAlign w:val="center"/>
          </w:tcPr>
          <w:p>
            <w:pPr>
              <w:pStyle w:val="TableContents"/>
              <w:spacing w:before="0" w:after="283"/>
              <w:rPr/>
            </w:pPr>
            <w:r>
              <w:rPr/>
              <w:t>)</w:t>
            </w:r>
          </w:p>
        </w:tc>
        <w:tc>
          <w:tcPr>
            <w:tcW w:w="393" w:type="dxa"/>
            <w:tcBorders/>
            <w:shd w:fill="CCEEFF" w:val="clear"/>
            <w:vAlign w:val="center"/>
          </w:tcPr>
          <w:p>
            <w:pPr>
              <w:pStyle w:val="TableContents"/>
              <w:spacing w:before="0" w:after="0"/>
              <w:ind w:left="0" w:right="0" w:hanging="0"/>
              <w:rPr/>
            </w:pPr>
            <w:r>
              <w:rPr/>
              <w:t xml:space="preserve">  </w:t>
            </w:r>
          </w:p>
        </w:tc>
        <w:tc>
          <w:tcPr>
            <w:tcW w:w="55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9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(6,207 </w:t>
            </w:r>
          </w:p>
        </w:tc>
        <w:tc>
          <w:tcPr>
            <w:tcW w:w="38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233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Foreign </w:t>
            </w:r>
          </w:p>
        </w:tc>
        <w:tc>
          <w:tcPr>
            <w:tcW w:w="332" w:type="dxa"/>
            <w:tcBorders/>
            <w:shd w:fill="auto" w:val="clear"/>
            <w:vAlign w:val="center"/>
          </w:tcPr>
          <w:p>
            <w:pPr>
              <w:pStyle w:val="TableContents"/>
              <w:spacing w:before="0" w:after="0"/>
              <w:ind w:left="0" w:right="0" w:hanging="0"/>
              <w:rPr/>
            </w:pPr>
            <w:r>
              <w:rPr/>
              <w:t xml:space="preserve">  </w:t>
            </w:r>
          </w:p>
        </w:tc>
        <w:tc>
          <w:tcPr>
            <w:tcW w:w="557"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785"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(1,350</w:t>
            </w:r>
          </w:p>
        </w:tc>
        <w:tc>
          <w:tcPr>
            <w:tcW w:w="393" w:type="dxa"/>
            <w:tcBorders/>
            <w:shd w:fill="auto" w:val="clear"/>
            <w:vAlign w:val="center"/>
          </w:tcPr>
          <w:p>
            <w:pPr>
              <w:pStyle w:val="TableContents"/>
              <w:spacing w:before="0" w:after="283"/>
              <w:rPr/>
            </w:pPr>
            <w:r>
              <w:rPr/>
              <w:t>)</w:t>
            </w:r>
          </w:p>
        </w:tc>
        <w:tc>
          <w:tcPr>
            <w:tcW w:w="393" w:type="dxa"/>
            <w:tcBorders/>
            <w:shd w:fill="auto" w:val="clear"/>
            <w:vAlign w:val="center"/>
          </w:tcPr>
          <w:p>
            <w:pPr>
              <w:pStyle w:val="TableContents"/>
              <w:spacing w:before="0" w:after="0"/>
              <w:ind w:left="0" w:right="0" w:hanging="0"/>
              <w:rPr/>
            </w:pPr>
            <w:r>
              <w:rPr/>
              <w:t xml:space="preserve">  </w:t>
            </w:r>
          </w:p>
        </w:tc>
        <w:tc>
          <w:tcPr>
            <w:tcW w:w="55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93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(2,145 </w:t>
            </w:r>
          </w:p>
        </w:tc>
        <w:tc>
          <w:tcPr>
            <w:tcW w:w="38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233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332" w:type="dxa"/>
            <w:tcBorders/>
            <w:shd w:fill="CCEEFF" w:val="clear"/>
            <w:vAlign w:val="center"/>
          </w:tcPr>
          <w:p>
            <w:pPr>
              <w:pStyle w:val="TableContents"/>
              <w:spacing w:before="0" w:after="0"/>
              <w:ind w:left="0" w:right="0" w:hanging="0"/>
              <w:rPr/>
            </w:pPr>
            <w:r>
              <w:rPr/>
              <w:t xml:space="preserve">  </w:t>
            </w:r>
          </w:p>
        </w:tc>
        <w:tc>
          <w:tcPr>
            <w:tcW w:w="5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78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(5,924</w:t>
            </w:r>
          </w:p>
        </w:tc>
        <w:tc>
          <w:tcPr>
            <w:tcW w:w="393" w:type="dxa"/>
            <w:tcBorders/>
            <w:shd w:fill="CCEEFF" w:val="clear"/>
            <w:vAlign w:val="center"/>
          </w:tcPr>
          <w:p>
            <w:pPr>
              <w:pStyle w:val="TableContents"/>
              <w:spacing w:before="0" w:after="283"/>
              <w:rPr/>
            </w:pPr>
            <w:r>
              <w:rPr/>
              <w:t>)</w:t>
            </w:r>
          </w:p>
        </w:tc>
        <w:tc>
          <w:tcPr>
            <w:tcW w:w="393" w:type="dxa"/>
            <w:tcBorders/>
            <w:shd w:fill="CCEEFF" w:val="clear"/>
            <w:vAlign w:val="center"/>
          </w:tcPr>
          <w:p>
            <w:pPr>
              <w:pStyle w:val="TableContents"/>
              <w:spacing w:before="0" w:after="0"/>
              <w:ind w:left="0" w:right="0" w:hanging="0"/>
              <w:rPr/>
            </w:pPr>
            <w:r>
              <w:rPr/>
              <w:t xml:space="preserve">  </w:t>
            </w:r>
          </w:p>
        </w:tc>
        <w:tc>
          <w:tcPr>
            <w:tcW w:w="55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9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(8,352 </w:t>
            </w:r>
          </w:p>
        </w:tc>
        <w:tc>
          <w:tcPr>
            <w:tcW w:w="38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benefit from (provision for) income taxes consisted of the following:</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4633"/>
        <w:gridCol w:w="212"/>
        <w:gridCol w:w="365"/>
        <w:gridCol w:w="1173"/>
        <w:gridCol w:w="257"/>
        <w:gridCol w:w="257"/>
        <w:gridCol w:w="365"/>
        <w:gridCol w:w="1172"/>
        <w:gridCol w:w="240"/>
      </w:tblGrid>
      <w:tr>
        <w:trPr/>
        <w:tc>
          <w:tcPr>
            <w:tcW w:w="4633" w:type="dxa"/>
            <w:tcBorders/>
            <w:shd w:fill="auto" w:val="clear"/>
            <w:vAlign w:val="center"/>
          </w:tcPr>
          <w:p>
            <w:pPr>
              <w:pStyle w:val="TableContents"/>
              <w:spacing w:before="0" w:after="0"/>
              <w:ind w:left="0" w:right="0" w:hanging="0"/>
              <w:rPr/>
            </w:pPr>
            <w:r>
              <w:rPr/>
              <w:t xml:space="preserve">  </w:t>
            </w:r>
          </w:p>
        </w:tc>
        <w:tc>
          <w:tcPr>
            <w:tcW w:w="212" w:type="dxa"/>
            <w:tcBorders/>
            <w:shd w:fill="auto" w:val="clear"/>
            <w:vAlign w:val="center"/>
          </w:tcPr>
          <w:p>
            <w:pPr>
              <w:pStyle w:val="TableContents"/>
              <w:spacing w:before="0" w:after="0"/>
              <w:ind w:left="0" w:right="0" w:hanging="0"/>
              <w:rPr/>
            </w:pPr>
            <w:r>
              <w:rPr/>
              <w:t xml:space="preserve">  </w:t>
            </w:r>
          </w:p>
        </w:tc>
        <w:tc>
          <w:tcPr>
            <w:tcW w:w="3589"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240" w:type="dxa"/>
            <w:tcBorders/>
            <w:shd w:fill="auto" w:val="clear"/>
            <w:vAlign w:val="center"/>
          </w:tcPr>
          <w:p>
            <w:pPr>
              <w:pStyle w:val="TableContents"/>
              <w:spacing w:before="0" w:after="0"/>
              <w:ind w:left="0" w:right="0" w:hanging="0"/>
              <w:rPr/>
            </w:pPr>
            <w:r>
              <w:rPr/>
              <w:t xml:space="preserve">  </w:t>
            </w:r>
          </w:p>
        </w:tc>
      </w:tr>
      <w:tr>
        <w:trPr/>
        <w:tc>
          <w:tcPr>
            <w:tcW w:w="4633" w:type="dxa"/>
            <w:tcBorders/>
            <w:shd w:fill="auto" w:val="clear"/>
            <w:vAlign w:val="center"/>
          </w:tcPr>
          <w:p>
            <w:pPr>
              <w:pStyle w:val="TableContents"/>
              <w:spacing w:before="0" w:after="0"/>
              <w:ind w:left="0" w:right="0" w:hanging="0"/>
              <w:rPr/>
            </w:pPr>
            <w:r>
              <w:rPr/>
              <w:t xml:space="preserve">  </w:t>
            </w:r>
          </w:p>
        </w:tc>
        <w:tc>
          <w:tcPr>
            <w:tcW w:w="212" w:type="dxa"/>
            <w:tcBorders/>
            <w:shd w:fill="auto" w:val="clear"/>
            <w:vAlign w:val="center"/>
          </w:tcPr>
          <w:p>
            <w:pPr>
              <w:pStyle w:val="TableContents"/>
              <w:spacing w:before="0" w:after="0"/>
              <w:ind w:left="0" w:right="0" w:hanging="0"/>
              <w:rPr/>
            </w:pPr>
            <w:r>
              <w:rPr/>
              <w:t xml:space="preserve">  </w:t>
            </w:r>
          </w:p>
        </w:tc>
        <w:tc>
          <w:tcPr>
            <w:tcW w:w="153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257" w:type="dxa"/>
            <w:tcBorders/>
            <w:shd w:fill="auto" w:val="clear"/>
            <w:vAlign w:val="center"/>
          </w:tcPr>
          <w:p>
            <w:pPr>
              <w:pStyle w:val="TableContents"/>
              <w:spacing w:before="0" w:after="0"/>
              <w:ind w:left="0" w:right="0" w:hanging="0"/>
              <w:rPr/>
            </w:pPr>
            <w:r>
              <w:rPr/>
              <w:t xml:space="preserve">  </w:t>
            </w:r>
          </w:p>
        </w:tc>
        <w:tc>
          <w:tcPr>
            <w:tcW w:w="257" w:type="dxa"/>
            <w:tcBorders/>
            <w:shd w:fill="auto" w:val="clear"/>
            <w:vAlign w:val="center"/>
          </w:tcPr>
          <w:p>
            <w:pPr>
              <w:pStyle w:val="TableContents"/>
              <w:spacing w:before="0" w:after="0"/>
              <w:ind w:left="0" w:right="0" w:hanging="0"/>
              <w:rPr/>
            </w:pPr>
            <w:r>
              <w:rPr/>
              <w:t xml:space="preserve">  </w:t>
            </w:r>
          </w:p>
        </w:tc>
        <w:tc>
          <w:tcPr>
            <w:tcW w:w="153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240" w:type="dxa"/>
            <w:tcBorders/>
            <w:shd w:fill="auto" w:val="clear"/>
            <w:vAlign w:val="center"/>
          </w:tcPr>
          <w:p>
            <w:pPr>
              <w:pStyle w:val="TableContents"/>
              <w:spacing w:before="0" w:after="0"/>
              <w:ind w:left="0" w:right="0" w:hanging="0"/>
              <w:rPr/>
            </w:pPr>
            <w:r>
              <w:rPr/>
              <w:t xml:space="preserve">  </w:t>
            </w:r>
          </w:p>
        </w:tc>
      </w:tr>
      <w:tr>
        <w:trPr/>
        <w:tc>
          <w:tcPr>
            <w:tcW w:w="463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w:t>
            </w:r>
          </w:p>
        </w:tc>
        <w:tc>
          <w:tcPr>
            <w:tcW w:w="212"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1173" w:type="dxa"/>
            <w:tcBorders/>
            <w:shd w:fill="CCEEFF" w:val="clear"/>
            <w:vAlign w:val="center"/>
          </w:tcPr>
          <w:p>
            <w:pPr>
              <w:pStyle w:val="TableContents"/>
              <w:spacing w:before="0" w:after="0"/>
              <w:ind w:left="0" w:right="0" w:hanging="0"/>
              <w:rPr/>
            </w:pPr>
            <w:r>
              <w:rPr/>
              <w:t xml:space="preserve">  </w:t>
            </w:r>
          </w:p>
        </w:tc>
        <w:tc>
          <w:tcPr>
            <w:tcW w:w="257" w:type="dxa"/>
            <w:tcBorders/>
            <w:shd w:fill="CCEEFF" w:val="clear"/>
            <w:vAlign w:val="center"/>
          </w:tcPr>
          <w:p>
            <w:pPr>
              <w:pStyle w:val="TableContents"/>
              <w:spacing w:before="0" w:after="0"/>
              <w:ind w:left="0" w:right="0" w:hanging="0"/>
              <w:rPr/>
            </w:pPr>
            <w:r>
              <w:rPr/>
              <w:t xml:space="preserve">  </w:t>
            </w:r>
          </w:p>
        </w:tc>
        <w:tc>
          <w:tcPr>
            <w:tcW w:w="257"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1172" w:type="dxa"/>
            <w:tcBorders/>
            <w:shd w:fill="CCEEFF" w:val="clear"/>
            <w:vAlign w:val="center"/>
          </w:tcPr>
          <w:p>
            <w:pPr>
              <w:pStyle w:val="TableContents"/>
              <w:spacing w:before="0" w:after="0"/>
              <w:ind w:left="0" w:right="0" w:hanging="0"/>
              <w:rPr/>
            </w:pPr>
            <w:r>
              <w:rPr/>
              <w:t xml:space="preserve">  </w:t>
            </w:r>
          </w:p>
        </w:tc>
        <w:tc>
          <w:tcPr>
            <w:tcW w:w="240" w:type="dxa"/>
            <w:tcBorders/>
            <w:shd w:fill="CCEEFF" w:val="clear"/>
            <w:vAlign w:val="center"/>
          </w:tcPr>
          <w:p>
            <w:pPr>
              <w:pStyle w:val="TableContents"/>
              <w:spacing w:before="0" w:after="0"/>
              <w:ind w:left="0" w:right="0" w:hanging="0"/>
              <w:rPr/>
            </w:pPr>
            <w:r>
              <w:rPr/>
              <w:t xml:space="preserve">  </w:t>
            </w:r>
          </w:p>
        </w:tc>
      </w:tr>
      <w:tr>
        <w:trPr/>
        <w:tc>
          <w:tcPr>
            <w:tcW w:w="4633"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Federal </w:t>
            </w:r>
          </w:p>
        </w:tc>
        <w:tc>
          <w:tcPr>
            <w:tcW w:w="212"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6,543 </w:t>
            </w:r>
          </w:p>
        </w:tc>
        <w:tc>
          <w:tcPr>
            <w:tcW w:w="257" w:type="dxa"/>
            <w:tcBorders/>
            <w:shd w:fill="auto" w:val="clear"/>
            <w:vAlign w:val="center"/>
          </w:tcPr>
          <w:p>
            <w:pPr>
              <w:pStyle w:val="TableContents"/>
              <w:spacing w:before="0" w:after="0"/>
              <w:ind w:left="0" w:right="0" w:hanging="0"/>
              <w:rPr/>
            </w:pPr>
            <w:r>
              <w:rPr/>
            </w:r>
          </w:p>
        </w:tc>
        <w:tc>
          <w:tcPr>
            <w:tcW w:w="257"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c>
          <w:tcPr>
            <w:tcW w:w="240" w:type="dxa"/>
            <w:tcBorders/>
            <w:shd w:fill="auto" w:val="clear"/>
            <w:vAlign w:val="center"/>
          </w:tcPr>
          <w:p>
            <w:pPr>
              <w:pStyle w:val="TableContents"/>
              <w:spacing w:before="0" w:after="283"/>
              <w:rPr>
                <w:sz w:val="4"/>
                <w:szCs w:val="4"/>
              </w:rPr>
            </w:pPr>
            <w:r>
              <w:rPr>
                <w:sz w:val="4"/>
                <w:szCs w:val="4"/>
              </w:rPr>
            </w:r>
          </w:p>
        </w:tc>
      </w:tr>
      <w:tr>
        <w:trPr/>
        <w:tc>
          <w:tcPr>
            <w:tcW w:w="4633"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State </w:t>
            </w:r>
          </w:p>
        </w:tc>
        <w:tc>
          <w:tcPr>
            <w:tcW w:w="212"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117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(36</w:t>
            </w:r>
          </w:p>
        </w:tc>
        <w:tc>
          <w:tcPr>
            <w:tcW w:w="257" w:type="dxa"/>
            <w:tcBorders/>
            <w:shd w:fill="CCEEFF" w:val="clear"/>
            <w:vAlign w:val="center"/>
          </w:tcPr>
          <w:p>
            <w:pPr>
              <w:pStyle w:val="TableContents"/>
              <w:spacing w:before="0" w:after="283"/>
              <w:rPr/>
            </w:pPr>
            <w:r>
              <w:rPr/>
              <w:t>)</w:t>
            </w:r>
          </w:p>
        </w:tc>
        <w:tc>
          <w:tcPr>
            <w:tcW w:w="257"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117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(23</w:t>
            </w:r>
          </w:p>
        </w:tc>
        <w:tc>
          <w:tcPr>
            <w:tcW w:w="240" w:type="dxa"/>
            <w:tcBorders/>
            <w:shd w:fill="CCEEFF" w:val="clear"/>
            <w:vAlign w:val="center"/>
          </w:tcPr>
          <w:p>
            <w:pPr>
              <w:pStyle w:val="TableContents"/>
              <w:spacing w:before="0" w:after="283"/>
              <w:rPr/>
            </w:pPr>
            <w:r>
              <w:rPr/>
              <w:t>)</w:t>
            </w:r>
          </w:p>
        </w:tc>
      </w:tr>
      <w:tr>
        <w:trPr/>
        <w:tc>
          <w:tcPr>
            <w:tcW w:w="4633"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Foreign </w:t>
            </w:r>
          </w:p>
        </w:tc>
        <w:tc>
          <w:tcPr>
            <w:tcW w:w="212" w:type="dxa"/>
            <w:tcBorders/>
            <w:shd w:fill="auto"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173"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(78</w:t>
            </w:r>
          </w:p>
        </w:tc>
        <w:tc>
          <w:tcPr>
            <w:tcW w:w="257" w:type="dxa"/>
            <w:tcBorders/>
            <w:shd w:fill="auto" w:val="clear"/>
            <w:vAlign w:val="center"/>
          </w:tcPr>
          <w:p>
            <w:pPr>
              <w:pStyle w:val="TableContents"/>
              <w:spacing w:before="0" w:after="283"/>
              <w:rPr/>
            </w:pPr>
            <w:r>
              <w:rPr/>
              <w:t>)</w:t>
            </w:r>
          </w:p>
        </w:tc>
        <w:tc>
          <w:tcPr>
            <w:tcW w:w="257" w:type="dxa"/>
            <w:tcBorders/>
            <w:shd w:fill="auto"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17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c>
          <w:tcPr>
            <w:tcW w:w="240" w:type="dxa"/>
            <w:tcBorders/>
            <w:shd w:fill="auto" w:val="clear"/>
            <w:vAlign w:val="center"/>
          </w:tcPr>
          <w:p>
            <w:pPr>
              <w:pStyle w:val="TableContents"/>
              <w:spacing w:before="0" w:after="283"/>
              <w:rPr/>
            </w:pPr>
            <w:r>
              <w:rPr/>
              <w:t>)</w:t>
            </w:r>
          </w:p>
        </w:tc>
      </w:tr>
      <w:tr>
        <w:trPr/>
        <w:tc>
          <w:tcPr>
            <w:tcW w:w="463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current </w:t>
            </w:r>
          </w:p>
        </w:tc>
        <w:tc>
          <w:tcPr>
            <w:tcW w:w="212" w:type="dxa"/>
            <w:tcBorders/>
            <w:shd w:fill="CCEEFF"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73"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6,429</w:t>
            </w:r>
          </w:p>
        </w:tc>
        <w:tc>
          <w:tcPr>
            <w:tcW w:w="257" w:type="dxa"/>
            <w:tcBorders/>
            <w:shd w:fill="CCEEFF" w:val="clear"/>
            <w:vAlign w:val="center"/>
          </w:tcPr>
          <w:p>
            <w:pPr>
              <w:pStyle w:val="TableContents"/>
              <w:spacing w:before="0" w:after="283"/>
              <w:rPr>
                <w:sz w:val="4"/>
                <w:szCs w:val="4"/>
              </w:rPr>
            </w:pPr>
            <w:r>
              <w:rPr>
                <w:sz w:val="4"/>
                <w:szCs w:val="4"/>
              </w:rPr>
            </w:r>
          </w:p>
        </w:tc>
        <w:tc>
          <w:tcPr>
            <w:tcW w:w="257" w:type="dxa"/>
            <w:tcBorders/>
            <w:shd w:fill="CCEEFF"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72"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(56</w:t>
            </w:r>
          </w:p>
        </w:tc>
        <w:tc>
          <w:tcPr>
            <w:tcW w:w="240" w:type="dxa"/>
            <w:tcBorders/>
            <w:shd w:fill="CCEEFF" w:val="clear"/>
            <w:vAlign w:val="center"/>
          </w:tcPr>
          <w:p>
            <w:pPr>
              <w:pStyle w:val="TableContents"/>
              <w:spacing w:before="0" w:after="283"/>
              <w:rPr/>
            </w:pPr>
            <w:r>
              <w:rPr/>
              <w:t>)</w:t>
            </w:r>
          </w:p>
        </w:tc>
      </w:tr>
      <w:tr>
        <w:trPr/>
        <w:tc>
          <w:tcPr>
            <w:tcW w:w="46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w:t>
            </w:r>
          </w:p>
        </w:tc>
        <w:tc>
          <w:tcPr>
            <w:tcW w:w="212"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1173" w:type="dxa"/>
            <w:tcBorders/>
            <w:shd w:fill="auto" w:val="clear"/>
            <w:vAlign w:val="center"/>
          </w:tcPr>
          <w:p>
            <w:pPr>
              <w:pStyle w:val="TableContents"/>
              <w:spacing w:before="0" w:after="0"/>
              <w:ind w:left="0" w:right="0" w:hanging="0"/>
              <w:rPr/>
            </w:pPr>
            <w:r>
              <w:rPr/>
              <w:t xml:space="preserve">  </w:t>
            </w:r>
          </w:p>
        </w:tc>
        <w:tc>
          <w:tcPr>
            <w:tcW w:w="257" w:type="dxa"/>
            <w:tcBorders/>
            <w:shd w:fill="auto" w:val="clear"/>
            <w:vAlign w:val="center"/>
          </w:tcPr>
          <w:p>
            <w:pPr>
              <w:pStyle w:val="TableContents"/>
              <w:spacing w:before="0" w:after="0"/>
              <w:ind w:left="0" w:right="0" w:hanging="0"/>
              <w:rPr/>
            </w:pPr>
            <w:r>
              <w:rPr/>
              <w:t xml:space="preserve">  </w:t>
            </w:r>
          </w:p>
        </w:tc>
        <w:tc>
          <w:tcPr>
            <w:tcW w:w="257"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1172" w:type="dxa"/>
            <w:tcBorders/>
            <w:shd w:fill="auto" w:val="clear"/>
            <w:vAlign w:val="center"/>
          </w:tcPr>
          <w:p>
            <w:pPr>
              <w:pStyle w:val="TableContents"/>
              <w:spacing w:before="0" w:after="0"/>
              <w:ind w:left="0" w:right="0" w:hanging="0"/>
              <w:rPr/>
            </w:pPr>
            <w:r>
              <w:rPr/>
              <w:t xml:space="preserve">  </w:t>
            </w:r>
          </w:p>
        </w:tc>
        <w:tc>
          <w:tcPr>
            <w:tcW w:w="240" w:type="dxa"/>
            <w:tcBorders/>
            <w:shd w:fill="auto" w:val="clear"/>
            <w:vAlign w:val="center"/>
          </w:tcPr>
          <w:p>
            <w:pPr>
              <w:pStyle w:val="TableContents"/>
              <w:spacing w:before="0" w:after="0"/>
              <w:ind w:left="0" w:right="0" w:hanging="0"/>
              <w:rPr/>
            </w:pPr>
            <w:r>
              <w:rPr/>
              <w:t xml:space="preserve">  </w:t>
            </w:r>
          </w:p>
        </w:tc>
      </w:tr>
      <w:tr>
        <w:trPr/>
        <w:tc>
          <w:tcPr>
            <w:tcW w:w="4633"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Federal </w:t>
            </w:r>
          </w:p>
        </w:tc>
        <w:tc>
          <w:tcPr>
            <w:tcW w:w="212"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117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(3,104</w:t>
            </w:r>
          </w:p>
        </w:tc>
        <w:tc>
          <w:tcPr>
            <w:tcW w:w="257" w:type="dxa"/>
            <w:tcBorders/>
            <w:shd w:fill="CCEEFF" w:val="clear"/>
            <w:vAlign w:val="center"/>
          </w:tcPr>
          <w:p>
            <w:pPr>
              <w:pStyle w:val="TableContents"/>
              <w:spacing w:before="0" w:after="283"/>
              <w:rPr/>
            </w:pPr>
            <w:r>
              <w:rPr/>
              <w:t>)</w:t>
            </w:r>
          </w:p>
        </w:tc>
        <w:tc>
          <w:tcPr>
            <w:tcW w:w="257" w:type="dxa"/>
            <w:tcBorders/>
            <w:shd w:fill="CCEEFF" w:val="clear"/>
            <w:vAlign w:val="center"/>
          </w:tcPr>
          <w:p>
            <w:pPr>
              <w:pStyle w:val="TableContents"/>
              <w:spacing w:before="0" w:after="0"/>
              <w:ind w:left="0" w:right="0" w:hanging="0"/>
              <w:rPr/>
            </w:pPr>
            <w:r>
              <w:rPr/>
              <w:t xml:space="preserve">  </w:t>
            </w:r>
          </w:p>
        </w:tc>
        <w:tc>
          <w:tcPr>
            <w:tcW w:w="365" w:type="dxa"/>
            <w:tcBorders/>
            <w:shd w:fill="CCEEFF" w:val="clear"/>
            <w:vAlign w:val="center"/>
          </w:tcPr>
          <w:p>
            <w:pPr>
              <w:pStyle w:val="TableContents"/>
              <w:spacing w:before="0" w:after="0"/>
              <w:ind w:left="0" w:right="0" w:hanging="0"/>
              <w:rPr/>
            </w:pPr>
            <w:r>
              <w:rPr/>
              <w:t xml:space="preserve">  </w:t>
            </w:r>
          </w:p>
        </w:tc>
        <w:tc>
          <w:tcPr>
            <w:tcW w:w="117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1,621 </w:t>
            </w:r>
          </w:p>
        </w:tc>
        <w:tc>
          <w:tcPr>
            <w:tcW w:w="240" w:type="dxa"/>
            <w:tcBorders/>
            <w:shd w:fill="CCEEFF" w:val="clear"/>
            <w:vAlign w:val="center"/>
          </w:tcPr>
          <w:p>
            <w:pPr>
              <w:pStyle w:val="TableContents"/>
              <w:spacing w:before="0" w:after="0"/>
              <w:ind w:left="0" w:right="0" w:hanging="0"/>
              <w:rPr/>
            </w:pPr>
            <w:r>
              <w:rPr/>
              <w:t xml:space="preserve">  </w:t>
            </w:r>
          </w:p>
        </w:tc>
      </w:tr>
      <w:tr>
        <w:trPr/>
        <w:tc>
          <w:tcPr>
            <w:tcW w:w="4633"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State </w:t>
            </w:r>
          </w:p>
        </w:tc>
        <w:tc>
          <w:tcPr>
            <w:tcW w:w="212"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117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286 </w:t>
            </w:r>
          </w:p>
        </w:tc>
        <w:tc>
          <w:tcPr>
            <w:tcW w:w="257" w:type="dxa"/>
            <w:tcBorders/>
            <w:shd w:fill="auto" w:val="clear"/>
            <w:vAlign w:val="center"/>
          </w:tcPr>
          <w:p>
            <w:pPr>
              <w:pStyle w:val="TableContents"/>
              <w:spacing w:before="0" w:after="0"/>
              <w:ind w:left="0" w:right="0" w:hanging="0"/>
              <w:rPr/>
            </w:pPr>
            <w:r>
              <w:rPr/>
              <w:t xml:space="preserve">  </w:t>
            </w:r>
          </w:p>
        </w:tc>
        <w:tc>
          <w:tcPr>
            <w:tcW w:w="257"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117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413 </w:t>
            </w:r>
          </w:p>
        </w:tc>
        <w:tc>
          <w:tcPr>
            <w:tcW w:w="240" w:type="dxa"/>
            <w:tcBorders/>
            <w:shd w:fill="auto" w:val="clear"/>
            <w:vAlign w:val="center"/>
          </w:tcPr>
          <w:p>
            <w:pPr>
              <w:pStyle w:val="TableContents"/>
              <w:spacing w:before="0" w:after="0"/>
              <w:ind w:left="0" w:right="0" w:hanging="0"/>
              <w:rPr/>
            </w:pPr>
            <w:r>
              <w:rPr/>
              <w:t xml:space="preserve">  </w:t>
            </w:r>
          </w:p>
        </w:tc>
      </w:tr>
      <w:tr>
        <w:trPr/>
        <w:tc>
          <w:tcPr>
            <w:tcW w:w="4633"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Foreign </w:t>
            </w:r>
          </w:p>
        </w:tc>
        <w:tc>
          <w:tcPr>
            <w:tcW w:w="212" w:type="dxa"/>
            <w:tcBorders/>
            <w:shd w:fill="CCEEFF"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73"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216 </w:t>
            </w:r>
          </w:p>
        </w:tc>
        <w:tc>
          <w:tcPr>
            <w:tcW w:w="257" w:type="dxa"/>
            <w:tcBorders/>
            <w:shd w:fill="CCEEFF" w:val="clear"/>
            <w:vAlign w:val="center"/>
          </w:tcPr>
          <w:p>
            <w:pPr>
              <w:pStyle w:val="TableContents"/>
              <w:spacing w:before="0" w:after="0"/>
              <w:ind w:left="0" w:right="0" w:hanging="0"/>
              <w:rPr/>
            </w:pPr>
            <w:r>
              <w:rPr/>
              <w:t xml:space="preserve">  </w:t>
            </w:r>
          </w:p>
        </w:tc>
        <w:tc>
          <w:tcPr>
            <w:tcW w:w="257" w:type="dxa"/>
            <w:tcBorders/>
            <w:shd w:fill="CCEEFF"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72"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393 </w:t>
            </w:r>
          </w:p>
        </w:tc>
        <w:tc>
          <w:tcPr>
            <w:tcW w:w="240" w:type="dxa"/>
            <w:tcBorders/>
            <w:shd w:fill="CCEEFF" w:val="clear"/>
            <w:vAlign w:val="center"/>
          </w:tcPr>
          <w:p>
            <w:pPr>
              <w:pStyle w:val="TableContents"/>
              <w:spacing w:before="0" w:after="0"/>
              <w:ind w:left="0" w:right="0" w:hanging="0"/>
              <w:rPr/>
            </w:pPr>
            <w:r>
              <w:rPr/>
              <w:t xml:space="preserve">  </w:t>
            </w:r>
          </w:p>
        </w:tc>
      </w:tr>
      <w:tr>
        <w:trPr/>
        <w:tc>
          <w:tcPr>
            <w:tcW w:w="4633"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Total </w:t>
            </w:r>
          </w:p>
        </w:tc>
        <w:tc>
          <w:tcPr>
            <w:tcW w:w="212"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117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(2,602</w:t>
            </w:r>
          </w:p>
        </w:tc>
        <w:tc>
          <w:tcPr>
            <w:tcW w:w="257" w:type="dxa"/>
            <w:tcBorders/>
            <w:shd w:fill="auto" w:val="clear"/>
            <w:vAlign w:val="center"/>
          </w:tcPr>
          <w:p>
            <w:pPr>
              <w:pStyle w:val="TableContents"/>
              <w:spacing w:before="0" w:after="283"/>
              <w:rPr/>
            </w:pPr>
            <w:r>
              <w:rPr/>
              <w:t>)</w:t>
            </w:r>
          </w:p>
        </w:tc>
        <w:tc>
          <w:tcPr>
            <w:tcW w:w="257"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117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2,427 </w:t>
            </w:r>
          </w:p>
        </w:tc>
        <w:tc>
          <w:tcPr>
            <w:tcW w:w="240" w:type="dxa"/>
            <w:tcBorders/>
            <w:shd w:fill="auto" w:val="clear"/>
            <w:vAlign w:val="center"/>
          </w:tcPr>
          <w:p>
            <w:pPr>
              <w:pStyle w:val="TableContents"/>
              <w:spacing w:before="0" w:after="0"/>
              <w:ind w:left="0" w:right="0" w:hanging="0"/>
              <w:rPr/>
            </w:pPr>
            <w:r>
              <w:rPr/>
              <w:t xml:space="preserve">  </w:t>
            </w:r>
          </w:p>
        </w:tc>
      </w:tr>
      <w:tr>
        <w:trPr/>
        <w:tc>
          <w:tcPr>
            <w:tcW w:w="463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Change in valuation allowance </w:t>
            </w:r>
          </w:p>
        </w:tc>
        <w:tc>
          <w:tcPr>
            <w:tcW w:w="212" w:type="dxa"/>
            <w:tcBorders/>
            <w:shd w:fill="CCEEFF"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73"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2,602</w:t>
            </w:r>
          </w:p>
        </w:tc>
        <w:tc>
          <w:tcPr>
            <w:tcW w:w="257" w:type="dxa"/>
            <w:tcBorders/>
            <w:shd w:fill="CCEEFF" w:val="clear"/>
            <w:vAlign w:val="center"/>
          </w:tcPr>
          <w:p>
            <w:pPr>
              <w:pStyle w:val="TableContents"/>
              <w:spacing w:before="0" w:after="283"/>
              <w:rPr>
                <w:sz w:val="4"/>
                <w:szCs w:val="4"/>
              </w:rPr>
            </w:pPr>
            <w:r>
              <w:rPr>
                <w:sz w:val="4"/>
                <w:szCs w:val="4"/>
              </w:rPr>
            </w:r>
          </w:p>
        </w:tc>
        <w:tc>
          <w:tcPr>
            <w:tcW w:w="257" w:type="dxa"/>
            <w:tcBorders/>
            <w:shd w:fill="CCEEFF"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72"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(2,427</w:t>
            </w:r>
          </w:p>
        </w:tc>
        <w:tc>
          <w:tcPr>
            <w:tcW w:w="240" w:type="dxa"/>
            <w:tcBorders/>
            <w:shd w:fill="CCEEFF" w:val="clear"/>
            <w:vAlign w:val="center"/>
          </w:tcPr>
          <w:p>
            <w:pPr>
              <w:pStyle w:val="TableContents"/>
              <w:spacing w:before="0" w:after="283"/>
              <w:rPr/>
            </w:pPr>
            <w:r>
              <w:rPr/>
              <w:t>)</w:t>
            </w:r>
          </w:p>
        </w:tc>
      </w:tr>
      <w:tr>
        <w:trPr/>
        <w:tc>
          <w:tcPr>
            <w:tcW w:w="46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deferred </w:t>
            </w:r>
          </w:p>
        </w:tc>
        <w:tc>
          <w:tcPr>
            <w:tcW w:w="212" w:type="dxa"/>
            <w:tcBorders/>
            <w:shd w:fill="auto"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173"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 xml:space="preserve">— </w:t>
            </w:r>
          </w:p>
        </w:tc>
        <w:tc>
          <w:tcPr>
            <w:tcW w:w="257" w:type="dxa"/>
            <w:tcBorders/>
            <w:shd w:fill="auto" w:val="clear"/>
            <w:vAlign w:val="center"/>
          </w:tcPr>
          <w:p>
            <w:pPr>
              <w:pStyle w:val="TableContents"/>
              <w:spacing w:before="0" w:after="0"/>
              <w:ind w:left="0" w:right="0" w:hanging="0"/>
              <w:rPr/>
            </w:pPr>
            <w:r>
              <w:rPr/>
            </w:r>
          </w:p>
        </w:tc>
        <w:tc>
          <w:tcPr>
            <w:tcW w:w="257" w:type="dxa"/>
            <w:tcBorders/>
            <w:shd w:fill="auto" w:val="clear"/>
            <w:vAlign w:val="center"/>
          </w:tcPr>
          <w:p>
            <w:pPr>
              <w:pStyle w:val="TableContents"/>
              <w:spacing w:before="0" w:after="0"/>
              <w:ind w:left="0" w:right="0" w:hanging="0"/>
              <w:rPr/>
            </w:pPr>
            <w:r>
              <w:rPr/>
              <w:t xml:space="preserve">  </w:t>
            </w:r>
          </w:p>
        </w:tc>
        <w:tc>
          <w:tcPr>
            <w:tcW w:w="36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172"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40" w:type="dxa"/>
            <w:tcBorders/>
            <w:shd w:fill="auto" w:val="clear"/>
            <w:vAlign w:val="center"/>
          </w:tcPr>
          <w:p>
            <w:pPr>
              <w:pStyle w:val="TableContents"/>
              <w:spacing w:before="0" w:after="283"/>
              <w:rPr>
                <w:sz w:val="4"/>
                <w:szCs w:val="4"/>
              </w:rPr>
            </w:pPr>
            <w:r>
              <w:rPr>
                <w:sz w:val="4"/>
                <w:szCs w:val="4"/>
              </w:rPr>
            </w:r>
          </w:p>
        </w:tc>
      </w:tr>
      <w:tr>
        <w:trPr/>
        <w:tc>
          <w:tcPr>
            <w:tcW w:w="463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Tax benefit (provision)</w:t>
            </w:r>
          </w:p>
        </w:tc>
        <w:tc>
          <w:tcPr>
            <w:tcW w:w="212" w:type="dxa"/>
            <w:tcBorders/>
            <w:shd w:fill="CCEEFF" w:val="clear"/>
            <w:vAlign w:val="center"/>
          </w:tcPr>
          <w:p>
            <w:pPr>
              <w:pStyle w:val="TableContents"/>
              <w:spacing w:before="0" w:after="0"/>
              <w:ind w:left="0" w:right="0" w:hanging="0"/>
              <w:rPr/>
            </w:pPr>
            <w:r>
              <w:rPr/>
              <w:t xml:space="preserve">  </w:t>
            </w:r>
          </w:p>
        </w:tc>
        <w:tc>
          <w:tcPr>
            <w:tcW w:w="36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6,429</w:t>
            </w:r>
          </w:p>
        </w:tc>
        <w:tc>
          <w:tcPr>
            <w:tcW w:w="257" w:type="dxa"/>
            <w:tcBorders/>
            <w:shd w:fill="CCEEFF" w:val="clear"/>
            <w:vAlign w:val="center"/>
          </w:tcPr>
          <w:p>
            <w:pPr>
              <w:pStyle w:val="TableContents"/>
              <w:spacing w:before="0" w:after="283"/>
              <w:rPr>
                <w:sz w:val="4"/>
                <w:szCs w:val="4"/>
              </w:rPr>
            </w:pPr>
            <w:r>
              <w:rPr>
                <w:sz w:val="4"/>
                <w:szCs w:val="4"/>
              </w:rPr>
            </w:r>
          </w:p>
        </w:tc>
        <w:tc>
          <w:tcPr>
            <w:tcW w:w="257" w:type="dxa"/>
            <w:tcBorders/>
            <w:shd w:fill="CCEEFF" w:val="clear"/>
            <w:vAlign w:val="center"/>
          </w:tcPr>
          <w:p>
            <w:pPr>
              <w:pStyle w:val="TableContents"/>
              <w:spacing w:before="0" w:after="0"/>
              <w:ind w:left="0" w:right="0" w:hanging="0"/>
              <w:rPr/>
            </w:pPr>
            <w:r>
              <w:rPr/>
              <w:t xml:space="preserve">  </w:t>
            </w:r>
          </w:p>
        </w:tc>
        <w:tc>
          <w:tcPr>
            <w:tcW w:w="36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(56</w:t>
            </w:r>
          </w:p>
        </w:tc>
        <w:tc>
          <w:tcPr>
            <w:tcW w:w="240" w:type="dxa"/>
            <w:tcBorders/>
            <w:shd w:fill="CCEEFF" w:val="clear"/>
            <w:vAlign w:val="center"/>
          </w:tcPr>
          <w:p>
            <w:pPr>
              <w:pStyle w:val="TableContents"/>
              <w:spacing w:before="0" w:after="283"/>
              <w:rPr/>
            </w:pPr>
            <w:r>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The income tax (provision) differs from that computed at the federal statutory corporate income tax rate as follows:</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862"/>
        <w:gridCol w:w="148"/>
        <w:gridCol w:w="256"/>
        <w:gridCol w:w="801"/>
        <w:gridCol w:w="180"/>
        <w:gridCol w:w="181"/>
        <w:gridCol w:w="257"/>
        <w:gridCol w:w="822"/>
        <w:gridCol w:w="167"/>
      </w:tblGrid>
      <w:tr>
        <w:trPr/>
        <w:tc>
          <w:tcPr>
            <w:tcW w:w="5862" w:type="dxa"/>
            <w:tcBorders/>
            <w:shd w:fill="auto" w:val="clear"/>
            <w:vAlign w:val="center"/>
          </w:tcPr>
          <w:p>
            <w:pPr>
              <w:pStyle w:val="TableContents"/>
              <w:spacing w:before="0" w:after="0"/>
              <w:ind w:left="0" w:right="0" w:hanging="0"/>
              <w:rPr/>
            </w:pPr>
            <w:r>
              <w:rPr/>
              <w:t xml:space="preserve">  </w:t>
            </w:r>
          </w:p>
        </w:tc>
        <w:tc>
          <w:tcPr>
            <w:tcW w:w="148" w:type="dxa"/>
            <w:tcBorders/>
            <w:shd w:fill="auto" w:val="clear"/>
            <w:vAlign w:val="center"/>
          </w:tcPr>
          <w:p>
            <w:pPr>
              <w:pStyle w:val="TableContents"/>
              <w:spacing w:before="0" w:after="0"/>
              <w:ind w:left="0" w:right="0" w:hanging="0"/>
              <w:rPr/>
            </w:pPr>
            <w:r>
              <w:rPr/>
              <w:t xml:space="preserve">  </w:t>
            </w:r>
          </w:p>
        </w:tc>
        <w:tc>
          <w:tcPr>
            <w:tcW w:w="2497"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167" w:type="dxa"/>
            <w:tcBorders/>
            <w:shd w:fill="auto" w:val="clear"/>
            <w:vAlign w:val="center"/>
          </w:tcPr>
          <w:p>
            <w:pPr>
              <w:pStyle w:val="TableContents"/>
              <w:spacing w:before="0" w:after="0"/>
              <w:ind w:left="0" w:right="0" w:hanging="0"/>
              <w:rPr/>
            </w:pPr>
            <w:r>
              <w:rPr/>
              <w:t xml:space="preserve">  </w:t>
            </w:r>
          </w:p>
        </w:tc>
      </w:tr>
      <w:tr>
        <w:trPr/>
        <w:tc>
          <w:tcPr>
            <w:tcW w:w="5862" w:type="dxa"/>
            <w:tcBorders/>
            <w:shd w:fill="auto" w:val="clear"/>
            <w:vAlign w:val="center"/>
          </w:tcPr>
          <w:p>
            <w:pPr>
              <w:pStyle w:val="TableContents"/>
              <w:spacing w:before="0" w:after="0"/>
              <w:ind w:left="0" w:right="0" w:hanging="0"/>
              <w:rPr/>
            </w:pPr>
            <w:r>
              <w:rPr/>
              <w:t xml:space="preserve">  </w:t>
            </w:r>
          </w:p>
        </w:tc>
        <w:tc>
          <w:tcPr>
            <w:tcW w:w="148" w:type="dxa"/>
            <w:tcBorders/>
            <w:shd w:fill="auto" w:val="clear"/>
            <w:vAlign w:val="center"/>
          </w:tcPr>
          <w:p>
            <w:pPr>
              <w:pStyle w:val="TableContents"/>
              <w:spacing w:before="0" w:after="0"/>
              <w:ind w:left="0" w:right="0" w:hanging="0"/>
              <w:rPr/>
            </w:pPr>
            <w:r>
              <w:rPr/>
              <w:t xml:space="preserve">  </w:t>
            </w:r>
          </w:p>
        </w:tc>
        <w:tc>
          <w:tcPr>
            <w:tcW w:w="105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2020 </w:t>
            </w:r>
          </w:p>
        </w:tc>
        <w:tc>
          <w:tcPr>
            <w:tcW w:w="180" w:type="dxa"/>
            <w:tcBorders/>
            <w:shd w:fill="auto" w:val="clear"/>
            <w:vAlign w:val="center"/>
          </w:tcPr>
          <w:p>
            <w:pPr>
              <w:pStyle w:val="TableContents"/>
              <w:spacing w:before="0" w:after="0"/>
              <w:ind w:left="0" w:right="0" w:hanging="0"/>
              <w:rPr/>
            </w:pPr>
            <w:r>
              <w:rPr/>
              <w:t xml:space="preserve">  </w:t>
            </w:r>
          </w:p>
        </w:tc>
        <w:tc>
          <w:tcPr>
            <w:tcW w:w="181" w:type="dxa"/>
            <w:tcBorders/>
            <w:shd w:fill="auto" w:val="clear"/>
            <w:vAlign w:val="center"/>
          </w:tcPr>
          <w:p>
            <w:pPr>
              <w:pStyle w:val="TableContents"/>
              <w:spacing w:before="0" w:after="0"/>
              <w:ind w:left="0" w:right="0" w:hanging="0"/>
              <w:rPr/>
            </w:pPr>
            <w:r>
              <w:rPr/>
              <w:t xml:space="preserve">  </w:t>
            </w:r>
          </w:p>
        </w:tc>
        <w:tc>
          <w:tcPr>
            <w:tcW w:w="107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2019 </w:t>
            </w:r>
          </w:p>
        </w:tc>
        <w:tc>
          <w:tcPr>
            <w:tcW w:w="167" w:type="dxa"/>
            <w:tcBorders/>
            <w:shd w:fill="auto" w:val="clear"/>
            <w:vAlign w:val="center"/>
          </w:tcPr>
          <w:p>
            <w:pPr>
              <w:pStyle w:val="TableContents"/>
              <w:spacing w:before="0" w:after="0"/>
              <w:ind w:left="0" w:right="0" w:hanging="0"/>
              <w:rPr/>
            </w:pPr>
            <w:r>
              <w:rPr/>
              <w:t xml:space="preserve">  </w:t>
            </w:r>
          </w:p>
        </w:tc>
      </w:tr>
      <w:tr>
        <w:trPr/>
        <w:tc>
          <w:tcPr>
            <w:tcW w:w="58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Tax benefit at federal statutory rate </w:t>
            </w:r>
          </w:p>
        </w:tc>
        <w:tc>
          <w:tcPr>
            <w:tcW w:w="148" w:type="dxa"/>
            <w:tcBorders/>
            <w:shd w:fill="CCEEFF" w:val="clear"/>
            <w:vAlign w:val="center"/>
          </w:tcPr>
          <w:p>
            <w:pPr>
              <w:pStyle w:val="TableContents"/>
              <w:spacing w:before="0" w:after="0"/>
              <w:ind w:left="0" w:right="0" w:hanging="0"/>
              <w:rPr/>
            </w:pPr>
            <w:r>
              <w:rPr/>
              <w:t xml:space="preserve">  </w:t>
            </w:r>
          </w:p>
        </w:tc>
        <w:tc>
          <w:tcPr>
            <w:tcW w:w="25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0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1,244 </w:t>
            </w:r>
          </w:p>
        </w:tc>
        <w:tc>
          <w:tcPr>
            <w:tcW w:w="180" w:type="dxa"/>
            <w:tcBorders/>
            <w:shd w:fill="CCEEFF" w:val="clear"/>
            <w:vAlign w:val="center"/>
          </w:tcPr>
          <w:p>
            <w:pPr>
              <w:pStyle w:val="TableContents"/>
              <w:spacing w:before="0" w:after="0"/>
              <w:ind w:left="0" w:right="0" w:hanging="0"/>
              <w:rPr/>
            </w:pPr>
            <w:r>
              <w:rPr/>
              <w:t xml:space="preserve">  </w:t>
            </w:r>
          </w:p>
        </w:tc>
        <w:tc>
          <w:tcPr>
            <w:tcW w:w="181" w:type="dxa"/>
            <w:tcBorders/>
            <w:shd w:fill="CCEEFF" w:val="clear"/>
            <w:vAlign w:val="center"/>
          </w:tcPr>
          <w:p>
            <w:pPr>
              <w:pStyle w:val="TableContents"/>
              <w:spacing w:before="0" w:after="0"/>
              <w:ind w:left="0" w:right="0" w:hanging="0"/>
              <w:rPr/>
            </w:pPr>
            <w:r>
              <w:rPr/>
              <w:t xml:space="preserve">  </w:t>
            </w:r>
          </w:p>
        </w:tc>
        <w:tc>
          <w:tcPr>
            <w:tcW w:w="25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2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1,754 </w:t>
            </w:r>
          </w:p>
        </w:tc>
        <w:tc>
          <w:tcPr>
            <w:tcW w:w="167" w:type="dxa"/>
            <w:tcBorders/>
            <w:shd w:fill="CCEEFF" w:val="clear"/>
            <w:vAlign w:val="center"/>
          </w:tcPr>
          <w:p>
            <w:pPr>
              <w:pStyle w:val="TableContents"/>
              <w:spacing w:before="0" w:after="0"/>
              <w:ind w:left="0" w:right="0" w:hanging="0"/>
              <w:rPr/>
            </w:pPr>
            <w:r>
              <w:rPr/>
              <w:t xml:space="preserve">  </w:t>
            </w:r>
          </w:p>
        </w:tc>
      </w:tr>
      <w:tr>
        <w:trPr/>
        <w:tc>
          <w:tcPr>
            <w:tcW w:w="58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 income tax benefit (provision), net of federal benefit </w:t>
            </w:r>
          </w:p>
        </w:tc>
        <w:tc>
          <w:tcPr>
            <w:tcW w:w="148" w:type="dxa"/>
            <w:tcBorders/>
            <w:shd w:fill="auto" w:val="clear"/>
            <w:vAlign w:val="center"/>
          </w:tcPr>
          <w:p>
            <w:pPr>
              <w:pStyle w:val="TableContents"/>
              <w:spacing w:before="0" w:after="0"/>
              <w:ind w:left="0" w:right="0" w:hanging="0"/>
              <w:rPr/>
            </w:pPr>
            <w:r>
              <w:rPr/>
              <w:t xml:space="preserve">  </w:t>
            </w:r>
          </w:p>
        </w:tc>
        <w:tc>
          <w:tcPr>
            <w:tcW w:w="256" w:type="dxa"/>
            <w:tcBorders/>
            <w:shd w:fill="auto" w:val="clear"/>
            <w:vAlign w:val="center"/>
          </w:tcPr>
          <w:p>
            <w:pPr>
              <w:pStyle w:val="TableContents"/>
              <w:spacing w:before="0" w:after="0"/>
              <w:ind w:left="0" w:right="0" w:hanging="0"/>
              <w:rPr/>
            </w:pPr>
            <w:r>
              <w:rPr/>
              <w:t xml:space="preserve">  </w:t>
            </w:r>
          </w:p>
        </w:tc>
        <w:tc>
          <w:tcPr>
            <w:tcW w:w="80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244 </w:t>
            </w:r>
          </w:p>
        </w:tc>
        <w:tc>
          <w:tcPr>
            <w:tcW w:w="180" w:type="dxa"/>
            <w:tcBorders/>
            <w:shd w:fill="auto" w:val="clear"/>
            <w:vAlign w:val="center"/>
          </w:tcPr>
          <w:p>
            <w:pPr>
              <w:pStyle w:val="TableContents"/>
              <w:spacing w:before="0" w:after="0"/>
              <w:ind w:left="0" w:right="0" w:hanging="0"/>
              <w:rPr/>
            </w:pPr>
            <w:r>
              <w:rPr/>
              <w:t xml:space="preserve">  </w:t>
            </w:r>
          </w:p>
        </w:tc>
        <w:tc>
          <w:tcPr>
            <w:tcW w:w="181" w:type="dxa"/>
            <w:tcBorders/>
            <w:shd w:fill="auto" w:val="clear"/>
            <w:vAlign w:val="center"/>
          </w:tcPr>
          <w:p>
            <w:pPr>
              <w:pStyle w:val="TableContents"/>
              <w:spacing w:before="0" w:after="0"/>
              <w:ind w:left="0" w:right="0" w:hanging="0"/>
              <w:rPr/>
            </w:pPr>
            <w:r>
              <w:rPr/>
              <w:t xml:space="preserve">  </w:t>
            </w:r>
          </w:p>
        </w:tc>
        <w:tc>
          <w:tcPr>
            <w:tcW w:w="257" w:type="dxa"/>
            <w:tcBorders/>
            <w:shd w:fill="auto" w:val="clear"/>
            <w:vAlign w:val="center"/>
          </w:tcPr>
          <w:p>
            <w:pPr>
              <w:pStyle w:val="TableContents"/>
              <w:spacing w:before="0" w:after="0"/>
              <w:ind w:left="0" w:right="0" w:hanging="0"/>
              <w:rPr/>
            </w:pPr>
            <w:r>
              <w:rPr/>
              <w:t xml:space="preserve">  </w:t>
            </w:r>
          </w:p>
        </w:tc>
        <w:tc>
          <w:tcPr>
            <w:tcW w:w="82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318 </w:t>
            </w:r>
          </w:p>
        </w:tc>
        <w:tc>
          <w:tcPr>
            <w:tcW w:w="167" w:type="dxa"/>
            <w:tcBorders/>
            <w:shd w:fill="auto" w:val="clear"/>
            <w:vAlign w:val="center"/>
          </w:tcPr>
          <w:p>
            <w:pPr>
              <w:pStyle w:val="TableContents"/>
              <w:spacing w:before="0" w:after="0"/>
              <w:ind w:left="0" w:right="0" w:hanging="0"/>
              <w:rPr/>
            </w:pPr>
            <w:r>
              <w:rPr/>
              <w:t xml:space="preserve">  </w:t>
            </w:r>
          </w:p>
        </w:tc>
      </w:tr>
      <w:tr>
        <w:trPr/>
        <w:tc>
          <w:tcPr>
            <w:tcW w:w="58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Research and development tax credits </w:t>
            </w:r>
          </w:p>
        </w:tc>
        <w:tc>
          <w:tcPr>
            <w:tcW w:w="148" w:type="dxa"/>
            <w:tcBorders/>
            <w:shd w:fill="CCEEFF" w:val="clear"/>
            <w:vAlign w:val="center"/>
          </w:tcPr>
          <w:p>
            <w:pPr>
              <w:pStyle w:val="TableContents"/>
              <w:spacing w:before="0" w:after="0"/>
              <w:ind w:left="0" w:right="0" w:hanging="0"/>
              <w:rPr/>
            </w:pPr>
            <w:r>
              <w:rPr/>
              <w:t xml:space="preserve">  </w:t>
            </w:r>
          </w:p>
        </w:tc>
        <w:tc>
          <w:tcPr>
            <w:tcW w:w="256" w:type="dxa"/>
            <w:tcBorders/>
            <w:shd w:fill="CCEEFF" w:val="clear"/>
            <w:vAlign w:val="center"/>
          </w:tcPr>
          <w:p>
            <w:pPr>
              <w:pStyle w:val="TableContents"/>
              <w:spacing w:before="0" w:after="0"/>
              <w:ind w:left="0" w:right="0" w:hanging="0"/>
              <w:rPr/>
            </w:pPr>
            <w:r>
              <w:rPr/>
              <w:t xml:space="preserve">  </w:t>
            </w:r>
          </w:p>
        </w:tc>
        <w:tc>
          <w:tcPr>
            <w:tcW w:w="80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272 </w:t>
            </w:r>
          </w:p>
        </w:tc>
        <w:tc>
          <w:tcPr>
            <w:tcW w:w="180" w:type="dxa"/>
            <w:tcBorders/>
            <w:shd w:fill="CCEEFF" w:val="clear"/>
            <w:vAlign w:val="center"/>
          </w:tcPr>
          <w:p>
            <w:pPr>
              <w:pStyle w:val="TableContents"/>
              <w:spacing w:before="0" w:after="0"/>
              <w:ind w:left="0" w:right="0" w:hanging="0"/>
              <w:rPr/>
            </w:pPr>
            <w:r>
              <w:rPr/>
              <w:t xml:space="preserve">  </w:t>
            </w:r>
          </w:p>
        </w:tc>
        <w:tc>
          <w:tcPr>
            <w:tcW w:w="181" w:type="dxa"/>
            <w:tcBorders/>
            <w:shd w:fill="CCEEFF" w:val="clear"/>
            <w:vAlign w:val="center"/>
          </w:tcPr>
          <w:p>
            <w:pPr>
              <w:pStyle w:val="TableContents"/>
              <w:spacing w:before="0" w:after="0"/>
              <w:ind w:left="0" w:right="0" w:hanging="0"/>
              <w:rPr/>
            </w:pPr>
            <w:r>
              <w:rPr/>
              <w:t xml:space="preserve">  </w:t>
            </w:r>
          </w:p>
        </w:tc>
        <w:tc>
          <w:tcPr>
            <w:tcW w:w="257" w:type="dxa"/>
            <w:tcBorders/>
            <w:shd w:fill="CCEEFF" w:val="clear"/>
            <w:vAlign w:val="center"/>
          </w:tcPr>
          <w:p>
            <w:pPr>
              <w:pStyle w:val="TableContents"/>
              <w:spacing w:before="0" w:after="0"/>
              <w:ind w:left="0" w:right="0" w:hanging="0"/>
              <w:rPr/>
            </w:pPr>
            <w:r>
              <w:rPr/>
              <w:t xml:space="preserve">  </w:t>
            </w:r>
          </w:p>
        </w:tc>
        <w:tc>
          <w:tcPr>
            <w:tcW w:w="82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290 </w:t>
            </w:r>
          </w:p>
        </w:tc>
        <w:tc>
          <w:tcPr>
            <w:tcW w:w="167" w:type="dxa"/>
            <w:tcBorders/>
            <w:shd w:fill="CCEEFF" w:val="clear"/>
            <w:vAlign w:val="center"/>
          </w:tcPr>
          <w:p>
            <w:pPr>
              <w:pStyle w:val="TableContents"/>
              <w:spacing w:before="0" w:after="0"/>
              <w:ind w:left="0" w:right="0" w:hanging="0"/>
              <w:rPr/>
            </w:pPr>
            <w:r>
              <w:rPr/>
              <w:t xml:space="preserve">  </w:t>
            </w:r>
          </w:p>
        </w:tc>
      </w:tr>
      <w:tr>
        <w:trPr/>
        <w:tc>
          <w:tcPr>
            <w:tcW w:w="58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Foreign earnings or losses taxed at different rates </w:t>
            </w:r>
          </w:p>
        </w:tc>
        <w:tc>
          <w:tcPr>
            <w:tcW w:w="148" w:type="dxa"/>
            <w:tcBorders/>
            <w:shd w:fill="auto" w:val="clear"/>
            <w:vAlign w:val="center"/>
          </w:tcPr>
          <w:p>
            <w:pPr>
              <w:pStyle w:val="TableContents"/>
              <w:spacing w:before="0" w:after="0"/>
              <w:ind w:left="0" w:right="0" w:hanging="0"/>
              <w:rPr/>
            </w:pPr>
            <w:r>
              <w:rPr/>
              <w:t xml:space="preserve">  </w:t>
            </w:r>
          </w:p>
        </w:tc>
        <w:tc>
          <w:tcPr>
            <w:tcW w:w="256" w:type="dxa"/>
            <w:tcBorders/>
            <w:shd w:fill="auto" w:val="clear"/>
            <w:vAlign w:val="center"/>
          </w:tcPr>
          <w:p>
            <w:pPr>
              <w:pStyle w:val="TableContents"/>
              <w:spacing w:before="0" w:after="0"/>
              <w:ind w:left="0" w:right="0" w:hanging="0"/>
              <w:rPr/>
            </w:pPr>
            <w:r>
              <w:rPr/>
              <w:t xml:space="preserve">  </w:t>
            </w:r>
          </w:p>
        </w:tc>
        <w:tc>
          <w:tcPr>
            <w:tcW w:w="80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(38</w:t>
            </w:r>
          </w:p>
        </w:tc>
        <w:tc>
          <w:tcPr>
            <w:tcW w:w="180" w:type="dxa"/>
            <w:tcBorders/>
            <w:shd w:fill="auto" w:val="clear"/>
            <w:vAlign w:val="center"/>
          </w:tcPr>
          <w:p>
            <w:pPr>
              <w:pStyle w:val="TableContents"/>
              <w:spacing w:before="0" w:after="283"/>
              <w:rPr/>
            </w:pPr>
            <w:r>
              <w:rPr/>
              <w:t>)</w:t>
            </w:r>
          </w:p>
        </w:tc>
        <w:tc>
          <w:tcPr>
            <w:tcW w:w="181" w:type="dxa"/>
            <w:tcBorders/>
            <w:shd w:fill="auto" w:val="clear"/>
            <w:vAlign w:val="center"/>
          </w:tcPr>
          <w:p>
            <w:pPr>
              <w:pStyle w:val="TableContents"/>
              <w:spacing w:before="0" w:after="0"/>
              <w:ind w:left="0" w:right="0" w:hanging="0"/>
              <w:rPr/>
            </w:pPr>
            <w:r>
              <w:rPr/>
              <w:t xml:space="preserve">  </w:t>
            </w:r>
          </w:p>
        </w:tc>
        <w:tc>
          <w:tcPr>
            <w:tcW w:w="257" w:type="dxa"/>
            <w:tcBorders/>
            <w:shd w:fill="auto" w:val="clear"/>
            <w:vAlign w:val="center"/>
          </w:tcPr>
          <w:p>
            <w:pPr>
              <w:pStyle w:val="TableContents"/>
              <w:spacing w:before="0" w:after="0"/>
              <w:ind w:left="0" w:right="0" w:hanging="0"/>
              <w:rPr/>
            </w:pPr>
            <w:r>
              <w:rPr/>
              <w:t xml:space="preserve">  </w:t>
            </w:r>
          </w:p>
        </w:tc>
        <w:tc>
          <w:tcPr>
            <w:tcW w:w="82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w:t>
            </w:r>
          </w:p>
        </w:tc>
        <w:tc>
          <w:tcPr>
            <w:tcW w:w="167" w:type="dxa"/>
            <w:tcBorders/>
            <w:shd w:fill="auto" w:val="clear"/>
            <w:vAlign w:val="center"/>
          </w:tcPr>
          <w:p>
            <w:pPr>
              <w:pStyle w:val="TableContents"/>
              <w:spacing w:before="0" w:after="283"/>
              <w:rPr/>
            </w:pPr>
            <w:r>
              <w:rPr/>
              <w:t>)</w:t>
            </w:r>
          </w:p>
        </w:tc>
      </w:tr>
      <w:tr>
        <w:trPr/>
        <w:tc>
          <w:tcPr>
            <w:tcW w:w="58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Tax rate change, due primarily to loss carryback</w:t>
            </w:r>
          </w:p>
        </w:tc>
        <w:tc>
          <w:tcPr>
            <w:tcW w:w="148" w:type="dxa"/>
            <w:tcBorders/>
            <w:shd w:fill="CCEEFF" w:val="clear"/>
            <w:vAlign w:val="center"/>
          </w:tcPr>
          <w:p>
            <w:pPr>
              <w:pStyle w:val="TableContents"/>
              <w:spacing w:before="0" w:after="0"/>
              <w:ind w:left="0" w:right="0" w:hanging="0"/>
              <w:rPr/>
            </w:pPr>
            <w:r>
              <w:rPr/>
              <w:t xml:space="preserve">  </w:t>
            </w:r>
          </w:p>
        </w:tc>
        <w:tc>
          <w:tcPr>
            <w:tcW w:w="256" w:type="dxa"/>
            <w:tcBorders/>
            <w:shd w:fill="CCEEFF" w:val="clear"/>
            <w:vAlign w:val="center"/>
          </w:tcPr>
          <w:p>
            <w:pPr>
              <w:pStyle w:val="TableContents"/>
              <w:spacing w:before="0" w:after="0"/>
              <w:ind w:left="0" w:right="0" w:hanging="0"/>
              <w:rPr/>
            </w:pPr>
            <w:r>
              <w:rPr/>
              <w:t xml:space="preserve">  </w:t>
            </w:r>
          </w:p>
        </w:tc>
        <w:tc>
          <w:tcPr>
            <w:tcW w:w="80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2,720</w:t>
            </w:r>
          </w:p>
        </w:tc>
        <w:tc>
          <w:tcPr>
            <w:tcW w:w="180"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0"/>
              <w:ind w:left="0" w:right="0" w:hanging="0"/>
              <w:rPr/>
            </w:pPr>
            <w:r>
              <w:rPr/>
              <w:t xml:space="preserve">  </w:t>
            </w:r>
          </w:p>
        </w:tc>
        <w:tc>
          <w:tcPr>
            <w:tcW w:w="257" w:type="dxa"/>
            <w:tcBorders/>
            <w:shd w:fill="CCEEFF" w:val="clear"/>
            <w:vAlign w:val="center"/>
          </w:tcPr>
          <w:p>
            <w:pPr>
              <w:pStyle w:val="TableContents"/>
              <w:spacing w:before="0" w:after="0"/>
              <w:ind w:left="0" w:right="0" w:hanging="0"/>
              <w:rPr/>
            </w:pPr>
            <w:r>
              <w:rPr/>
              <w:t xml:space="preserve">  </w:t>
            </w:r>
          </w:p>
        </w:tc>
        <w:tc>
          <w:tcPr>
            <w:tcW w:w="82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c>
          <w:tcPr>
            <w:tcW w:w="167" w:type="dxa"/>
            <w:tcBorders/>
            <w:shd w:fill="CCEEFF" w:val="clear"/>
            <w:vAlign w:val="center"/>
          </w:tcPr>
          <w:p>
            <w:pPr>
              <w:pStyle w:val="TableContents"/>
              <w:spacing w:before="0" w:after="283"/>
              <w:rPr/>
            </w:pPr>
            <w:r>
              <w:rPr/>
              <w:t>)</w:t>
            </w:r>
          </w:p>
        </w:tc>
      </w:tr>
      <w:tr>
        <w:trPr/>
        <w:tc>
          <w:tcPr>
            <w:tcW w:w="58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w:t>
            </w:r>
          </w:p>
        </w:tc>
        <w:tc>
          <w:tcPr>
            <w:tcW w:w="148" w:type="dxa"/>
            <w:tcBorders/>
            <w:shd w:fill="auto" w:val="clear"/>
            <w:vAlign w:val="center"/>
          </w:tcPr>
          <w:p>
            <w:pPr>
              <w:pStyle w:val="TableContents"/>
              <w:spacing w:before="0" w:after="0"/>
              <w:ind w:left="0" w:right="0" w:hanging="0"/>
              <w:rPr/>
            </w:pPr>
            <w:r>
              <w:rPr/>
              <w:t xml:space="preserve">  </w:t>
            </w:r>
          </w:p>
        </w:tc>
        <w:tc>
          <w:tcPr>
            <w:tcW w:w="256" w:type="dxa"/>
            <w:tcBorders/>
            <w:shd w:fill="auto" w:val="clear"/>
            <w:vAlign w:val="center"/>
          </w:tcPr>
          <w:p>
            <w:pPr>
              <w:pStyle w:val="TableContents"/>
              <w:spacing w:before="0" w:after="0"/>
              <w:ind w:left="0" w:right="0" w:hanging="0"/>
              <w:rPr/>
            </w:pPr>
            <w:r>
              <w:rPr/>
              <w:t xml:space="preserve">  </w:t>
            </w:r>
          </w:p>
        </w:tc>
        <w:tc>
          <w:tcPr>
            <w:tcW w:w="80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(615</w:t>
            </w:r>
          </w:p>
        </w:tc>
        <w:tc>
          <w:tcPr>
            <w:tcW w:w="180" w:type="dxa"/>
            <w:tcBorders/>
            <w:shd w:fill="auto" w:val="clear"/>
            <w:vAlign w:val="center"/>
          </w:tcPr>
          <w:p>
            <w:pPr>
              <w:pStyle w:val="TableContents"/>
              <w:spacing w:before="0" w:after="283"/>
              <w:rPr/>
            </w:pPr>
            <w:r>
              <w:rPr/>
              <w:t>)</w:t>
            </w:r>
          </w:p>
        </w:tc>
        <w:tc>
          <w:tcPr>
            <w:tcW w:w="181" w:type="dxa"/>
            <w:tcBorders/>
            <w:shd w:fill="auto" w:val="clear"/>
            <w:vAlign w:val="center"/>
          </w:tcPr>
          <w:p>
            <w:pPr>
              <w:pStyle w:val="TableContents"/>
              <w:spacing w:before="0" w:after="0"/>
              <w:ind w:left="0" w:right="0" w:hanging="0"/>
              <w:rPr/>
            </w:pPr>
            <w:r>
              <w:rPr/>
              <w:t xml:space="preserve">  </w:t>
            </w:r>
          </w:p>
        </w:tc>
        <w:tc>
          <w:tcPr>
            <w:tcW w:w="257" w:type="dxa"/>
            <w:tcBorders/>
            <w:shd w:fill="auto" w:val="clear"/>
            <w:vAlign w:val="center"/>
          </w:tcPr>
          <w:p>
            <w:pPr>
              <w:pStyle w:val="TableContents"/>
              <w:spacing w:before="0" w:after="0"/>
              <w:ind w:left="0" w:right="0" w:hanging="0"/>
              <w:rPr/>
            </w:pPr>
            <w:r>
              <w:rPr/>
              <w:t xml:space="preserve">  </w:t>
            </w:r>
          </w:p>
        </w:tc>
        <w:tc>
          <w:tcPr>
            <w:tcW w:w="82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67 </w:t>
            </w:r>
          </w:p>
        </w:tc>
        <w:tc>
          <w:tcPr>
            <w:tcW w:w="167" w:type="dxa"/>
            <w:tcBorders/>
            <w:shd w:fill="auto" w:val="clear"/>
            <w:vAlign w:val="center"/>
          </w:tcPr>
          <w:p>
            <w:pPr>
              <w:pStyle w:val="TableContents"/>
              <w:spacing w:before="0" w:after="0"/>
              <w:ind w:left="0" w:right="0" w:hanging="0"/>
              <w:rPr/>
            </w:pPr>
            <w:r>
              <w:rPr/>
              <w:t xml:space="preserve">  </w:t>
            </w:r>
          </w:p>
        </w:tc>
      </w:tr>
      <w:tr>
        <w:trPr/>
        <w:tc>
          <w:tcPr>
            <w:tcW w:w="58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Change in valuation allowance </w:t>
            </w:r>
          </w:p>
        </w:tc>
        <w:tc>
          <w:tcPr>
            <w:tcW w:w="148" w:type="dxa"/>
            <w:tcBorders/>
            <w:shd w:fill="CCEEFF" w:val="clear"/>
            <w:vAlign w:val="center"/>
          </w:tcPr>
          <w:p>
            <w:pPr>
              <w:pStyle w:val="TableContents"/>
              <w:spacing w:before="0" w:after="0"/>
              <w:ind w:left="0" w:right="0" w:hanging="0"/>
              <w:rPr/>
            </w:pPr>
            <w:r>
              <w:rPr/>
              <w:t xml:space="preserve">  </w:t>
            </w:r>
          </w:p>
        </w:tc>
        <w:tc>
          <w:tcPr>
            <w:tcW w:w="25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801"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2,602</w:t>
            </w:r>
          </w:p>
        </w:tc>
        <w:tc>
          <w:tcPr>
            <w:tcW w:w="180"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spacing w:before="0" w:after="0"/>
              <w:ind w:left="0" w:right="0" w:hanging="0"/>
              <w:rPr/>
            </w:pPr>
            <w:r>
              <w:rPr/>
              <w:t xml:space="preserve">  </w:t>
            </w:r>
          </w:p>
        </w:tc>
        <w:tc>
          <w:tcPr>
            <w:tcW w:w="257"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822"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(2,427</w:t>
            </w:r>
          </w:p>
        </w:tc>
        <w:tc>
          <w:tcPr>
            <w:tcW w:w="167" w:type="dxa"/>
            <w:tcBorders/>
            <w:shd w:fill="CCEEFF" w:val="clear"/>
            <w:vAlign w:val="center"/>
          </w:tcPr>
          <w:p>
            <w:pPr>
              <w:pStyle w:val="TableContents"/>
              <w:spacing w:before="0" w:after="283"/>
              <w:rPr/>
            </w:pPr>
            <w:r>
              <w:rPr/>
              <w:t>)</w:t>
            </w:r>
          </w:p>
        </w:tc>
      </w:tr>
      <w:tr>
        <w:trPr/>
        <w:tc>
          <w:tcPr>
            <w:tcW w:w="58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Tax provision</w:t>
            </w:r>
          </w:p>
        </w:tc>
        <w:tc>
          <w:tcPr>
            <w:tcW w:w="148" w:type="dxa"/>
            <w:tcBorders/>
            <w:shd w:fill="auto" w:val="clear"/>
            <w:vAlign w:val="center"/>
          </w:tcPr>
          <w:p>
            <w:pPr>
              <w:pStyle w:val="TableContents"/>
              <w:spacing w:before="0" w:after="0"/>
              <w:ind w:left="0" w:right="0" w:hanging="0"/>
              <w:rPr/>
            </w:pPr>
            <w:r>
              <w:rPr/>
              <w:t xml:space="preserve">  </w:t>
            </w:r>
          </w:p>
        </w:tc>
        <w:tc>
          <w:tcPr>
            <w:tcW w:w="25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6,429</w:t>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0"/>
              <w:ind w:left="0" w:right="0" w:hanging="0"/>
              <w:rPr/>
            </w:pPr>
            <w:r>
              <w:rPr/>
              <w:t xml:space="preserve">  </w:t>
            </w:r>
          </w:p>
        </w:tc>
        <w:tc>
          <w:tcPr>
            <w:tcW w:w="25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2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(56</w:t>
            </w:r>
          </w:p>
        </w:tc>
        <w:tc>
          <w:tcPr>
            <w:tcW w:w="167" w:type="dxa"/>
            <w:tcBorders/>
            <w:shd w:fill="auto" w:val="clear"/>
            <w:vAlign w:val="center"/>
          </w:tcPr>
          <w:p>
            <w:pPr>
              <w:pStyle w:val="TableContents"/>
              <w:spacing w:before="0" w:after="283"/>
              <w:rPr/>
            </w:pPr>
            <w:r>
              <w:rPr/>
              <w:t>)</w:t>
            </w:r>
          </w:p>
        </w:tc>
      </w:tr>
    </w:tbl>
    <w:p>
      <w:pPr>
        <w:pStyle w:val="TextBody"/>
        <w:spacing w:before="0" w:after="0"/>
        <w:ind w:left="144" w:right="144" w:hanging="0"/>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F-29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tax effects of significant temporary differences representing net deferred tax assets and liabilities consisted of the following:</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711"/>
        <w:gridCol w:w="166"/>
        <w:gridCol w:w="236"/>
        <w:gridCol w:w="902"/>
        <w:gridCol w:w="167"/>
        <w:gridCol w:w="166"/>
        <w:gridCol w:w="236"/>
        <w:gridCol w:w="902"/>
        <w:gridCol w:w="188"/>
      </w:tblGrid>
      <w:tr>
        <w:trPr/>
        <w:tc>
          <w:tcPr>
            <w:tcW w:w="5711" w:type="dxa"/>
            <w:tcBorders/>
            <w:shd w:fill="auto" w:val="clear"/>
            <w:vAlign w:val="center"/>
          </w:tcPr>
          <w:p>
            <w:pPr>
              <w:pStyle w:val="TableContents"/>
              <w:spacing w:before="0" w:after="0"/>
              <w:ind w:left="0" w:right="0" w:hanging="0"/>
              <w:rPr/>
            </w:pPr>
            <w:r>
              <w:rPr/>
              <w:t xml:space="preserve">  </w:t>
            </w:r>
          </w:p>
        </w:tc>
        <w:tc>
          <w:tcPr>
            <w:tcW w:w="166" w:type="dxa"/>
            <w:tcBorders/>
            <w:shd w:fill="auto" w:val="clear"/>
            <w:vAlign w:val="center"/>
          </w:tcPr>
          <w:p>
            <w:pPr>
              <w:pStyle w:val="TableContents"/>
              <w:spacing w:before="0" w:after="0"/>
              <w:ind w:left="0" w:right="0" w:hanging="0"/>
              <w:rPr/>
            </w:pPr>
            <w:r>
              <w:rPr/>
              <w:t xml:space="preserve">  </w:t>
            </w:r>
          </w:p>
        </w:tc>
        <w:tc>
          <w:tcPr>
            <w:tcW w:w="113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2020 </w:t>
            </w:r>
          </w:p>
        </w:tc>
        <w:tc>
          <w:tcPr>
            <w:tcW w:w="167" w:type="dxa"/>
            <w:tcBorders/>
            <w:shd w:fill="auto" w:val="clear"/>
            <w:vAlign w:val="center"/>
          </w:tcPr>
          <w:p>
            <w:pPr>
              <w:pStyle w:val="TableContents"/>
              <w:spacing w:before="0" w:after="0"/>
              <w:ind w:left="0" w:right="0" w:hanging="0"/>
              <w:rPr/>
            </w:pPr>
            <w:r>
              <w:rPr/>
              <w:t xml:space="preserve">  </w:t>
            </w:r>
          </w:p>
        </w:tc>
        <w:tc>
          <w:tcPr>
            <w:tcW w:w="166" w:type="dxa"/>
            <w:tcBorders/>
            <w:shd w:fill="auto" w:val="clear"/>
            <w:vAlign w:val="center"/>
          </w:tcPr>
          <w:p>
            <w:pPr>
              <w:pStyle w:val="TableContents"/>
              <w:spacing w:before="0" w:after="0"/>
              <w:ind w:left="0" w:right="0" w:hanging="0"/>
              <w:rPr/>
            </w:pPr>
            <w:r>
              <w:rPr/>
              <w:t xml:space="preserve">  </w:t>
            </w:r>
          </w:p>
        </w:tc>
        <w:tc>
          <w:tcPr>
            <w:tcW w:w="113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2019 </w:t>
            </w:r>
          </w:p>
        </w:tc>
        <w:tc>
          <w:tcPr>
            <w:tcW w:w="188" w:type="dxa"/>
            <w:tcBorders/>
            <w:shd w:fill="auto" w:val="clear"/>
            <w:vAlign w:val="center"/>
          </w:tcPr>
          <w:p>
            <w:pPr>
              <w:pStyle w:val="TableContents"/>
              <w:spacing w:before="0" w:after="0"/>
              <w:ind w:left="0" w:right="0" w:hanging="0"/>
              <w:rPr/>
            </w:pPr>
            <w:r>
              <w:rPr/>
              <w:t xml:space="preserve">  </w:t>
            </w:r>
          </w:p>
        </w:tc>
      </w:tr>
      <w:tr>
        <w:trPr/>
        <w:tc>
          <w:tcPr>
            <w:tcW w:w="571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revenue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21 </w:t>
            </w:r>
          </w:p>
        </w:tc>
        <w:tc>
          <w:tcPr>
            <w:tcW w:w="167" w:type="dxa"/>
            <w:tcBorders/>
            <w:shd w:fill="CCEEFF" w:val="clear"/>
            <w:vAlign w:val="center"/>
          </w:tcPr>
          <w:p>
            <w:pPr>
              <w:pStyle w:val="TableContents"/>
              <w:spacing w:before="0" w:after="0"/>
              <w:ind w:left="0" w:right="0" w:hanging="0"/>
              <w:rPr/>
            </w:pPr>
            <w:r>
              <w:rPr/>
              <w:t xml:space="preserve">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36 </w:t>
            </w:r>
          </w:p>
        </w:tc>
        <w:tc>
          <w:tcPr>
            <w:tcW w:w="188" w:type="dxa"/>
            <w:tcBorders/>
            <w:shd w:fill="CCEEFF" w:val="clear"/>
            <w:vAlign w:val="center"/>
          </w:tcPr>
          <w:p>
            <w:pPr>
              <w:pStyle w:val="TableContents"/>
              <w:spacing w:before="0" w:after="0"/>
              <w:ind w:left="0" w:right="0" w:hanging="0"/>
              <w:rPr/>
            </w:pPr>
            <w:r>
              <w:rPr/>
              <w:t xml:space="preserve">  </w:t>
            </w:r>
          </w:p>
        </w:tc>
      </w:tr>
      <w:tr>
        <w:trPr/>
        <w:tc>
          <w:tcPr>
            <w:tcW w:w="571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Basis difference in intangible assets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shd w:fill="auto" w:val="clear"/>
            <w:vAlign w:val="center"/>
          </w:tcPr>
          <w:p>
            <w:pPr>
              <w:pStyle w:val="TableContents"/>
              <w:spacing w:before="0" w:after="0"/>
              <w:ind w:left="0" w:right="0" w:hanging="0"/>
              <w:rPr/>
            </w:pPr>
            <w:r>
              <w:rPr/>
              <w:t xml:space="preserve">  </w:t>
            </w:r>
          </w:p>
        </w:tc>
        <w:tc>
          <w:tcPr>
            <w:tcW w:w="9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2,994 </w:t>
            </w:r>
          </w:p>
        </w:tc>
        <w:tc>
          <w:tcPr>
            <w:tcW w:w="167" w:type="dxa"/>
            <w:tcBorders/>
            <w:shd w:fill="auto" w:val="clear"/>
            <w:vAlign w:val="center"/>
          </w:tcPr>
          <w:p>
            <w:pPr>
              <w:pStyle w:val="TableContents"/>
              <w:spacing w:before="0" w:after="0"/>
              <w:ind w:left="0" w:right="0" w:hanging="0"/>
              <w:rPr/>
            </w:pPr>
            <w:r>
              <w:rPr/>
              <w:t xml:space="preserve">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shd w:fill="auto" w:val="clear"/>
            <w:vAlign w:val="center"/>
          </w:tcPr>
          <w:p>
            <w:pPr>
              <w:pStyle w:val="TableContents"/>
              <w:spacing w:before="0" w:after="0"/>
              <w:ind w:left="0" w:right="0" w:hanging="0"/>
              <w:rPr/>
            </w:pPr>
            <w:r>
              <w:rPr/>
              <w:t xml:space="preserve">  </w:t>
            </w:r>
          </w:p>
        </w:tc>
        <w:tc>
          <w:tcPr>
            <w:tcW w:w="9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3,157 </w:t>
            </w:r>
          </w:p>
        </w:tc>
        <w:tc>
          <w:tcPr>
            <w:tcW w:w="188" w:type="dxa"/>
            <w:tcBorders/>
            <w:shd w:fill="auto" w:val="clear"/>
            <w:vAlign w:val="center"/>
          </w:tcPr>
          <w:p>
            <w:pPr>
              <w:pStyle w:val="TableContents"/>
              <w:spacing w:before="0" w:after="0"/>
              <w:ind w:left="0" w:right="0" w:hanging="0"/>
              <w:rPr/>
            </w:pPr>
            <w:r>
              <w:rPr/>
              <w:t xml:space="preserve">  </w:t>
            </w:r>
          </w:p>
        </w:tc>
      </w:tr>
      <w:tr>
        <w:trPr/>
        <w:tc>
          <w:tcPr>
            <w:tcW w:w="571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Inventory reserve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2,434 </w:t>
            </w:r>
          </w:p>
        </w:tc>
        <w:tc>
          <w:tcPr>
            <w:tcW w:w="167" w:type="dxa"/>
            <w:tcBorders/>
            <w:shd w:fill="CCEEFF" w:val="clear"/>
            <w:vAlign w:val="center"/>
          </w:tcPr>
          <w:p>
            <w:pPr>
              <w:pStyle w:val="TableContents"/>
              <w:spacing w:before="0" w:after="0"/>
              <w:ind w:left="0" w:right="0" w:hanging="0"/>
              <w:rPr/>
            </w:pPr>
            <w:r>
              <w:rPr/>
              <w:t xml:space="preserve">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2,247 </w:t>
            </w:r>
          </w:p>
        </w:tc>
        <w:tc>
          <w:tcPr>
            <w:tcW w:w="188" w:type="dxa"/>
            <w:tcBorders/>
            <w:shd w:fill="CCEEFF" w:val="clear"/>
            <w:vAlign w:val="center"/>
          </w:tcPr>
          <w:p>
            <w:pPr>
              <w:pStyle w:val="TableContents"/>
              <w:spacing w:before="0" w:after="0"/>
              <w:ind w:left="0" w:right="0" w:hanging="0"/>
              <w:rPr/>
            </w:pPr>
            <w:r>
              <w:rPr/>
              <w:t xml:space="preserve">  </w:t>
            </w:r>
          </w:p>
        </w:tc>
      </w:tr>
      <w:tr>
        <w:trPr/>
        <w:tc>
          <w:tcPr>
            <w:tcW w:w="571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operating loss carryforwards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shd w:fill="auto" w:val="clear"/>
            <w:vAlign w:val="center"/>
          </w:tcPr>
          <w:p>
            <w:pPr>
              <w:pStyle w:val="TableContents"/>
              <w:spacing w:before="0" w:after="0"/>
              <w:ind w:left="0" w:right="0" w:hanging="0"/>
              <w:rPr/>
            </w:pPr>
            <w:r>
              <w:rPr/>
              <w:t xml:space="preserve">  </w:t>
            </w:r>
          </w:p>
        </w:tc>
        <w:tc>
          <w:tcPr>
            <w:tcW w:w="9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3,605 </w:t>
            </w:r>
          </w:p>
        </w:tc>
        <w:tc>
          <w:tcPr>
            <w:tcW w:w="167" w:type="dxa"/>
            <w:tcBorders/>
            <w:shd w:fill="auto" w:val="clear"/>
            <w:vAlign w:val="center"/>
          </w:tcPr>
          <w:p>
            <w:pPr>
              <w:pStyle w:val="TableContents"/>
              <w:spacing w:before="0" w:after="0"/>
              <w:ind w:left="0" w:right="0" w:hanging="0"/>
              <w:rPr/>
            </w:pPr>
            <w:r>
              <w:rPr/>
              <w:t xml:space="preserve">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shd w:fill="auto" w:val="clear"/>
            <w:vAlign w:val="center"/>
          </w:tcPr>
          <w:p>
            <w:pPr>
              <w:pStyle w:val="TableContents"/>
              <w:spacing w:before="0" w:after="0"/>
              <w:ind w:left="0" w:right="0" w:hanging="0"/>
              <w:rPr/>
            </w:pPr>
            <w:r>
              <w:rPr/>
              <w:t xml:space="preserve">  </w:t>
            </w:r>
          </w:p>
        </w:tc>
        <w:tc>
          <w:tcPr>
            <w:tcW w:w="9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6,438 </w:t>
            </w:r>
          </w:p>
        </w:tc>
        <w:tc>
          <w:tcPr>
            <w:tcW w:w="188" w:type="dxa"/>
            <w:tcBorders/>
            <w:shd w:fill="auto" w:val="clear"/>
            <w:vAlign w:val="center"/>
          </w:tcPr>
          <w:p>
            <w:pPr>
              <w:pStyle w:val="TableContents"/>
              <w:spacing w:before="0" w:after="0"/>
              <w:ind w:left="0" w:right="0" w:hanging="0"/>
              <w:rPr/>
            </w:pPr>
            <w:r>
              <w:rPr/>
              <w:t xml:space="preserve">  </w:t>
            </w:r>
          </w:p>
        </w:tc>
      </w:tr>
      <w:tr>
        <w:trPr/>
        <w:tc>
          <w:tcPr>
            <w:tcW w:w="571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Research and development tax credits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1,272 </w:t>
            </w:r>
          </w:p>
        </w:tc>
        <w:tc>
          <w:tcPr>
            <w:tcW w:w="167" w:type="dxa"/>
            <w:tcBorders/>
            <w:shd w:fill="CCEEFF" w:val="clear"/>
            <w:vAlign w:val="center"/>
          </w:tcPr>
          <w:p>
            <w:pPr>
              <w:pStyle w:val="TableContents"/>
              <w:spacing w:before="0" w:after="0"/>
              <w:ind w:left="0" w:right="0" w:hanging="0"/>
              <w:rPr/>
            </w:pPr>
            <w:r>
              <w:rPr/>
              <w:t xml:space="preserve">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1,042 </w:t>
            </w:r>
          </w:p>
        </w:tc>
        <w:tc>
          <w:tcPr>
            <w:tcW w:w="188" w:type="dxa"/>
            <w:tcBorders/>
            <w:shd w:fill="CCEEFF" w:val="clear"/>
            <w:vAlign w:val="center"/>
          </w:tcPr>
          <w:p>
            <w:pPr>
              <w:pStyle w:val="TableContents"/>
              <w:spacing w:before="0" w:after="0"/>
              <w:ind w:left="0" w:right="0" w:hanging="0"/>
              <w:rPr/>
            </w:pPr>
            <w:r>
              <w:rPr/>
              <w:t xml:space="preserve">  </w:t>
            </w:r>
          </w:p>
        </w:tc>
      </w:tr>
      <w:tr>
        <w:trPr/>
        <w:tc>
          <w:tcPr>
            <w:tcW w:w="571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Accrued expenses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shd w:fill="auto" w:val="clear"/>
            <w:vAlign w:val="center"/>
          </w:tcPr>
          <w:p>
            <w:pPr>
              <w:pStyle w:val="TableContents"/>
              <w:spacing w:before="0" w:after="0"/>
              <w:ind w:left="0" w:right="0" w:hanging="0"/>
              <w:rPr/>
            </w:pPr>
            <w:r>
              <w:rPr/>
              <w:t xml:space="preserve">  </w:t>
            </w:r>
          </w:p>
        </w:tc>
        <w:tc>
          <w:tcPr>
            <w:tcW w:w="9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61 </w:t>
            </w:r>
          </w:p>
        </w:tc>
        <w:tc>
          <w:tcPr>
            <w:tcW w:w="167" w:type="dxa"/>
            <w:tcBorders/>
            <w:shd w:fill="auto" w:val="clear"/>
            <w:vAlign w:val="center"/>
          </w:tcPr>
          <w:p>
            <w:pPr>
              <w:pStyle w:val="TableContents"/>
              <w:spacing w:before="0" w:after="0"/>
              <w:ind w:left="0" w:right="0" w:hanging="0"/>
              <w:rPr/>
            </w:pPr>
            <w:r>
              <w:rPr/>
              <w:t xml:space="preserve">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shd w:fill="auto" w:val="clear"/>
            <w:vAlign w:val="center"/>
          </w:tcPr>
          <w:p>
            <w:pPr>
              <w:pStyle w:val="TableContents"/>
              <w:spacing w:before="0" w:after="0"/>
              <w:ind w:left="0" w:right="0" w:hanging="0"/>
              <w:rPr/>
            </w:pPr>
            <w:r>
              <w:rPr/>
              <w:t xml:space="preserve">  </w:t>
            </w:r>
          </w:p>
        </w:tc>
        <w:tc>
          <w:tcPr>
            <w:tcW w:w="9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163 </w:t>
            </w:r>
          </w:p>
        </w:tc>
        <w:tc>
          <w:tcPr>
            <w:tcW w:w="188" w:type="dxa"/>
            <w:tcBorders/>
            <w:shd w:fill="auto" w:val="clear"/>
            <w:vAlign w:val="center"/>
          </w:tcPr>
          <w:p>
            <w:pPr>
              <w:pStyle w:val="TableContents"/>
              <w:spacing w:before="0" w:after="0"/>
              <w:ind w:left="0" w:right="0" w:hanging="0"/>
              <w:rPr/>
            </w:pPr>
            <w:r>
              <w:rPr/>
              <w:t xml:space="preserve">  </w:t>
            </w:r>
          </w:p>
        </w:tc>
      </w:tr>
      <w:tr>
        <w:trPr/>
        <w:tc>
          <w:tcPr>
            <w:tcW w:w="571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Stock-based compensation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309 </w:t>
            </w:r>
          </w:p>
        </w:tc>
        <w:tc>
          <w:tcPr>
            <w:tcW w:w="167" w:type="dxa"/>
            <w:tcBorders/>
            <w:shd w:fill="CCEEFF" w:val="clear"/>
            <w:vAlign w:val="center"/>
          </w:tcPr>
          <w:p>
            <w:pPr>
              <w:pStyle w:val="TableContents"/>
              <w:spacing w:before="0" w:after="0"/>
              <w:ind w:left="0" w:right="0" w:hanging="0"/>
              <w:rPr/>
            </w:pPr>
            <w:r>
              <w:rPr/>
              <w:t xml:space="preserve">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322 </w:t>
            </w:r>
          </w:p>
        </w:tc>
        <w:tc>
          <w:tcPr>
            <w:tcW w:w="188" w:type="dxa"/>
            <w:tcBorders/>
            <w:shd w:fill="CCEEFF" w:val="clear"/>
            <w:vAlign w:val="center"/>
          </w:tcPr>
          <w:p>
            <w:pPr>
              <w:pStyle w:val="TableContents"/>
              <w:spacing w:before="0" w:after="0"/>
              <w:ind w:left="0" w:right="0" w:hanging="0"/>
              <w:rPr/>
            </w:pPr>
            <w:r>
              <w:rPr/>
              <w:t xml:space="preserve">  </w:t>
            </w:r>
          </w:p>
        </w:tc>
      </w:tr>
      <w:tr>
        <w:trPr/>
        <w:tc>
          <w:tcPr>
            <w:tcW w:w="571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Allowance for sales returns and doubtful accounts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shd w:fill="auto" w:val="clear"/>
            <w:vAlign w:val="center"/>
          </w:tcPr>
          <w:p>
            <w:pPr>
              <w:pStyle w:val="TableContents"/>
              <w:spacing w:before="0" w:after="0"/>
              <w:ind w:left="0" w:right="0" w:hanging="0"/>
              <w:rPr/>
            </w:pPr>
            <w:r>
              <w:rPr/>
              <w:t xml:space="preserve">  </w:t>
            </w:r>
          </w:p>
        </w:tc>
        <w:tc>
          <w:tcPr>
            <w:tcW w:w="9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128 </w:t>
            </w:r>
          </w:p>
        </w:tc>
        <w:tc>
          <w:tcPr>
            <w:tcW w:w="167" w:type="dxa"/>
            <w:tcBorders/>
            <w:shd w:fill="auto" w:val="clear"/>
            <w:vAlign w:val="center"/>
          </w:tcPr>
          <w:p>
            <w:pPr>
              <w:pStyle w:val="TableContents"/>
              <w:spacing w:before="0" w:after="0"/>
              <w:ind w:left="0" w:right="0" w:hanging="0"/>
              <w:rPr/>
            </w:pPr>
            <w:r>
              <w:rPr/>
              <w:t xml:space="preserve">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shd w:fill="auto" w:val="clear"/>
            <w:vAlign w:val="center"/>
          </w:tcPr>
          <w:p>
            <w:pPr>
              <w:pStyle w:val="TableContents"/>
              <w:spacing w:before="0" w:after="0"/>
              <w:ind w:left="0" w:right="0" w:hanging="0"/>
              <w:rPr/>
            </w:pPr>
            <w:r>
              <w:rPr/>
              <w:t xml:space="preserve">  </w:t>
            </w:r>
          </w:p>
        </w:tc>
        <w:tc>
          <w:tcPr>
            <w:tcW w:w="90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107 </w:t>
            </w:r>
          </w:p>
        </w:tc>
        <w:tc>
          <w:tcPr>
            <w:tcW w:w="188" w:type="dxa"/>
            <w:tcBorders/>
            <w:shd w:fill="auto" w:val="clear"/>
            <w:vAlign w:val="center"/>
          </w:tcPr>
          <w:p>
            <w:pPr>
              <w:pStyle w:val="TableContents"/>
              <w:spacing w:before="0" w:after="0"/>
              <w:ind w:left="0" w:right="0" w:hanging="0"/>
              <w:rPr/>
            </w:pPr>
            <w:r>
              <w:rPr/>
              <w:t xml:space="preserve">  </w:t>
            </w:r>
          </w:p>
        </w:tc>
      </w:tr>
      <w:tr>
        <w:trPr/>
        <w:tc>
          <w:tcPr>
            <w:tcW w:w="571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Difference in property and equipment basis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(145</w:t>
            </w:r>
          </w:p>
        </w:tc>
        <w:tc>
          <w:tcPr>
            <w:tcW w:w="167" w:type="dxa"/>
            <w:tcBorders/>
            <w:shd w:fill="CCEEFF" w:val="clear"/>
            <w:vAlign w:val="center"/>
          </w:tcPr>
          <w:p>
            <w:pPr>
              <w:pStyle w:val="TableContents"/>
              <w:spacing w:before="0" w:after="283"/>
              <w:rPr/>
            </w:pPr>
            <w:r>
              <w:rPr/>
              <w:t>)</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(134</w:t>
            </w:r>
          </w:p>
        </w:tc>
        <w:tc>
          <w:tcPr>
            <w:tcW w:w="188" w:type="dxa"/>
            <w:tcBorders/>
            <w:shd w:fill="CCEEFF" w:val="clear"/>
            <w:vAlign w:val="center"/>
          </w:tcPr>
          <w:p>
            <w:pPr>
              <w:pStyle w:val="TableContents"/>
              <w:spacing w:before="0" w:after="283"/>
              <w:rPr/>
            </w:pPr>
            <w:r>
              <w:rPr/>
              <w:t>)</w:t>
            </w:r>
          </w:p>
        </w:tc>
      </w:tr>
      <w:tr>
        <w:trPr/>
        <w:tc>
          <w:tcPr>
            <w:tcW w:w="571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0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479 </w:t>
            </w:r>
          </w:p>
        </w:tc>
        <w:tc>
          <w:tcPr>
            <w:tcW w:w="167" w:type="dxa"/>
            <w:tcBorders/>
            <w:shd w:fill="auto" w:val="clear"/>
            <w:vAlign w:val="center"/>
          </w:tcPr>
          <w:p>
            <w:pPr>
              <w:pStyle w:val="TableContents"/>
              <w:spacing w:before="0" w:after="0"/>
              <w:ind w:left="0" w:right="0" w:hanging="0"/>
              <w:rPr/>
            </w:pPr>
            <w:r>
              <w:rPr/>
              <w:t xml:space="preserve">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0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382 </w:t>
            </w:r>
          </w:p>
        </w:tc>
        <w:tc>
          <w:tcPr>
            <w:tcW w:w="188" w:type="dxa"/>
            <w:tcBorders/>
            <w:shd w:fill="auto" w:val="clear"/>
            <w:vAlign w:val="center"/>
          </w:tcPr>
          <w:p>
            <w:pPr>
              <w:pStyle w:val="TableContents"/>
              <w:spacing w:before="0" w:after="0"/>
              <w:ind w:left="0" w:right="0" w:hanging="0"/>
              <w:rPr/>
            </w:pPr>
            <w:r>
              <w:rPr/>
              <w:t xml:space="preserve">  </w:t>
            </w:r>
          </w:p>
        </w:tc>
      </w:tr>
      <w:tr>
        <w:trPr/>
        <w:tc>
          <w:tcPr>
            <w:tcW w:w="5711"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Total net deferred income tax asset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11,158 </w:t>
            </w:r>
          </w:p>
        </w:tc>
        <w:tc>
          <w:tcPr>
            <w:tcW w:w="167" w:type="dxa"/>
            <w:tcBorders/>
            <w:shd w:fill="CCEEFF" w:val="clear"/>
            <w:vAlign w:val="center"/>
          </w:tcPr>
          <w:p>
            <w:pPr>
              <w:pStyle w:val="TableContents"/>
              <w:spacing w:before="0" w:after="0"/>
              <w:ind w:left="0" w:right="0" w:hanging="0"/>
              <w:rPr/>
            </w:pPr>
            <w:r>
              <w:rPr/>
              <w:t xml:space="preserve">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shd w:fill="CCEEFF" w:val="clear"/>
            <w:vAlign w:val="center"/>
          </w:tcPr>
          <w:p>
            <w:pPr>
              <w:pStyle w:val="TableContents"/>
              <w:spacing w:before="0" w:after="0"/>
              <w:ind w:left="0" w:right="0" w:hanging="0"/>
              <w:rPr/>
            </w:pPr>
            <w:r>
              <w:rPr/>
              <w:t xml:space="preserve">  </w:t>
            </w:r>
          </w:p>
        </w:tc>
        <w:tc>
          <w:tcPr>
            <w:tcW w:w="90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13,760 </w:t>
            </w:r>
          </w:p>
        </w:tc>
        <w:tc>
          <w:tcPr>
            <w:tcW w:w="188" w:type="dxa"/>
            <w:tcBorders/>
            <w:shd w:fill="CCEEFF" w:val="clear"/>
            <w:vAlign w:val="center"/>
          </w:tcPr>
          <w:p>
            <w:pPr>
              <w:pStyle w:val="TableContents"/>
              <w:spacing w:before="0" w:after="0"/>
              <w:ind w:left="0" w:right="0" w:hanging="0"/>
              <w:rPr/>
            </w:pPr>
            <w:r>
              <w:rPr/>
              <w:t xml:space="preserve">  </w:t>
            </w:r>
          </w:p>
        </w:tc>
      </w:tr>
      <w:tr>
        <w:trPr/>
        <w:tc>
          <w:tcPr>
            <w:tcW w:w="5711"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Less: Valuation allowance </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0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(11,158</w:t>
            </w:r>
          </w:p>
        </w:tc>
        <w:tc>
          <w:tcPr>
            <w:tcW w:w="167" w:type="dxa"/>
            <w:tcBorders/>
            <w:shd w:fill="auto" w:val="clear"/>
            <w:vAlign w:val="center"/>
          </w:tcPr>
          <w:p>
            <w:pPr>
              <w:pStyle w:val="TableContents"/>
              <w:spacing w:before="0" w:after="283"/>
              <w:rPr/>
            </w:pPr>
            <w:r>
              <w:rPr/>
              <w:t>)</w:t>
            </w:r>
          </w:p>
        </w:tc>
        <w:tc>
          <w:tcPr>
            <w:tcW w:w="166" w:type="dxa"/>
            <w:tcBorders/>
            <w:shd w:fill="auto" w:val="clear"/>
            <w:vAlign w:val="center"/>
          </w:tcPr>
          <w:p>
            <w:pPr>
              <w:pStyle w:val="TableContents"/>
              <w:spacing w:before="0" w:after="0"/>
              <w:ind w:left="0" w:right="0" w:hanging="0"/>
              <w:rPr/>
            </w:pPr>
            <w:r>
              <w:rPr/>
              <w:t xml:space="preserve">  </w:t>
            </w:r>
          </w:p>
        </w:tc>
        <w:tc>
          <w:tcPr>
            <w:tcW w:w="23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0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(13,760</w:t>
            </w:r>
          </w:p>
        </w:tc>
        <w:tc>
          <w:tcPr>
            <w:tcW w:w="188" w:type="dxa"/>
            <w:tcBorders/>
            <w:shd w:fill="auto" w:val="clear"/>
            <w:vAlign w:val="center"/>
          </w:tcPr>
          <w:p>
            <w:pPr>
              <w:pStyle w:val="TableContents"/>
              <w:spacing w:before="0" w:after="283"/>
              <w:rPr/>
            </w:pPr>
            <w:r>
              <w:rPr/>
              <w:t>)</w:t>
            </w:r>
          </w:p>
        </w:tc>
      </w:tr>
      <w:tr>
        <w:trPr/>
        <w:tc>
          <w:tcPr>
            <w:tcW w:w="5711"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Net deferred income tax asset (liability)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67" w:type="dxa"/>
            <w:tcBorders/>
            <w:shd w:fill="CCEEFF" w:val="clear"/>
            <w:vAlign w:val="center"/>
          </w:tcPr>
          <w:p>
            <w:pPr>
              <w:pStyle w:val="TableContents"/>
              <w:spacing w:before="0" w:after="0"/>
              <w:ind w:left="0" w:right="0" w:hanging="0"/>
              <w:rPr/>
            </w:pPr>
            <w:r>
              <w:rPr/>
              <w:t xml:space="preserve">  </w:t>
            </w:r>
          </w:p>
        </w:tc>
        <w:tc>
          <w:tcPr>
            <w:tcW w:w="166" w:type="dxa"/>
            <w:tcBorders/>
            <w:shd w:fill="CCEEFF" w:val="clear"/>
            <w:vAlign w:val="center"/>
          </w:tcPr>
          <w:p>
            <w:pPr>
              <w:pStyle w:val="TableContents"/>
              <w:spacing w:before="0" w:after="0"/>
              <w:ind w:left="0" w:right="0" w:hanging="0"/>
              <w:rPr/>
            </w:pPr>
            <w:r>
              <w:rPr/>
              <w:t xml:space="preserve">  </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88" w:type="dxa"/>
            <w:tcBorders/>
            <w:shd w:fill="CCEEFF" w:val="clear"/>
            <w:vAlign w:val="center"/>
          </w:tcPr>
          <w:p>
            <w:pPr>
              <w:pStyle w:val="TableContents"/>
              <w:spacing w:before="0" w:after="0"/>
              <w:ind w:left="0" w:right="0" w:hanging="0"/>
              <w:rPr/>
            </w:pPr>
            <w:r>
              <w:rPr/>
              <w:t xml:space="preserve">  </w:t>
            </w:r>
          </w:p>
        </w:tc>
      </w:tr>
    </w:tbl>
    <w:p>
      <w:pPr>
        <w:pStyle w:val="TextBody"/>
        <w:spacing w:lineRule="auto" w:line="240" w:before="0" w:after="0"/>
        <w:ind w:left="0" w:right="0" w:hanging="0"/>
        <w:jc w:val="both"/>
        <w:rPr/>
      </w:pPr>
      <w:r>
        <w:rPr/>
        <w:t> </w:t>
      </w:r>
    </w:p>
    <w:p>
      <w:pPr>
        <w:pStyle w:val="TextBody"/>
        <w:spacing w:lineRule="auto" w:line="264" w:before="0" w:after="0"/>
        <w:ind w:left="0" w:right="0" w:hanging="0"/>
        <w:jc w:val="both"/>
        <w:rPr>
          <w:rFonts w:ascii="times new roman;times" w:hAnsi="times new roman;times"/>
          <w:sz w:val="20"/>
        </w:rPr>
      </w:pPr>
      <w:r>
        <w:rPr>
          <w:rFonts w:ascii="times new roman;times" w:hAnsi="times new roman;times"/>
          <w:sz w:val="20"/>
        </w:rPr>
        <w:t>The Coronavirus Aid, Relief, and Economic Security Act (the “CARES Act”) was enacted on March 27, 2020. The CARES Act, among other things, includes provisions relating to refundable payroll tax credits, deferment of employer side payroll tax, Paycheck Protection Program, net operating loss carryback periods, and modifications to the net interest deduction limitations. The most significant impact to the Company from the CARES Act relates to the Paycheck Protection Program and modifications to the net operating loss carryback periods.  In November 2020, the Company completed its assessment of the impact of the carryback provisions from the CARES Act and elected to carry back its net operating losses to previous years.</w:t>
      </w:r>
    </w:p>
    <w:p>
      <w:pPr>
        <w:pStyle w:val="TextBody"/>
        <w:spacing w:lineRule="auto" w:line="240" w:before="0" w:after="0"/>
        <w:ind w:left="0" w:right="0" w:hanging="0"/>
        <w:jc w:val="both"/>
        <w:rPr/>
      </w:pPr>
      <w:r>
        <w:rPr/>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 xml:space="preserve">The Company has not provided for foreign withholding taxes on undistributed earnings of its non-U.S. subsidiaries since these earnings are intended to be reinvested indefinitely, in accordance with guidelines contained in ASC Topic 740, </w:t>
      </w:r>
      <w:r>
        <w:rPr>
          <w:rFonts w:ascii="Times New Roman" w:hAnsi="Times New Roman"/>
          <w:i/>
          <w:sz w:val="20"/>
        </w:rPr>
        <w:t>Accounting for Income Taxes</w:t>
      </w:r>
      <w:r>
        <w:rPr>
          <w:rFonts w:ascii="times new roman;times" w:hAnsi="times new roman;times"/>
          <w:sz w:val="20"/>
        </w:rPr>
        <w:t>. It is not practical to estimate the amount of additional taxes that might be payable on such undistributed earnings.</w:t>
      </w:r>
    </w:p>
    <w:p>
      <w:pPr>
        <w:pStyle w:val="TextBody"/>
        <w:spacing w:lineRule="auto" w:line="288" w:before="0" w:after="0"/>
        <w:ind w:left="0" w:right="0" w:hanging="0"/>
        <w:jc w:val="both"/>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routinely evaluates the likelihood of realizing the benefit of its deferred tax assets and may record a valuation allowance if, based on all available evidence, it determines that it is more likely than not some portion of the tax benefit will not be realized. As of December 31, 2020, the Company had an aggregate of approximately $11.2</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in deferred tax assets primarily related to intangible assets, net operating losses, tax credit carryforwards,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  </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tbl>
      <w:tblPr>
        <w:tblW w:w="9775" w:type="dxa"/>
        <w:jc w:val="left"/>
        <w:tblInd w:w="0" w:type="dxa"/>
        <w:tblCellMar>
          <w:top w:w="0" w:type="dxa"/>
          <w:left w:w="0" w:type="dxa"/>
          <w:bottom w:w="0" w:type="dxa"/>
          <w:right w:w="0" w:type="dxa"/>
        </w:tblCellMar>
      </w:tblPr>
      <w:tblGrid>
        <w:gridCol w:w="185"/>
        <w:gridCol w:w="9590"/>
      </w:tblGrid>
      <w:tr>
        <w:trPr/>
        <w:tc>
          <w:tcPr>
            <w:tcW w:w="185" w:type="dxa"/>
            <w:tcBorders/>
            <w:shd w:fill="auto" w:val="clear"/>
            <w:vAlign w:val="center"/>
          </w:tcPr>
          <w:p>
            <w:pPr>
              <w:pStyle w:val="TableContents"/>
              <w:spacing w:before="0" w:after="0"/>
              <w:ind w:left="0" w:right="0" w:hanging="0"/>
              <w:jc w:val="both"/>
              <w:rPr/>
            </w:pPr>
            <w:r>
              <w:rPr/>
              <w:t>●</w:t>
            </w:r>
          </w:p>
        </w:tc>
        <w:tc>
          <w:tcPr>
            <w:tcW w:w="9590" w:type="dxa"/>
            <w:tcBorders/>
            <w:shd w:fill="auto" w:val="clear"/>
            <w:vAlign w:val="center"/>
          </w:tcPr>
          <w:p>
            <w:pPr>
              <w:pStyle w:val="TableContents"/>
              <w:spacing w:before="0" w:after="0"/>
              <w:ind w:left="0" w:right="0" w:hanging="0"/>
              <w:jc w:val="both"/>
              <w:rPr/>
            </w:pPr>
            <w:r>
              <w:rPr/>
              <w:t>sufficient taxable income within the allowed carryback or carryforward periods;</w:t>
            </w:r>
          </w:p>
        </w:tc>
      </w:tr>
      <w:tr>
        <w:trPr/>
        <w:tc>
          <w:tcPr>
            <w:tcW w:w="185" w:type="dxa"/>
            <w:tcBorders/>
            <w:shd w:fill="auto" w:val="clear"/>
            <w:vAlign w:val="center"/>
          </w:tcPr>
          <w:p>
            <w:pPr>
              <w:pStyle w:val="TableContents"/>
              <w:spacing w:before="0" w:after="0"/>
              <w:ind w:left="0" w:right="0" w:hanging="0"/>
              <w:jc w:val="both"/>
              <w:rPr/>
            </w:pPr>
            <w:r>
              <w:rPr/>
              <w:t>●</w:t>
            </w:r>
          </w:p>
        </w:tc>
        <w:tc>
          <w:tcPr>
            <w:tcW w:w="959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future reversals of existing taxable temporary differences, including any tax planning strategies that could be utilized;</w:t>
            </w:r>
          </w:p>
        </w:tc>
      </w:tr>
      <w:tr>
        <w:trPr/>
        <w:tc>
          <w:tcPr>
            <w:tcW w:w="185" w:type="dxa"/>
            <w:tcBorders/>
            <w:shd w:fill="auto" w:val="clear"/>
            <w:vAlign w:val="center"/>
          </w:tcPr>
          <w:p>
            <w:pPr>
              <w:pStyle w:val="TableContents"/>
              <w:spacing w:before="0" w:after="0"/>
              <w:ind w:left="0" w:right="0" w:hanging="0"/>
              <w:jc w:val="both"/>
              <w:rPr/>
            </w:pPr>
            <w:r>
              <w:rPr/>
              <w:t>●</w:t>
            </w:r>
          </w:p>
        </w:tc>
        <w:tc>
          <w:tcPr>
            <w:tcW w:w="959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nature or character (e.g., ordinary vs. capital) of the deferred tax assets and liabilities; and</w:t>
            </w:r>
          </w:p>
        </w:tc>
      </w:tr>
      <w:tr>
        <w:trPr/>
        <w:tc>
          <w:tcPr>
            <w:tcW w:w="185" w:type="dxa"/>
            <w:tcBorders/>
            <w:shd w:fill="auto" w:val="clear"/>
            <w:vAlign w:val="center"/>
          </w:tcPr>
          <w:p>
            <w:pPr>
              <w:pStyle w:val="TableContents"/>
              <w:spacing w:before="0" w:after="0"/>
              <w:ind w:left="0" w:right="0" w:hanging="0"/>
              <w:jc w:val="both"/>
              <w:rPr/>
            </w:pPr>
            <w:r>
              <w:rPr/>
              <w:t>●</w:t>
            </w:r>
          </w:p>
        </w:tc>
        <w:tc>
          <w:tcPr>
            <w:tcW w:w="959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future taxable income exclusive of reversing temporary differences and carryforwards.</w:t>
            </w:r>
          </w:p>
        </w:tc>
      </w:tr>
    </w:tbl>
    <w:p>
      <w:pPr>
        <w:pStyle w:val="TextBody"/>
        <w:widowControl/>
        <w:spacing w:before="0" w:after="0"/>
        <w:ind w:left="0" w:right="0" w:hanging="0"/>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Based on the foregoing criteria, the Company determined that it no longer meets the “more likely than not” threshold that net operating losses, tax credits and other deferred tax assets will be realized. Accordingly, the Company recorded a full valuation allowance at September 30, 2018, and continues to be in a full valuation allowance position at December 31, 2020.</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Under the five-year carryback provision of the CARES Act, the Company carried back its 2018 and 2019 taxable losses to 2013 and 2014.  The Company also intends to carry back its 2020 taxable loss to 2015.  As no tax benefit was previously recorded for the 2018 – 2020 losses, due to the full valuation allowance, the carryback of these losses resulted in a tax benefit of $7.1M.</w:t>
      </w:r>
    </w:p>
    <w:p>
      <w:pPr>
        <w:pStyle w:val="TextBody"/>
        <w:widowControl/>
        <w:spacing w:before="0" w:after="0"/>
        <w:ind w:left="0" w:right="0" w:hanging="0"/>
        <w:rPr>
          <w:rFonts w:ascii="Times New Roman;serif" w:hAnsi="Times New Roman;serif"/>
          <w:sz w:val="20"/>
        </w:rPr>
      </w:pPr>
      <w:r>
        <w:rPr>
          <w:rFonts w:ascii="Times New Roman;serif" w:hAnsi="Times New Roman;serif"/>
          <w:sz w:val="20"/>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sz w:val="20"/>
              </w:rPr>
            </w:pPr>
            <w:r>
              <w:rPr>
                <w:rFonts w:ascii="Times New Roman" w:hAnsi="Times New Roman"/>
                <w:b w:val="false"/>
                <w:i w:val="false"/>
                <w:caps w:val="false"/>
                <w:smallCaps w:val="false"/>
                <w:color w:val="000000"/>
                <w:spacing w:val="0"/>
                <w:sz w:val="20"/>
              </w:rPr>
              <w:t>| F-30</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center"/>
        <w:rPr/>
      </w:pPr>
      <w:r>
        <w:rPr/>
      </w:r>
    </w:p>
    <w:p>
      <w:pPr>
        <w:pStyle w:val="TextBody"/>
        <w:spacing w:before="0" w:after="0"/>
        <w:ind w:left="0" w:right="0" w:hanging="0"/>
        <w:jc w:val="both"/>
        <w:rPr/>
      </w:pPr>
      <w:r>
        <w:rPr/>
      </w:r>
    </w:p>
    <w:p>
      <w:pPr>
        <w:pStyle w:val="TextBody"/>
        <w:spacing w:before="0" w:after="0"/>
        <w:ind w:left="0" w:right="0" w:hanging="0"/>
        <w:jc w:val="both"/>
        <w:rPr>
          <w:rFonts w:ascii="times new roman;times" w:hAnsi="times new roman;times"/>
          <w:sz w:val="20"/>
        </w:rPr>
      </w:pPr>
      <w:r>
        <w:rPr>
          <w:rFonts w:ascii="Times New Roman" w:hAnsi="Times New Roman"/>
          <w:sz w:val="20"/>
        </w:rPr>
        <w:t>As of December 31, 2020 the Company has federal net operating loss (“NOL”) carryforwards of approximately $0.8</w:t>
      </w:r>
      <w:r>
        <w:rPr>
          <w:rFonts w:ascii="times new roman;times" w:hAnsi="times new roman;times"/>
          <w:sz w:val="20"/>
        </w:rPr>
        <w:t> </w:t>
      </w:r>
      <w:r>
        <w:rPr>
          <w:rFonts w:ascii="Times New Roman" w:hAnsi="Times New Roman"/>
          <w:sz w:val="20"/>
        </w:rPr>
        <w:t>million</w:t>
      </w:r>
      <w:r>
        <w:rPr>
          <w:rFonts w:ascii="times new roman;times" w:hAnsi="times new roman;times"/>
          <w:sz w:val="20"/>
        </w:rPr>
        <w:t> </w:t>
      </w:r>
      <w:r>
        <w:rPr>
          <w:rFonts w:ascii="Times New Roman" w:hAnsi="Times New Roman"/>
          <w:sz w:val="20"/>
        </w:rPr>
        <w:t>(pre-tax), state NOL carryforwards of approximately $20.5 million (pre-tax) and Spain NOL carryforwards of approximately $9.9</w:t>
      </w:r>
      <w:r>
        <w:rPr>
          <w:rFonts w:ascii="times new roman;times" w:hAnsi="times new roman;times"/>
          <w:sz w:val="20"/>
        </w:rPr>
        <w:t xml:space="preserve"> </w:t>
      </w:r>
      <w:r>
        <w:rPr>
          <w:rFonts w:ascii="Times New Roman" w:hAnsi="Times New Roman"/>
          <w:sz w:val="20"/>
        </w:rPr>
        <w:t>million (pre-tax). The federal NOL carryforward begins to expire in 2029. T</w:t>
      </w:r>
      <w:r>
        <w:rPr>
          <w:rFonts w:ascii="Times New Roman" w:hAnsi="Times New Roman"/>
          <w:sz w:val="20"/>
          <w:highlight w:val="white"/>
        </w:rPr>
        <w:t>he Spain NOL carryforward does not expire. The state NOL carryforwards expire over various periods.</w:t>
      </w:r>
      <w:r>
        <w:rPr>
          <w:rFonts w:ascii="times new roman;times" w:hAnsi="times new roman;times"/>
          <w:sz w:val="20"/>
        </w:rPr>
        <w:t> </w:t>
      </w:r>
    </w:p>
    <w:p>
      <w:pPr>
        <w:pStyle w:val="TextBody"/>
        <w:spacing w:before="0" w:after="0"/>
        <w:ind w:left="0" w:right="0" w:hanging="0"/>
        <w:jc w:val="both"/>
        <w:rPr>
          <w:highlight w:val="white"/>
        </w:rPr>
      </w:pPr>
      <w:r>
        <w:rPr>
          <w:highlight w:val="white"/>
        </w:rPr>
        <w:t> </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pStyle w:val="TextBody"/>
        <w:spacing w:before="0" w:after="0"/>
        <w:ind w:left="0" w:right="0" w:hanging="0"/>
        <w:jc w:val="both"/>
        <w:rPr>
          <w:highlight w:val="white"/>
        </w:rPr>
      </w:pPr>
      <w:r>
        <w:rPr>
          <w:highlight w:val="white"/>
        </w:rPr>
        <w:t> </w:t>
      </w:r>
    </w:p>
    <w:p>
      <w:pPr>
        <w:pStyle w:val="TextBody"/>
        <w:spacing w:before="0" w:after="0"/>
        <w:ind w:left="0" w:right="0" w:hanging="0"/>
        <w:jc w:val="both"/>
        <w:rPr>
          <w:rFonts w:ascii="times new roman;times" w:hAnsi="times new roman;times"/>
          <w:sz w:val="20"/>
        </w:rPr>
      </w:pPr>
      <w:r>
        <w:rPr>
          <w:rFonts w:ascii="Times New Roman" w:hAnsi="Times New Roman"/>
          <w:sz w:val="20"/>
        </w:rPr>
        <w:t>The total amount of unrecognized tax benefits at December 31, 2020</w:t>
      </w:r>
      <w:r>
        <w:rPr>
          <w:rFonts w:ascii="times new roman;times" w:hAnsi="times new roman;times"/>
          <w:sz w:val="20"/>
        </w:rPr>
        <w:t> </w:t>
      </w:r>
      <w:r>
        <w:rPr>
          <w:rFonts w:ascii="Times New Roman" w:hAnsi="Times New Roman"/>
          <w:sz w:val="20"/>
        </w:rPr>
        <w:t xml:space="preserve">and </w:t>
      </w:r>
      <w:r>
        <w:rPr>
          <w:rFonts w:ascii="Times New Roman" w:hAnsi="Times New Roman"/>
          <w:sz w:val="20"/>
        </w:rPr>
        <w:t>2019</w:t>
      </w:r>
      <w:r>
        <w:rPr>
          <w:rFonts w:ascii="Times New Roman" w:hAnsi="Times New Roman"/>
          <w:sz w:val="20"/>
        </w:rPr>
        <w:t>, that would favorably impact our effective tax rate if recognized was $</w:t>
      </w:r>
      <w:r>
        <w:rPr>
          <w:rFonts w:ascii="times new roman;times" w:hAnsi="times new roman;times"/>
          <w:sz w:val="20"/>
        </w:rPr>
        <w:t>861 </w:t>
      </w:r>
      <w:r>
        <w:rPr>
          <w:rFonts w:ascii="Times New Roman" w:hAnsi="Times New Roman"/>
          <w:sz w:val="20"/>
        </w:rPr>
        <w:t>and $298, respectively. As of December 31, 2020</w:t>
      </w:r>
      <w:r>
        <w:rPr>
          <w:rFonts w:ascii="times new roman;times" w:hAnsi="times new roman;times"/>
          <w:sz w:val="20"/>
        </w:rPr>
        <w:t> </w:t>
      </w:r>
      <w:r>
        <w:rPr>
          <w:rFonts w:ascii="Times New Roman" w:hAnsi="Times New Roman"/>
          <w:sz w:val="20"/>
        </w:rPr>
        <w:t xml:space="preserve">and </w:t>
      </w:r>
      <w:r>
        <w:rPr>
          <w:rFonts w:ascii="Times New Roman" w:hAnsi="Times New Roman"/>
          <w:sz w:val="20"/>
        </w:rPr>
        <w:t>2019</w:t>
      </w:r>
      <w:r>
        <w:rPr>
          <w:rFonts w:ascii="Times New Roman" w:hAnsi="Times New Roman"/>
          <w:sz w:val="20"/>
        </w:rPr>
        <w:t>, we accrued $</w:t>
      </w:r>
      <w:r>
        <w:rPr>
          <w:rFonts w:ascii="Times New Roman" w:hAnsi="Times New Roman"/>
          <w:sz w:val="20"/>
          <w:highlight w:val="white"/>
        </w:rPr>
        <w:t>23</w:t>
      </w:r>
      <w:r>
        <w:rPr>
          <w:rFonts w:ascii="times new roman;times" w:hAnsi="times new roman;times"/>
          <w:sz w:val="20"/>
        </w:rPr>
        <w:t> </w:t>
      </w:r>
      <w:r>
        <w:rPr>
          <w:rFonts w:ascii="Times New Roman" w:hAnsi="Times New Roman"/>
          <w:sz w:val="20"/>
        </w:rPr>
        <w:t>and $9, respectively, in interest and penalties related to unrecognized tax benefits. We account for interest expense and penalties for unrecognized tax benefits as part of our income tax provision. </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reconciliation of the beginning and ending amount of liabilities associated with uncertain tax positions is as follows: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tbl>
      <w:tblPr>
        <w:tblW w:w="4250" w:type="pct"/>
        <w:jc w:val="left"/>
        <w:tblInd w:w="0" w:type="dxa"/>
        <w:tblCellMar>
          <w:top w:w="0" w:type="dxa"/>
          <w:left w:w="0" w:type="dxa"/>
          <w:bottom w:w="0" w:type="dxa"/>
          <w:right w:w="0" w:type="dxa"/>
        </w:tblCellMar>
      </w:tblPr>
      <w:tblGrid>
        <w:gridCol w:w="5997"/>
        <w:gridCol w:w="74"/>
        <w:gridCol w:w="270"/>
        <w:gridCol w:w="728"/>
        <w:gridCol w:w="205"/>
        <w:gridCol w:w="129"/>
        <w:gridCol w:w="270"/>
        <w:gridCol w:w="864"/>
        <w:gridCol w:w="137"/>
      </w:tblGrid>
      <w:tr>
        <w:trPr/>
        <w:tc>
          <w:tcPr>
            <w:tcW w:w="5997" w:type="dxa"/>
            <w:tcBorders/>
            <w:shd w:fill="auto" w:val="clear"/>
            <w:vAlign w:val="center"/>
          </w:tcPr>
          <w:p>
            <w:pPr>
              <w:pStyle w:val="TableContents"/>
              <w:spacing w:before="0" w:after="0"/>
              <w:ind w:left="0" w:right="0" w:hanging="0"/>
              <w:rPr/>
            </w:pPr>
            <w:r>
              <w:rPr/>
              <w:t> </w:t>
            </w:r>
          </w:p>
        </w:tc>
        <w:tc>
          <w:tcPr>
            <w:tcW w:w="74" w:type="dxa"/>
            <w:tcBorders/>
            <w:shd w:fill="auto" w:val="clear"/>
            <w:vAlign w:val="center"/>
          </w:tcPr>
          <w:p>
            <w:pPr>
              <w:pStyle w:val="TableContents"/>
              <w:spacing w:before="0" w:after="0"/>
              <w:ind w:left="0" w:right="0" w:hanging="0"/>
              <w:rPr/>
            </w:pPr>
            <w:r>
              <w:rPr/>
              <w:t> </w:t>
            </w:r>
          </w:p>
        </w:tc>
        <w:tc>
          <w:tcPr>
            <w:tcW w:w="2466" w:type="dxa"/>
            <w:gridSpan w:val="6"/>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137" w:type="dxa"/>
            <w:tcBorders/>
            <w:shd w:fill="auto" w:val="clear"/>
            <w:vAlign w:val="center"/>
          </w:tcPr>
          <w:p>
            <w:pPr>
              <w:pStyle w:val="TableContents"/>
              <w:spacing w:before="0" w:after="0"/>
              <w:ind w:left="0" w:right="0" w:hanging="0"/>
              <w:rPr/>
            </w:pPr>
            <w:r>
              <w:rPr/>
              <w:t> </w:t>
            </w:r>
          </w:p>
        </w:tc>
      </w:tr>
      <w:tr>
        <w:trPr/>
        <w:tc>
          <w:tcPr>
            <w:tcW w:w="5997" w:type="dxa"/>
            <w:tcBorders/>
            <w:shd w:fill="auto" w:val="clear"/>
            <w:vAlign w:val="center"/>
          </w:tcPr>
          <w:p>
            <w:pPr>
              <w:pStyle w:val="TableContents"/>
              <w:spacing w:before="0" w:after="0"/>
              <w:ind w:left="0" w:right="0" w:hanging="0"/>
              <w:rPr/>
            </w:pPr>
            <w:r>
              <w:rPr/>
              <w:t> </w:t>
            </w:r>
          </w:p>
        </w:tc>
        <w:tc>
          <w:tcPr>
            <w:tcW w:w="74" w:type="dxa"/>
            <w:tcBorders/>
            <w:shd w:fill="auto" w:val="clear"/>
            <w:vAlign w:val="center"/>
          </w:tcPr>
          <w:p>
            <w:pPr>
              <w:pStyle w:val="TableContents"/>
              <w:spacing w:before="0" w:after="0"/>
              <w:ind w:left="0" w:right="0" w:hanging="0"/>
              <w:rPr/>
            </w:pPr>
            <w:r>
              <w:rPr/>
              <w:t> </w:t>
            </w:r>
          </w:p>
        </w:tc>
        <w:tc>
          <w:tcPr>
            <w:tcW w:w="998"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2020</w:t>
            </w:r>
          </w:p>
        </w:tc>
        <w:tc>
          <w:tcPr>
            <w:tcW w:w="205" w:type="dxa"/>
            <w:tcBorders/>
            <w:shd w:fill="auto" w:val="clear"/>
            <w:vAlign w:val="center"/>
          </w:tcPr>
          <w:p>
            <w:pPr>
              <w:pStyle w:val="TableContents"/>
              <w:spacing w:before="0" w:after="0"/>
              <w:ind w:left="0" w:right="0" w:hanging="0"/>
              <w:rPr/>
            </w:pPr>
            <w:r>
              <w:rPr/>
              <w:t> </w:t>
            </w:r>
          </w:p>
        </w:tc>
        <w:tc>
          <w:tcPr>
            <w:tcW w:w="129" w:type="dxa"/>
            <w:tcBorders/>
            <w:shd w:fill="auto" w:val="clear"/>
            <w:vAlign w:val="center"/>
          </w:tcPr>
          <w:p>
            <w:pPr>
              <w:pStyle w:val="TableContents"/>
              <w:spacing w:before="0" w:after="0"/>
              <w:ind w:left="0" w:right="0" w:hanging="0"/>
              <w:rPr/>
            </w:pPr>
            <w:r>
              <w:rPr/>
              <w:t> </w:t>
            </w:r>
          </w:p>
        </w:tc>
        <w:tc>
          <w:tcPr>
            <w:tcW w:w="1134" w:type="dxa"/>
            <w:gridSpan w:val="2"/>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2019</w:t>
            </w:r>
          </w:p>
        </w:tc>
        <w:tc>
          <w:tcPr>
            <w:tcW w:w="137" w:type="dxa"/>
            <w:tcBorders/>
            <w:shd w:fill="auto" w:val="clear"/>
            <w:vAlign w:val="center"/>
          </w:tcPr>
          <w:p>
            <w:pPr>
              <w:pStyle w:val="TableContents"/>
              <w:spacing w:before="0" w:after="0"/>
              <w:ind w:left="0" w:right="0" w:hanging="0"/>
              <w:rPr/>
            </w:pPr>
            <w:r>
              <w:rPr/>
              <w:t> </w:t>
            </w:r>
          </w:p>
        </w:tc>
      </w:tr>
      <w:tr>
        <w:trPr/>
        <w:tc>
          <w:tcPr>
            <w:tcW w:w="599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 beginning of year</w:t>
            </w:r>
          </w:p>
        </w:tc>
        <w:tc>
          <w:tcPr>
            <w:tcW w:w="74" w:type="dxa"/>
            <w:tcBorders/>
            <w:shd w:fill="CCEEFF" w:val="clear"/>
            <w:vAlign w:val="center"/>
          </w:tcPr>
          <w:p>
            <w:pPr>
              <w:pStyle w:val="TableContents"/>
              <w:spacing w:before="0" w:after="0"/>
              <w:ind w:left="0" w:right="0" w:hanging="0"/>
              <w:rPr/>
            </w:pPr>
            <w:r>
              <w:rPr/>
              <w:t> </w:t>
            </w:r>
          </w:p>
        </w:tc>
        <w:tc>
          <w:tcPr>
            <w:tcW w:w="2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2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298</w:t>
            </w:r>
          </w:p>
        </w:tc>
        <w:tc>
          <w:tcPr>
            <w:tcW w:w="205" w:type="dxa"/>
            <w:tcBorders/>
            <w:shd w:fill="CCEEFF" w:val="clear"/>
            <w:vAlign w:val="center"/>
          </w:tcPr>
          <w:p>
            <w:pPr>
              <w:pStyle w:val="TableContents"/>
              <w:spacing w:before="0" w:after="0"/>
              <w:ind w:left="0" w:right="0" w:hanging="0"/>
              <w:rPr/>
            </w:pPr>
            <w:r>
              <w:rPr/>
              <w:t> </w:t>
            </w:r>
          </w:p>
        </w:tc>
        <w:tc>
          <w:tcPr>
            <w:tcW w:w="129" w:type="dxa"/>
            <w:tcBorders/>
            <w:shd w:fill="CCEEFF" w:val="clear"/>
            <w:vAlign w:val="center"/>
          </w:tcPr>
          <w:p>
            <w:pPr>
              <w:pStyle w:val="TableContents"/>
              <w:spacing w:before="0" w:after="0"/>
              <w:ind w:left="0" w:right="0" w:hanging="0"/>
              <w:rPr/>
            </w:pPr>
            <w:r>
              <w:rPr/>
              <w:t> </w:t>
            </w:r>
          </w:p>
        </w:tc>
        <w:tc>
          <w:tcPr>
            <w:tcW w:w="2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6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679</w:t>
            </w:r>
          </w:p>
        </w:tc>
        <w:tc>
          <w:tcPr>
            <w:tcW w:w="137" w:type="dxa"/>
            <w:tcBorders/>
            <w:shd w:fill="CCEEFF" w:val="clear"/>
            <w:vAlign w:val="center"/>
          </w:tcPr>
          <w:p>
            <w:pPr>
              <w:pStyle w:val="TableContents"/>
              <w:spacing w:before="0" w:after="0"/>
              <w:ind w:left="0" w:right="0" w:hanging="0"/>
              <w:rPr/>
            </w:pPr>
            <w:r>
              <w:rPr/>
              <w:t> </w:t>
            </w:r>
          </w:p>
        </w:tc>
      </w:tr>
      <w:tr>
        <w:trPr/>
        <w:tc>
          <w:tcPr>
            <w:tcW w:w="5997"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Additions based on tax positions related to the current year</w:t>
            </w:r>
          </w:p>
        </w:tc>
        <w:tc>
          <w:tcPr>
            <w:tcW w:w="74" w:type="dxa"/>
            <w:tcBorders/>
            <w:shd w:fill="auto" w:val="clear"/>
            <w:vAlign w:val="center"/>
          </w:tcPr>
          <w:p>
            <w:pPr>
              <w:pStyle w:val="TableContents"/>
              <w:spacing w:before="0" w:after="0"/>
              <w:ind w:left="0" w:right="0" w:hanging="0"/>
              <w:rPr/>
            </w:pPr>
            <w:r>
              <w:rPr/>
              <w:t> </w:t>
            </w:r>
          </w:p>
        </w:tc>
        <w:tc>
          <w:tcPr>
            <w:tcW w:w="270" w:type="dxa"/>
            <w:tcBorders/>
            <w:shd w:fill="auto" w:val="clear"/>
            <w:vAlign w:val="center"/>
          </w:tcPr>
          <w:p>
            <w:pPr>
              <w:pStyle w:val="TableContents"/>
              <w:spacing w:before="0" w:after="0"/>
              <w:ind w:left="0" w:right="0" w:hanging="0"/>
              <w:rPr/>
            </w:pPr>
            <w:r>
              <w:rPr/>
              <w:t> </w:t>
            </w:r>
          </w:p>
        </w:tc>
        <w:tc>
          <w:tcPr>
            <w:tcW w:w="72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661</w:t>
            </w:r>
          </w:p>
        </w:tc>
        <w:tc>
          <w:tcPr>
            <w:tcW w:w="205" w:type="dxa"/>
            <w:tcBorders/>
            <w:shd w:fill="auto" w:val="clear"/>
            <w:vAlign w:val="center"/>
          </w:tcPr>
          <w:p>
            <w:pPr>
              <w:pStyle w:val="TableContents"/>
              <w:spacing w:before="0" w:after="0"/>
              <w:ind w:left="0" w:right="0" w:hanging="0"/>
              <w:rPr/>
            </w:pPr>
            <w:r>
              <w:rPr/>
              <w:t> </w:t>
            </w:r>
          </w:p>
        </w:tc>
        <w:tc>
          <w:tcPr>
            <w:tcW w:w="129" w:type="dxa"/>
            <w:tcBorders/>
            <w:shd w:fill="auto" w:val="clear"/>
            <w:vAlign w:val="center"/>
          </w:tcPr>
          <w:p>
            <w:pPr>
              <w:pStyle w:val="TableContents"/>
              <w:spacing w:before="0" w:after="0"/>
              <w:ind w:left="0" w:right="0" w:hanging="0"/>
              <w:rPr/>
            </w:pPr>
            <w:r>
              <w:rPr/>
              <w:t> </w:t>
            </w:r>
          </w:p>
        </w:tc>
        <w:tc>
          <w:tcPr>
            <w:tcW w:w="270" w:type="dxa"/>
            <w:tcBorders/>
            <w:shd w:fill="auto" w:val="clear"/>
            <w:vAlign w:val="center"/>
          </w:tcPr>
          <w:p>
            <w:pPr>
              <w:pStyle w:val="TableContents"/>
              <w:spacing w:before="0" w:after="0"/>
              <w:ind w:left="0" w:right="0" w:hanging="0"/>
              <w:rPr/>
            </w:pPr>
            <w:r>
              <w:rPr/>
              <w:t> </w:t>
            </w:r>
          </w:p>
        </w:tc>
        <w:tc>
          <w:tcPr>
            <w:tcW w:w="86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w:t>
            </w:r>
          </w:p>
        </w:tc>
        <w:tc>
          <w:tcPr>
            <w:tcW w:w="137" w:type="dxa"/>
            <w:tcBorders/>
            <w:shd w:fill="auto" w:val="clear"/>
            <w:vAlign w:val="center"/>
          </w:tcPr>
          <w:p>
            <w:pPr>
              <w:pStyle w:val="TableContents"/>
              <w:spacing w:before="0" w:after="0"/>
              <w:ind w:left="0" w:right="0" w:hanging="0"/>
              <w:rPr/>
            </w:pPr>
            <w:r>
              <w:rPr/>
              <w:t> </w:t>
            </w:r>
          </w:p>
        </w:tc>
      </w:tr>
      <w:tr>
        <w:trPr/>
        <w:tc>
          <w:tcPr>
            <w:tcW w:w="5997"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Additions for tax positions of prior years</w:t>
            </w:r>
          </w:p>
        </w:tc>
        <w:tc>
          <w:tcPr>
            <w:tcW w:w="74" w:type="dxa"/>
            <w:tcBorders/>
            <w:shd w:fill="CCEEFF" w:val="clear"/>
            <w:vAlign w:val="center"/>
          </w:tcPr>
          <w:p>
            <w:pPr>
              <w:pStyle w:val="TableContents"/>
              <w:spacing w:before="0" w:after="0"/>
              <w:ind w:left="0" w:right="0" w:hanging="0"/>
              <w:rPr/>
            </w:pPr>
            <w:r>
              <w:rPr/>
              <w:t> </w:t>
            </w:r>
          </w:p>
        </w:tc>
        <w:tc>
          <w:tcPr>
            <w:tcW w:w="270" w:type="dxa"/>
            <w:tcBorders/>
            <w:shd w:fill="CCEEFF" w:val="clear"/>
            <w:vAlign w:val="center"/>
          </w:tcPr>
          <w:p>
            <w:pPr>
              <w:pStyle w:val="TableContents"/>
              <w:spacing w:before="0" w:after="0"/>
              <w:ind w:left="0" w:right="0" w:hanging="0"/>
              <w:rPr/>
            </w:pPr>
            <w:r>
              <w:rPr/>
              <w:t> </w:t>
            </w:r>
          </w:p>
        </w:tc>
        <w:tc>
          <w:tcPr>
            <w:tcW w:w="728" w:type="dxa"/>
            <w:tcBorders/>
            <w:shd w:fill="CCEEFF" w:val="clear"/>
            <w:vAlign w:val="center"/>
          </w:tcPr>
          <w:p>
            <w:pPr>
              <w:pStyle w:val="TableContents"/>
              <w:spacing w:before="0" w:after="0"/>
              <w:ind w:left="0" w:right="0" w:hanging="0"/>
              <w:jc w:val="right"/>
              <w:rPr/>
            </w:pPr>
            <w:r>
              <w:rPr/>
              <w:t>—</w:t>
            </w:r>
          </w:p>
        </w:tc>
        <w:tc>
          <w:tcPr>
            <w:tcW w:w="205" w:type="dxa"/>
            <w:tcBorders/>
            <w:shd w:fill="CCEEFF" w:val="clear"/>
            <w:vAlign w:val="center"/>
          </w:tcPr>
          <w:p>
            <w:pPr>
              <w:pStyle w:val="TableContents"/>
              <w:spacing w:before="0" w:after="0"/>
              <w:ind w:left="0" w:right="0" w:hanging="0"/>
              <w:rPr/>
            </w:pPr>
            <w:r>
              <w:rPr/>
              <w:t> </w:t>
            </w:r>
          </w:p>
        </w:tc>
        <w:tc>
          <w:tcPr>
            <w:tcW w:w="129" w:type="dxa"/>
            <w:tcBorders/>
            <w:shd w:fill="CCEEFF" w:val="clear"/>
            <w:vAlign w:val="center"/>
          </w:tcPr>
          <w:p>
            <w:pPr>
              <w:pStyle w:val="TableContents"/>
              <w:spacing w:before="0" w:after="0"/>
              <w:ind w:left="0" w:right="0" w:hanging="0"/>
              <w:rPr/>
            </w:pPr>
            <w:r>
              <w:rPr/>
              <w:t> </w:t>
            </w:r>
          </w:p>
        </w:tc>
        <w:tc>
          <w:tcPr>
            <w:tcW w:w="270" w:type="dxa"/>
            <w:tcBorders/>
            <w:shd w:fill="CCEEFF" w:val="clear"/>
            <w:vAlign w:val="center"/>
          </w:tcPr>
          <w:p>
            <w:pPr>
              <w:pStyle w:val="TableContents"/>
              <w:spacing w:before="0" w:after="0"/>
              <w:ind w:left="0" w:right="0" w:hanging="0"/>
              <w:rPr/>
            </w:pPr>
            <w:r>
              <w:rPr/>
              <w:t> </w:t>
            </w:r>
          </w:p>
        </w:tc>
        <w:tc>
          <w:tcPr>
            <w:tcW w:w="86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43</w:t>
            </w:r>
          </w:p>
        </w:tc>
        <w:tc>
          <w:tcPr>
            <w:tcW w:w="137" w:type="dxa"/>
            <w:tcBorders/>
            <w:shd w:fill="CCEEFF" w:val="clear"/>
            <w:vAlign w:val="center"/>
          </w:tcPr>
          <w:p>
            <w:pPr>
              <w:pStyle w:val="TableContents"/>
              <w:spacing w:before="0" w:after="0"/>
              <w:ind w:left="0" w:right="0" w:hanging="0"/>
              <w:rPr/>
            </w:pPr>
            <w:r>
              <w:rPr/>
              <w:t> </w:t>
            </w:r>
          </w:p>
        </w:tc>
      </w:tr>
      <w:tr>
        <w:trPr/>
        <w:tc>
          <w:tcPr>
            <w:tcW w:w="5997"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Reductions for tax positions of prior years</w:t>
            </w:r>
          </w:p>
        </w:tc>
        <w:tc>
          <w:tcPr>
            <w:tcW w:w="74" w:type="dxa"/>
            <w:tcBorders/>
            <w:shd w:fill="auto" w:val="clear"/>
            <w:vAlign w:val="center"/>
          </w:tcPr>
          <w:p>
            <w:pPr>
              <w:pStyle w:val="TableContents"/>
              <w:spacing w:before="0" w:after="0"/>
              <w:ind w:left="0" w:right="0" w:hanging="0"/>
              <w:rPr/>
            </w:pPr>
            <w:r>
              <w:rPr/>
              <w:t> </w:t>
            </w:r>
          </w:p>
        </w:tc>
        <w:tc>
          <w:tcPr>
            <w:tcW w:w="270" w:type="dxa"/>
            <w:tcBorders/>
            <w:shd w:fill="auto" w:val="clear"/>
            <w:vAlign w:val="center"/>
          </w:tcPr>
          <w:p>
            <w:pPr>
              <w:pStyle w:val="TableContents"/>
              <w:spacing w:before="0" w:after="0"/>
              <w:ind w:left="0" w:right="0" w:hanging="0"/>
              <w:rPr/>
            </w:pPr>
            <w:r>
              <w:rPr/>
              <w:t> </w:t>
            </w:r>
          </w:p>
        </w:tc>
        <w:tc>
          <w:tcPr>
            <w:tcW w:w="728" w:type="dxa"/>
            <w:tcBorders/>
            <w:shd w:fill="auto" w:val="clear"/>
            <w:vAlign w:val="center"/>
          </w:tcPr>
          <w:p>
            <w:pPr>
              <w:pStyle w:val="TableContents"/>
              <w:spacing w:before="0" w:after="0"/>
              <w:ind w:left="0" w:right="0" w:hanging="0"/>
              <w:jc w:val="right"/>
              <w:rPr/>
            </w:pPr>
            <w:r>
              <w:rPr/>
              <w:t>—</w:t>
            </w:r>
          </w:p>
        </w:tc>
        <w:tc>
          <w:tcPr>
            <w:tcW w:w="205" w:type="dxa"/>
            <w:tcBorders/>
            <w:shd w:fill="auto" w:val="clear"/>
            <w:vAlign w:val="center"/>
          </w:tcPr>
          <w:p>
            <w:pPr>
              <w:pStyle w:val="TableContents"/>
              <w:spacing w:before="0" w:after="0"/>
              <w:ind w:left="0" w:right="0" w:hanging="0"/>
              <w:rPr/>
            </w:pPr>
            <w:r>
              <w:rPr/>
            </w:r>
          </w:p>
        </w:tc>
        <w:tc>
          <w:tcPr>
            <w:tcW w:w="129" w:type="dxa"/>
            <w:tcBorders/>
            <w:shd w:fill="auto" w:val="clear"/>
            <w:vAlign w:val="center"/>
          </w:tcPr>
          <w:p>
            <w:pPr>
              <w:pStyle w:val="TableContents"/>
              <w:spacing w:before="0" w:after="0"/>
              <w:ind w:left="0" w:right="0" w:hanging="0"/>
              <w:rPr/>
            </w:pPr>
            <w:r>
              <w:rPr/>
              <w:t> </w:t>
            </w:r>
          </w:p>
        </w:tc>
        <w:tc>
          <w:tcPr>
            <w:tcW w:w="270" w:type="dxa"/>
            <w:tcBorders/>
            <w:shd w:fill="auto" w:val="clear"/>
            <w:vAlign w:val="center"/>
          </w:tcPr>
          <w:p>
            <w:pPr>
              <w:pStyle w:val="TableContents"/>
              <w:spacing w:before="0" w:after="0"/>
              <w:ind w:left="0" w:right="0" w:hanging="0"/>
              <w:rPr/>
            </w:pPr>
            <w:r>
              <w:rPr/>
              <w:t> </w:t>
            </w:r>
          </w:p>
        </w:tc>
        <w:tc>
          <w:tcPr>
            <w:tcW w:w="864" w:type="dxa"/>
            <w:tcBorders/>
            <w:shd w:fill="auto" w:val="clear"/>
            <w:vAlign w:val="center"/>
          </w:tcPr>
          <w:p>
            <w:pPr>
              <w:pStyle w:val="TableContents"/>
              <w:spacing w:before="0" w:after="0"/>
              <w:ind w:left="0" w:right="0" w:hanging="0"/>
              <w:jc w:val="right"/>
              <w:rPr/>
            </w:pPr>
            <w:r>
              <w:rPr/>
              <w:t>—</w:t>
            </w:r>
          </w:p>
        </w:tc>
        <w:tc>
          <w:tcPr>
            <w:tcW w:w="137" w:type="dxa"/>
            <w:tcBorders/>
            <w:shd w:fill="auto" w:val="clear"/>
            <w:vAlign w:val="center"/>
          </w:tcPr>
          <w:p>
            <w:pPr>
              <w:pStyle w:val="TableContents"/>
              <w:spacing w:before="0" w:after="283"/>
              <w:rPr>
                <w:sz w:val="4"/>
                <w:szCs w:val="4"/>
              </w:rPr>
            </w:pPr>
            <w:r>
              <w:rPr>
                <w:sz w:val="4"/>
                <w:szCs w:val="4"/>
              </w:rPr>
            </w:r>
          </w:p>
        </w:tc>
      </w:tr>
      <w:tr>
        <w:trPr/>
        <w:tc>
          <w:tcPr>
            <w:tcW w:w="5997"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Settlements</w:t>
            </w:r>
          </w:p>
        </w:tc>
        <w:tc>
          <w:tcPr>
            <w:tcW w:w="74" w:type="dxa"/>
            <w:tcBorders/>
            <w:shd w:fill="CCEEFF" w:val="clear"/>
            <w:vAlign w:val="center"/>
          </w:tcPr>
          <w:p>
            <w:pPr>
              <w:pStyle w:val="TableContents"/>
              <w:spacing w:before="0" w:after="0"/>
              <w:ind w:left="0" w:right="0" w:hanging="0"/>
              <w:rPr/>
            </w:pPr>
            <w:r>
              <w:rPr/>
              <w:t> </w:t>
            </w:r>
          </w:p>
        </w:tc>
        <w:tc>
          <w:tcPr>
            <w:tcW w:w="270" w:type="dxa"/>
            <w:tcBorders/>
            <w:shd w:fill="CCEEFF" w:val="clear"/>
            <w:vAlign w:val="center"/>
          </w:tcPr>
          <w:p>
            <w:pPr>
              <w:pStyle w:val="TableContents"/>
              <w:spacing w:before="0" w:after="0"/>
              <w:ind w:left="0" w:right="0" w:hanging="0"/>
              <w:rPr/>
            </w:pPr>
            <w:r>
              <w:rPr/>
              <w:t> </w:t>
            </w:r>
          </w:p>
        </w:tc>
        <w:tc>
          <w:tcPr>
            <w:tcW w:w="72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(43</w:t>
            </w:r>
          </w:p>
        </w:tc>
        <w:tc>
          <w:tcPr>
            <w:tcW w:w="205" w:type="dxa"/>
            <w:tcBorders/>
            <w:shd w:fill="CCEEFF" w:val="clear"/>
            <w:vAlign w:val="center"/>
          </w:tcPr>
          <w:p>
            <w:pPr>
              <w:pStyle w:val="TableContents"/>
              <w:spacing w:before="0" w:after="283"/>
              <w:rPr/>
            </w:pPr>
            <w:r>
              <w:rPr/>
              <w:t>)</w:t>
            </w:r>
          </w:p>
        </w:tc>
        <w:tc>
          <w:tcPr>
            <w:tcW w:w="129" w:type="dxa"/>
            <w:tcBorders/>
            <w:shd w:fill="CCEEFF" w:val="clear"/>
            <w:vAlign w:val="center"/>
          </w:tcPr>
          <w:p>
            <w:pPr>
              <w:pStyle w:val="TableContents"/>
              <w:spacing w:before="0" w:after="0"/>
              <w:ind w:left="0" w:right="0" w:hanging="0"/>
              <w:rPr/>
            </w:pPr>
            <w:r>
              <w:rPr/>
              <w:t> </w:t>
            </w:r>
          </w:p>
        </w:tc>
        <w:tc>
          <w:tcPr>
            <w:tcW w:w="270" w:type="dxa"/>
            <w:tcBorders/>
            <w:shd w:fill="CCEEFF" w:val="clear"/>
            <w:vAlign w:val="center"/>
          </w:tcPr>
          <w:p>
            <w:pPr>
              <w:pStyle w:val="TableContents"/>
              <w:spacing w:before="0" w:after="0"/>
              <w:ind w:left="0" w:right="0" w:hanging="0"/>
              <w:rPr/>
            </w:pPr>
            <w:r>
              <w:rPr/>
              <w:t> </w:t>
            </w:r>
          </w:p>
        </w:tc>
        <w:tc>
          <w:tcPr>
            <w:tcW w:w="86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(375</w:t>
            </w:r>
          </w:p>
        </w:tc>
        <w:tc>
          <w:tcPr>
            <w:tcW w:w="137" w:type="dxa"/>
            <w:tcBorders/>
            <w:shd w:fill="CCEEFF" w:val="clear"/>
            <w:vAlign w:val="center"/>
          </w:tcPr>
          <w:p>
            <w:pPr>
              <w:pStyle w:val="TableContents"/>
              <w:spacing w:before="0" w:after="283"/>
              <w:rPr/>
            </w:pPr>
            <w:r>
              <w:rPr/>
              <w:t>)</w:t>
            </w:r>
          </w:p>
        </w:tc>
      </w:tr>
      <w:tr>
        <w:trPr/>
        <w:tc>
          <w:tcPr>
            <w:tcW w:w="5997"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Lapse in statutes of limitations </w:t>
            </w:r>
          </w:p>
        </w:tc>
        <w:tc>
          <w:tcPr>
            <w:tcW w:w="74" w:type="dxa"/>
            <w:tcBorders/>
            <w:shd w:fill="auto" w:val="clear"/>
            <w:vAlign w:val="center"/>
          </w:tcPr>
          <w:p>
            <w:pPr>
              <w:pStyle w:val="TableContents"/>
              <w:spacing w:before="0" w:after="0"/>
              <w:ind w:left="0" w:right="0" w:hanging="0"/>
              <w:rPr/>
            </w:pPr>
            <w:r>
              <w:rPr/>
              <w:t> </w:t>
            </w:r>
          </w:p>
        </w:tc>
        <w:tc>
          <w:tcPr>
            <w:tcW w:w="270" w:type="dxa"/>
            <w:tcBorders/>
            <w:shd w:fill="auto" w:val="clear"/>
            <w:vAlign w:val="center"/>
          </w:tcPr>
          <w:p>
            <w:pPr>
              <w:pStyle w:val="TableContents"/>
              <w:spacing w:before="0" w:after="0"/>
              <w:ind w:left="0" w:right="0" w:hanging="0"/>
              <w:rPr/>
            </w:pPr>
            <w:r>
              <w:rPr/>
              <w:t> </w:t>
            </w:r>
          </w:p>
        </w:tc>
        <w:tc>
          <w:tcPr>
            <w:tcW w:w="72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w:t>
            </w:r>
          </w:p>
        </w:tc>
        <w:tc>
          <w:tcPr>
            <w:tcW w:w="205" w:type="dxa"/>
            <w:tcBorders/>
            <w:shd w:fill="auto" w:val="clear"/>
            <w:vAlign w:val="center"/>
          </w:tcPr>
          <w:p>
            <w:pPr>
              <w:pStyle w:val="TableContents"/>
              <w:spacing w:before="0" w:after="283"/>
              <w:rPr/>
            </w:pPr>
            <w:r>
              <w:rPr/>
              <w:t>)</w:t>
            </w:r>
          </w:p>
        </w:tc>
        <w:tc>
          <w:tcPr>
            <w:tcW w:w="129" w:type="dxa"/>
            <w:tcBorders/>
            <w:shd w:fill="auto" w:val="clear"/>
            <w:vAlign w:val="center"/>
          </w:tcPr>
          <w:p>
            <w:pPr>
              <w:pStyle w:val="TableContents"/>
              <w:spacing w:before="0" w:after="0"/>
              <w:ind w:left="0" w:right="0" w:hanging="0"/>
              <w:rPr/>
            </w:pPr>
            <w:r>
              <w:rPr/>
              <w:t> </w:t>
            </w:r>
          </w:p>
        </w:tc>
        <w:tc>
          <w:tcPr>
            <w:tcW w:w="270" w:type="dxa"/>
            <w:tcBorders/>
            <w:shd w:fill="auto" w:val="clear"/>
            <w:vAlign w:val="center"/>
          </w:tcPr>
          <w:p>
            <w:pPr>
              <w:pStyle w:val="TableContents"/>
              <w:spacing w:before="0" w:after="0"/>
              <w:ind w:left="0" w:right="0" w:hanging="0"/>
              <w:rPr/>
            </w:pPr>
            <w:r>
              <w:rPr/>
              <w:t> </w:t>
            </w:r>
          </w:p>
        </w:tc>
        <w:tc>
          <w:tcPr>
            <w:tcW w:w="86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(99</w:t>
            </w:r>
          </w:p>
        </w:tc>
        <w:tc>
          <w:tcPr>
            <w:tcW w:w="137" w:type="dxa"/>
            <w:tcBorders/>
            <w:shd w:fill="auto" w:val="clear"/>
            <w:vAlign w:val="center"/>
          </w:tcPr>
          <w:p>
            <w:pPr>
              <w:pStyle w:val="TableContents"/>
              <w:spacing w:before="0" w:after="283"/>
              <w:rPr/>
            </w:pPr>
            <w:r>
              <w:rPr/>
              <w:t>)</w:t>
            </w:r>
          </w:p>
        </w:tc>
      </w:tr>
      <w:tr>
        <w:trPr/>
        <w:tc>
          <w:tcPr>
            <w:tcW w:w="599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Uncertain tax positions, ending balance</w:t>
            </w:r>
          </w:p>
        </w:tc>
        <w:tc>
          <w:tcPr>
            <w:tcW w:w="74" w:type="dxa"/>
            <w:tcBorders/>
            <w:shd w:fill="CCEEFF" w:val="clear"/>
            <w:vAlign w:val="center"/>
          </w:tcPr>
          <w:p>
            <w:pPr>
              <w:pStyle w:val="TableContents"/>
              <w:spacing w:before="0" w:after="0"/>
              <w:ind w:left="0" w:right="0" w:hanging="0"/>
              <w:rPr/>
            </w:pPr>
            <w:r>
              <w:rPr/>
              <w:t> </w:t>
            </w:r>
          </w:p>
        </w:tc>
        <w:tc>
          <w:tcPr>
            <w:tcW w:w="2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2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861</w:t>
            </w:r>
          </w:p>
        </w:tc>
        <w:tc>
          <w:tcPr>
            <w:tcW w:w="205" w:type="dxa"/>
            <w:tcBorders/>
            <w:shd w:fill="CCEEFF" w:val="clear"/>
            <w:vAlign w:val="center"/>
          </w:tcPr>
          <w:p>
            <w:pPr>
              <w:pStyle w:val="TableContents"/>
              <w:spacing w:before="0" w:after="0"/>
              <w:ind w:left="0" w:right="0" w:hanging="0"/>
              <w:rPr/>
            </w:pPr>
            <w:r>
              <w:rPr/>
              <w:t> </w:t>
            </w:r>
          </w:p>
        </w:tc>
        <w:tc>
          <w:tcPr>
            <w:tcW w:w="129" w:type="dxa"/>
            <w:tcBorders/>
            <w:shd w:fill="CCEEFF" w:val="clear"/>
            <w:vAlign w:val="center"/>
          </w:tcPr>
          <w:p>
            <w:pPr>
              <w:pStyle w:val="TableContents"/>
              <w:spacing w:before="0" w:after="0"/>
              <w:ind w:left="0" w:right="0" w:hanging="0"/>
              <w:rPr/>
            </w:pPr>
            <w:r>
              <w:rPr/>
              <w:t> </w:t>
            </w:r>
          </w:p>
        </w:tc>
        <w:tc>
          <w:tcPr>
            <w:tcW w:w="2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6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298</w:t>
            </w:r>
          </w:p>
        </w:tc>
        <w:tc>
          <w:tcPr>
            <w:tcW w:w="137" w:type="dxa"/>
            <w:tcBorders/>
            <w:shd w:fill="CCEEFF" w:val="clear"/>
            <w:vAlign w:val="center"/>
          </w:tcPr>
          <w:p>
            <w:pPr>
              <w:pStyle w:val="TableContents"/>
              <w:spacing w:before="0" w:after="0"/>
              <w:ind w:left="0" w:right="0" w:hanging="0"/>
              <w:rPr/>
            </w:pPr>
            <w:r>
              <w:rPr/>
              <w:t> </w:t>
            </w:r>
          </w:p>
        </w:tc>
      </w:tr>
    </w:tbl>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Company’s U.S. federal income tax returns for 2017</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through 2020</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are subject to examination. The Company also files in various state and foreign jurisdictions. With few exceptions, the Company is no longer subject to federal, state, or non-U.S. income tax examinations by tax authorities for years prior to 2017.</w:t>
      </w:r>
      <w:r>
        <w:rPr>
          <w:rFonts w:ascii="times new roman;times" w:hAnsi="times new roman;times"/>
          <w:b w:val="false"/>
          <w:i w:val="false"/>
          <w:caps w:val="false"/>
          <w:smallCaps w:val="false"/>
          <w:color w:val="000000"/>
          <w:spacing w:val="0"/>
          <w:sz w:val="20"/>
        </w:rPr>
        <w:t>  </w:t>
      </w:r>
    </w:p>
    <w:p>
      <w:pPr>
        <w:pStyle w:val="TextBody"/>
        <w:spacing w:before="0" w:after="0"/>
        <w:ind w:left="0" w:right="0" w:hanging="0"/>
        <w:jc w:val="both"/>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F-31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14</w:t>
      </w:r>
      <w:r>
        <w:rPr>
          <w:rFonts w:ascii="Times New Roman" w:hAnsi="Times New Roman"/>
          <w:b/>
          <w:sz w:val="20"/>
        </w:rPr>
        <w:t>. Geographic Sales Information</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The United States was the only country to contribute more than 10 percent of total revenues in each fiscal year. The Company’s revenues are substantially denominated in U.S. dollars and are summarized geographically as follows: </w:t>
      </w:r>
    </w:p>
    <w:p>
      <w:pPr>
        <w:pStyle w:val="TextBody"/>
        <w:spacing w:before="0" w:after="0"/>
        <w:ind w:left="144" w:right="144" w:hanging="0"/>
        <w:rPr/>
      </w:pPr>
      <w:r>
        <w:rPr/>
      </w:r>
    </w:p>
    <w:tbl>
      <w:tblPr>
        <w:tblW w:w="4250" w:type="pct"/>
        <w:jc w:val="left"/>
        <w:tblInd w:w="0" w:type="dxa"/>
        <w:tblCellMar>
          <w:top w:w="0" w:type="dxa"/>
          <w:left w:w="0" w:type="dxa"/>
          <w:bottom w:w="0" w:type="dxa"/>
          <w:right w:w="0" w:type="dxa"/>
        </w:tblCellMar>
      </w:tblPr>
      <w:tblGrid>
        <w:gridCol w:w="3397"/>
        <w:gridCol w:w="256"/>
        <w:gridCol w:w="434"/>
        <w:gridCol w:w="1626"/>
        <w:gridCol w:w="306"/>
        <w:gridCol w:w="307"/>
        <w:gridCol w:w="435"/>
        <w:gridCol w:w="1625"/>
        <w:gridCol w:w="288"/>
      </w:tblGrid>
      <w:tr>
        <w:trPr/>
        <w:tc>
          <w:tcPr>
            <w:tcW w:w="3397" w:type="dxa"/>
            <w:tcBorders/>
            <w:shd w:fill="auto" w:val="clear"/>
            <w:vAlign w:val="center"/>
          </w:tcPr>
          <w:p>
            <w:pPr>
              <w:pStyle w:val="TableContents"/>
              <w:spacing w:before="0" w:after="0"/>
              <w:ind w:left="0" w:right="0" w:hanging="0"/>
              <w:rPr/>
            </w:pPr>
            <w:r>
              <w:rPr/>
              <w:t xml:space="preserve">  </w:t>
            </w:r>
          </w:p>
        </w:tc>
        <w:tc>
          <w:tcPr>
            <w:tcW w:w="256" w:type="dxa"/>
            <w:tcBorders/>
            <w:shd w:fill="auto" w:val="clear"/>
            <w:vAlign w:val="center"/>
          </w:tcPr>
          <w:p>
            <w:pPr>
              <w:pStyle w:val="TableContents"/>
              <w:spacing w:before="0" w:after="0"/>
              <w:ind w:left="0" w:right="0" w:hanging="0"/>
              <w:rPr/>
            </w:pPr>
            <w:r>
              <w:rPr/>
              <w:t xml:space="preserve">  </w:t>
            </w:r>
          </w:p>
        </w:tc>
        <w:tc>
          <w:tcPr>
            <w:tcW w:w="4733" w:type="dxa"/>
            <w:gridSpan w:val="6"/>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Year ended December 31, </w:t>
            </w:r>
          </w:p>
        </w:tc>
        <w:tc>
          <w:tcPr>
            <w:tcW w:w="288" w:type="dxa"/>
            <w:tcBorders/>
            <w:shd w:fill="auto" w:val="clear"/>
            <w:vAlign w:val="center"/>
          </w:tcPr>
          <w:p>
            <w:pPr>
              <w:pStyle w:val="TableContents"/>
              <w:spacing w:before="0" w:after="0"/>
              <w:ind w:left="0" w:right="0" w:hanging="0"/>
              <w:rPr/>
            </w:pPr>
            <w:r>
              <w:rPr/>
              <w:t xml:space="preserve">  </w:t>
            </w:r>
          </w:p>
        </w:tc>
      </w:tr>
      <w:tr>
        <w:trPr/>
        <w:tc>
          <w:tcPr>
            <w:tcW w:w="3397" w:type="dxa"/>
            <w:tcBorders/>
            <w:shd w:fill="auto" w:val="clear"/>
            <w:vAlign w:val="center"/>
          </w:tcPr>
          <w:p>
            <w:pPr>
              <w:pStyle w:val="TableContents"/>
              <w:spacing w:before="0" w:after="0"/>
              <w:ind w:left="0" w:right="0" w:hanging="0"/>
              <w:rPr/>
            </w:pPr>
            <w:r>
              <w:rPr/>
              <w:t xml:space="preserve">  </w:t>
            </w:r>
          </w:p>
        </w:tc>
        <w:tc>
          <w:tcPr>
            <w:tcW w:w="256" w:type="dxa"/>
            <w:tcBorders/>
            <w:shd w:fill="auto" w:val="clear"/>
            <w:vAlign w:val="center"/>
          </w:tcPr>
          <w:p>
            <w:pPr>
              <w:pStyle w:val="TableContents"/>
              <w:spacing w:before="0" w:after="0"/>
              <w:ind w:left="0" w:right="0" w:hanging="0"/>
              <w:rPr/>
            </w:pPr>
            <w:r>
              <w:rPr/>
              <w:t xml:space="preserve">  </w:t>
            </w:r>
          </w:p>
        </w:tc>
        <w:tc>
          <w:tcPr>
            <w:tcW w:w="2060"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2020 </w:t>
            </w:r>
          </w:p>
        </w:tc>
        <w:tc>
          <w:tcPr>
            <w:tcW w:w="306" w:type="dxa"/>
            <w:tcBorders/>
            <w:shd w:fill="auto" w:val="clear"/>
            <w:vAlign w:val="center"/>
          </w:tcPr>
          <w:p>
            <w:pPr>
              <w:pStyle w:val="TableContents"/>
              <w:spacing w:before="0" w:after="0"/>
              <w:ind w:left="0" w:right="0" w:hanging="0"/>
              <w:rPr/>
            </w:pPr>
            <w:r>
              <w:rPr/>
              <w:t xml:space="preserve">  </w:t>
            </w:r>
          </w:p>
        </w:tc>
        <w:tc>
          <w:tcPr>
            <w:tcW w:w="307" w:type="dxa"/>
            <w:tcBorders/>
            <w:shd w:fill="auto" w:val="clear"/>
            <w:vAlign w:val="center"/>
          </w:tcPr>
          <w:p>
            <w:pPr>
              <w:pStyle w:val="TableContents"/>
              <w:spacing w:before="0" w:after="0"/>
              <w:ind w:left="0" w:right="0" w:hanging="0"/>
              <w:rPr/>
            </w:pPr>
            <w:r>
              <w:rPr/>
              <w:t xml:space="preserve">  </w:t>
            </w:r>
          </w:p>
        </w:tc>
        <w:tc>
          <w:tcPr>
            <w:tcW w:w="2060"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2019 </w:t>
            </w:r>
          </w:p>
        </w:tc>
        <w:tc>
          <w:tcPr>
            <w:tcW w:w="288" w:type="dxa"/>
            <w:tcBorders/>
            <w:shd w:fill="auto" w:val="clear"/>
            <w:vAlign w:val="center"/>
          </w:tcPr>
          <w:p>
            <w:pPr>
              <w:pStyle w:val="TableContents"/>
              <w:spacing w:before="0" w:after="0"/>
              <w:ind w:left="0" w:right="0" w:hanging="0"/>
              <w:rPr/>
            </w:pPr>
            <w:r>
              <w:rPr/>
              <w:t xml:space="preserve">  </w:t>
            </w:r>
          </w:p>
        </w:tc>
      </w:tr>
      <w:tr>
        <w:trPr/>
        <w:tc>
          <w:tcPr>
            <w:tcW w:w="339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United States </w:t>
            </w:r>
          </w:p>
        </w:tc>
        <w:tc>
          <w:tcPr>
            <w:tcW w:w="256" w:type="dxa"/>
            <w:tcBorders/>
            <w:shd w:fill="CCEEFF" w:val="clear"/>
            <w:vAlign w:val="center"/>
          </w:tcPr>
          <w:p>
            <w:pPr>
              <w:pStyle w:val="TableContents"/>
              <w:spacing w:before="0" w:after="0"/>
              <w:ind w:left="0" w:right="0" w:hanging="0"/>
              <w:rPr/>
            </w:pPr>
            <w:r>
              <w:rPr/>
              <w:t xml:space="preserve">  </w:t>
            </w:r>
          </w:p>
        </w:tc>
        <w:tc>
          <w:tcPr>
            <w:tcW w:w="43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2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17,983 </w:t>
            </w:r>
          </w:p>
        </w:tc>
        <w:tc>
          <w:tcPr>
            <w:tcW w:w="306" w:type="dxa"/>
            <w:tcBorders/>
            <w:shd w:fill="CCEEFF" w:val="clear"/>
            <w:vAlign w:val="center"/>
          </w:tcPr>
          <w:p>
            <w:pPr>
              <w:pStyle w:val="TableContents"/>
              <w:spacing w:before="0" w:after="0"/>
              <w:ind w:left="0" w:right="0" w:hanging="0"/>
              <w:rPr/>
            </w:pPr>
            <w:r>
              <w:rPr/>
              <w:t xml:space="preserve">  </w:t>
            </w:r>
          </w:p>
        </w:tc>
        <w:tc>
          <w:tcPr>
            <w:tcW w:w="307" w:type="dxa"/>
            <w:tcBorders/>
            <w:shd w:fill="CCEEFF" w:val="clear"/>
            <w:vAlign w:val="center"/>
          </w:tcPr>
          <w:p>
            <w:pPr>
              <w:pStyle w:val="TableContents"/>
              <w:spacing w:before="0" w:after="0"/>
              <w:ind w:left="0" w:right="0" w:hanging="0"/>
              <w:rPr/>
            </w:pPr>
            <w:r>
              <w:rPr/>
              <w:t xml:space="preserve">  </w:t>
            </w:r>
          </w:p>
        </w:tc>
        <w:tc>
          <w:tcPr>
            <w:tcW w:w="4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2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13,463 </w:t>
            </w:r>
          </w:p>
        </w:tc>
        <w:tc>
          <w:tcPr>
            <w:tcW w:w="288" w:type="dxa"/>
            <w:tcBorders/>
            <w:shd w:fill="CCEEFF" w:val="clear"/>
            <w:vAlign w:val="center"/>
          </w:tcPr>
          <w:p>
            <w:pPr>
              <w:pStyle w:val="TableContents"/>
              <w:spacing w:before="0" w:after="0"/>
              <w:ind w:left="0" w:right="0" w:hanging="0"/>
              <w:rPr/>
            </w:pPr>
            <w:r>
              <w:rPr/>
              <w:t xml:space="preserve">  </w:t>
            </w:r>
          </w:p>
        </w:tc>
      </w:tr>
      <w:tr>
        <w:trPr/>
        <w:tc>
          <w:tcPr>
            <w:tcW w:w="339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All other countries </w:t>
            </w:r>
          </w:p>
        </w:tc>
        <w:tc>
          <w:tcPr>
            <w:tcW w:w="256" w:type="dxa"/>
            <w:tcBorders/>
            <w:shd w:fill="auto" w:val="clear"/>
            <w:vAlign w:val="center"/>
          </w:tcPr>
          <w:p>
            <w:pPr>
              <w:pStyle w:val="TableContents"/>
              <w:spacing w:before="0" w:after="0"/>
              <w:ind w:left="0" w:right="0" w:hanging="0"/>
              <w:rPr/>
            </w:pPr>
            <w:r>
              <w:rPr/>
              <w:t xml:space="preserve">  </w:t>
            </w:r>
          </w:p>
        </w:tc>
        <w:tc>
          <w:tcPr>
            <w:tcW w:w="434"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626"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11,086 </w:t>
            </w:r>
          </w:p>
        </w:tc>
        <w:tc>
          <w:tcPr>
            <w:tcW w:w="306" w:type="dxa"/>
            <w:tcBorders/>
            <w:shd w:fill="auto" w:val="clear"/>
            <w:vAlign w:val="center"/>
          </w:tcPr>
          <w:p>
            <w:pPr>
              <w:pStyle w:val="TableContents"/>
              <w:spacing w:before="0" w:after="0"/>
              <w:ind w:left="0" w:right="0" w:hanging="0"/>
              <w:rPr/>
            </w:pPr>
            <w:r>
              <w:rPr/>
              <w:t xml:space="preserve">  </w:t>
            </w:r>
          </w:p>
        </w:tc>
        <w:tc>
          <w:tcPr>
            <w:tcW w:w="307" w:type="dxa"/>
            <w:tcBorders/>
            <w:shd w:fill="auto" w:val="clear"/>
            <w:vAlign w:val="center"/>
          </w:tcPr>
          <w:p>
            <w:pPr>
              <w:pStyle w:val="TableContents"/>
              <w:spacing w:before="0" w:after="0"/>
              <w:ind w:left="0" w:right="0" w:hanging="0"/>
              <w:rPr/>
            </w:pPr>
            <w:r>
              <w:rPr/>
              <w:t xml:space="preserve">  </w:t>
            </w:r>
          </w:p>
        </w:tc>
        <w:tc>
          <w:tcPr>
            <w:tcW w:w="43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625"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11,579 </w:t>
            </w:r>
          </w:p>
        </w:tc>
        <w:tc>
          <w:tcPr>
            <w:tcW w:w="288" w:type="dxa"/>
            <w:tcBorders/>
            <w:shd w:fill="auto" w:val="clear"/>
            <w:vAlign w:val="center"/>
          </w:tcPr>
          <w:p>
            <w:pPr>
              <w:pStyle w:val="TableContents"/>
              <w:spacing w:before="0" w:after="0"/>
              <w:ind w:left="0" w:right="0" w:hanging="0"/>
              <w:rPr/>
            </w:pPr>
            <w:r>
              <w:rPr/>
              <w:t xml:space="preserve">  </w:t>
            </w:r>
          </w:p>
        </w:tc>
      </w:tr>
      <w:tr>
        <w:trPr/>
        <w:tc>
          <w:tcPr>
            <w:tcW w:w="339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256" w:type="dxa"/>
            <w:tcBorders/>
            <w:shd w:fill="CCEEFF" w:val="clear"/>
            <w:vAlign w:val="center"/>
          </w:tcPr>
          <w:p>
            <w:pPr>
              <w:pStyle w:val="TableContents"/>
              <w:spacing w:before="0" w:after="0"/>
              <w:ind w:left="0" w:right="0" w:hanging="0"/>
              <w:rPr/>
            </w:pPr>
            <w:r>
              <w:rPr/>
              <w:t xml:space="preserve">  </w:t>
            </w:r>
          </w:p>
        </w:tc>
        <w:tc>
          <w:tcPr>
            <w:tcW w:w="4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29,069 </w:t>
            </w:r>
          </w:p>
        </w:tc>
        <w:tc>
          <w:tcPr>
            <w:tcW w:w="306" w:type="dxa"/>
            <w:tcBorders/>
            <w:shd w:fill="CCEEFF" w:val="clear"/>
            <w:vAlign w:val="center"/>
          </w:tcPr>
          <w:p>
            <w:pPr>
              <w:pStyle w:val="TableContents"/>
              <w:spacing w:before="0" w:after="0"/>
              <w:ind w:left="0" w:right="0" w:hanging="0"/>
              <w:rPr/>
            </w:pPr>
            <w:r>
              <w:rPr/>
              <w:t xml:space="preserve">  </w:t>
            </w:r>
          </w:p>
        </w:tc>
        <w:tc>
          <w:tcPr>
            <w:tcW w:w="307" w:type="dxa"/>
            <w:tcBorders/>
            <w:shd w:fill="CCEEFF" w:val="clear"/>
            <w:vAlign w:val="center"/>
          </w:tcPr>
          <w:p>
            <w:pPr>
              <w:pStyle w:val="TableContents"/>
              <w:spacing w:before="0" w:after="0"/>
              <w:ind w:left="0" w:right="0" w:hanging="0"/>
              <w:rPr/>
            </w:pPr>
            <w:r>
              <w:rPr/>
              <w:t xml:space="preserve">  </w:t>
            </w:r>
          </w:p>
        </w:tc>
        <w:tc>
          <w:tcPr>
            <w:tcW w:w="4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2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25,042 </w:t>
            </w:r>
          </w:p>
        </w:tc>
        <w:tc>
          <w:tcPr>
            <w:tcW w:w="288"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15</w:t>
      </w:r>
      <w:r>
        <w:rPr>
          <w:rFonts w:ascii="Times New Roman" w:hAnsi="Times New Roman"/>
          <w:b/>
          <w:sz w:val="20"/>
        </w:rPr>
        <w:t>. The Impact of Covid-19</w:t>
      </w:r>
    </w:p>
    <w:p>
      <w:pPr>
        <w:pStyle w:val="TextBody"/>
        <w:spacing w:before="0" w:after="0"/>
        <w:ind w:left="0" w:right="0" w:hanging="0"/>
        <w:jc w:val="both"/>
        <w:rPr/>
      </w:pPr>
      <w:r>
        <w:rPr/>
        <w:t> </w:t>
      </w:r>
    </w:p>
    <w:p>
      <w:pPr>
        <w:pStyle w:val="TextBody"/>
        <w:jc w:val="both"/>
        <w:rPr>
          <w:rFonts w:ascii="times new roman;times" w:hAnsi="times new roman;times"/>
          <w:sz w:val="20"/>
        </w:rPr>
      </w:pPr>
      <w:r>
        <w:rPr>
          <w:rFonts w:ascii="times new roman;times" w:hAnsi="times new roman;times"/>
          <w:sz w:val="20"/>
        </w:rPr>
        <w:t>As of the time of this filing the Company’s operating activities have been curtailed by the impact of Covid-19. Government directives have suspended manufacturing and limited workplace activities beginning March 23, 2020. The Company has empowered its employees to work remotely wherever possible to minimize the disruption to Company operations. The Company has received no communications from customers that indicate cancellations or substantial change in delivery schedules. Public health directives from governments around the world are advising or prohibiting large gatherings to inhibit the spread of Covid-19. This has suspended the use of our products for much of our installed customer base. Continued restrictions and the positional behavioral changes resulting from the impact of Covid-19 may continue to influence the demand for our products which typically attract a large audience. Also, the ongoing impact of Covid-19 on the world’s economy could ultimately have material adverse consequences to the Company; however, as of now, the Company is unable to determine the likelihood or degree of such adverse consequences.</w:t>
      </w:r>
    </w:p>
    <w:p>
      <w:pPr>
        <w:pStyle w:val="TextBody"/>
        <w:spacing w:before="0" w:after="0"/>
        <w:ind w:left="0" w:right="0" w:hanging="0"/>
        <w:jc w:val="both"/>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F-32 |</w:t>
            </w:r>
          </w:p>
        </w:tc>
      </w:tr>
    </w:tbl>
    <w:p>
      <w:pPr>
        <w:pStyle w:val="HorizontalLine"/>
        <w:rPr/>
      </w:pPr>
      <w:r>
        <w:rPr/>
      </w:r>
      <w:r>
        <w:br w:type="page"/>
      </w:r>
    </w:p>
    <w:p>
      <w:pPr>
        <w:pStyle w:val="TextBody"/>
        <w:spacing w:before="0" w:after="0"/>
        <w:ind w:left="0" w:right="0" w:hanging="0"/>
        <w:jc w:val="right"/>
        <w:rPr>
          <w:rFonts w:ascii="Times New Roman" w:hAnsi="Times New Roman"/>
          <w:b/>
          <w:sz w:val="20"/>
        </w:rPr>
      </w:pPr>
      <w:bookmarkStart w:id="2" w:name="ex211_1.htm"/>
      <w:bookmarkStart w:id="3" w:name="ksex211_1"/>
      <w:bookmarkEnd w:id="2"/>
      <w:bookmarkEnd w:id="3"/>
      <w:r>
        <w:rPr>
          <w:rFonts w:ascii="Times New Roman" w:hAnsi="Times New Roman"/>
          <w:b/>
          <w:sz w:val="20"/>
        </w:rPr>
        <w:t>EXHIBIT 21.1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SUBSIDIARIES OF THE REGISTRANT</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NetStreams, Inc. (DE)</w:t>
      </w:r>
    </w:p>
    <w:p>
      <w:pPr>
        <w:pStyle w:val="TextBody"/>
        <w:spacing w:before="0" w:after="0"/>
        <w:ind w:left="0" w:right="0" w:hanging="0"/>
        <w:rPr>
          <w:rFonts w:ascii="Times New Roman" w:hAnsi="Times New Roman"/>
          <w:sz w:val="20"/>
        </w:rPr>
      </w:pPr>
      <w:r>
        <w:rPr>
          <w:rFonts w:ascii="Times New Roman" w:hAnsi="Times New Roman"/>
          <w:sz w:val="20"/>
        </w:rPr>
        <w:t>NetStreams, LLC. (TX)</w:t>
      </w:r>
    </w:p>
    <w:p>
      <w:pPr>
        <w:pStyle w:val="TextBody"/>
        <w:spacing w:before="0" w:after="0"/>
        <w:ind w:left="0" w:right="0" w:hanging="0"/>
        <w:rPr>
          <w:rFonts w:ascii="Times New Roman" w:hAnsi="Times New Roman"/>
          <w:sz w:val="20"/>
        </w:rPr>
      </w:pPr>
      <w:r>
        <w:rPr>
          <w:rFonts w:ascii="Times New Roman" w:hAnsi="Times New Roman"/>
          <w:sz w:val="20"/>
        </w:rPr>
        <w:t>ClearOne Web Solutions, Inc. (DE)</w:t>
      </w:r>
    </w:p>
    <w:p>
      <w:pPr>
        <w:pStyle w:val="TextBody"/>
        <w:spacing w:before="0" w:after="0"/>
        <w:ind w:left="0" w:right="0" w:hanging="0"/>
        <w:rPr>
          <w:rFonts w:ascii="Times New Roman" w:hAnsi="Times New Roman"/>
          <w:sz w:val="20"/>
        </w:rPr>
      </w:pPr>
      <w:r>
        <w:rPr>
          <w:rFonts w:ascii="Times New Roman" w:hAnsi="Times New Roman"/>
          <w:sz w:val="20"/>
        </w:rPr>
        <w:t>ClearOne Communications Hong Kong Limited (Hong Kong)</w:t>
      </w:r>
    </w:p>
    <w:p>
      <w:pPr>
        <w:pStyle w:val="TextBody"/>
        <w:spacing w:before="0" w:after="0"/>
        <w:ind w:left="0" w:right="0" w:hanging="0"/>
        <w:rPr>
          <w:rFonts w:ascii="Times New Roman" w:hAnsi="Times New Roman"/>
          <w:sz w:val="20"/>
        </w:rPr>
      </w:pPr>
      <w:r>
        <w:rPr>
          <w:rFonts w:ascii="Times New Roman" w:hAnsi="Times New Roman"/>
          <w:sz w:val="20"/>
        </w:rPr>
        <w:t>ClearOne Ltd. (Israel)</w:t>
      </w:r>
    </w:p>
    <w:p>
      <w:pPr>
        <w:pStyle w:val="TextBody"/>
        <w:spacing w:before="0" w:after="0"/>
        <w:ind w:left="0" w:right="0" w:hanging="0"/>
        <w:rPr>
          <w:rFonts w:ascii="Times New Roman" w:hAnsi="Times New Roman"/>
          <w:sz w:val="20"/>
        </w:rPr>
      </w:pPr>
      <w:r>
        <w:rPr>
          <w:rFonts w:ascii="Times New Roman" w:hAnsi="Times New Roman"/>
          <w:sz w:val="20"/>
        </w:rPr>
        <w:t>ClearOne DMCC Branch (Dubai)</w:t>
      </w:r>
    </w:p>
    <w:p>
      <w:pPr>
        <w:pStyle w:val="TextBody"/>
        <w:spacing w:before="0" w:after="0"/>
        <w:ind w:left="0" w:right="0" w:hanging="0"/>
        <w:rPr>
          <w:rFonts w:ascii="Times New Roman" w:hAnsi="Times New Roman"/>
          <w:sz w:val="20"/>
        </w:rPr>
      </w:pPr>
      <w:r>
        <w:rPr>
          <w:rFonts w:ascii="Times New Roman" w:hAnsi="Times New Roman"/>
          <w:sz w:val="20"/>
        </w:rPr>
        <w:t>ClearOne Innovation India Private Ltd. (India)</w:t>
      </w:r>
    </w:p>
    <w:p>
      <w:pPr>
        <w:pStyle w:val="TextBody"/>
        <w:spacing w:before="0" w:after="0"/>
        <w:ind w:left="0" w:right="0" w:hanging="0"/>
        <w:rPr>
          <w:rFonts w:ascii="Times New Roman" w:hAnsi="Times New Roman"/>
          <w:sz w:val="20"/>
        </w:rPr>
      </w:pPr>
      <w:r>
        <w:rPr>
          <w:rFonts w:ascii="Times New Roman" w:hAnsi="Times New Roman"/>
          <w:sz w:val="20"/>
        </w:rPr>
        <w:t>ClearOne Spain SL (Spain)</w:t>
      </w:r>
    </w:p>
    <w:p>
      <w:pPr>
        <w:pStyle w:val="TextBody"/>
        <w:spacing w:before="0" w:after="0"/>
        <w:ind w:left="0" w:right="0" w:hanging="0"/>
        <w:rPr/>
      </w:pPr>
      <w:r>
        <w:rPr/>
        <w:t> </w:t>
      </w:r>
    </w:p>
    <w:p>
      <w:pPr>
        <w:pStyle w:val="TextBody"/>
        <w:rPr/>
      </w:pPr>
      <w:r>
        <w:rPr/>
      </w:r>
    </w:p>
    <w:p>
      <w:pPr>
        <w:pStyle w:val="TextBody"/>
        <w:spacing w:before="0" w:after="0"/>
        <w:ind w:left="144" w:right="294" w:hanging="0"/>
        <w:jc w:val="right"/>
        <w:rPr/>
      </w:pPr>
      <w:r>
        <w:rPr/>
      </w:r>
    </w:p>
    <w:p>
      <w:pPr>
        <w:pStyle w:val="TextBody"/>
        <w:rPr/>
      </w:pPr>
      <w:r>
        <w:rPr/>
      </w:r>
      <w:r>
        <w:br w:type="page"/>
      </w:r>
    </w:p>
    <w:p>
      <w:pPr>
        <w:pStyle w:val="TextBody"/>
        <w:spacing w:before="0" w:after="0"/>
        <w:ind w:left="0" w:right="0" w:hanging="0"/>
        <w:jc w:val="right"/>
        <w:rPr>
          <w:rFonts w:ascii="times new roman;times" w:hAnsi="times new roman;times"/>
          <w:b/>
          <w:sz w:val="20"/>
        </w:rPr>
      </w:pPr>
      <w:bookmarkStart w:id="4" w:name="ex231_2.htm"/>
      <w:bookmarkStart w:id="5" w:name="ksex231_2"/>
      <w:bookmarkEnd w:id="4"/>
      <w:bookmarkEnd w:id="5"/>
      <w:r>
        <w:rPr>
          <w:rFonts w:ascii="times new roman;times" w:hAnsi="times new roman;times"/>
          <w:b/>
          <w:sz w:val="20"/>
        </w:rPr>
        <w:t>EXHIBIT 23.1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CONSENT OF INDEPENDENT REGISTERED PUBLIC ACCOUNTING FIRM</w:t>
      </w:r>
    </w:p>
    <w:p>
      <w:pPr>
        <w:pStyle w:val="TextBody"/>
        <w:spacing w:before="0" w:after="0"/>
        <w:ind w:left="0" w:right="0" w:hanging="0"/>
        <w:rPr/>
      </w:pPr>
      <w:r>
        <w:rPr/>
        <w:t> </w:t>
      </w:r>
    </w:p>
    <w:p>
      <w:pPr>
        <w:pStyle w:val="TextBody"/>
        <w:widowControl/>
        <w:spacing w:before="0" w:after="0"/>
        <w:ind w:left="0" w:right="0" w:hanging="0"/>
        <w:rPr>
          <w:rFonts w:ascii="times new roman;times" w:hAnsi="times new roman;times"/>
          <w:sz w:val="20"/>
        </w:rPr>
      </w:pPr>
      <w:r>
        <w:rPr>
          <w:rFonts w:ascii="Times New Roman" w:hAnsi="Times New Roman"/>
          <w:sz w:val="20"/>
        </w:rPr>
        <w:t>We consent to the incorporation by reference in Registration Statements (Nos. 333-205356, 333-209130, 333-148789 and 333-137859) on Form S-8</w:t>
      </w:r>
      <w:r>
        <w:rPr>
          <w:rFonts w:ascii="times new roman;times" w:hAnsi="times new roman;times"/>
          <w:sz w:val="20"/>
        </w:rPr>
        <w:t xml:space="preserve">  </w:t>
      </w:r>
      <w:r>
        <w:rPr>
          <w:rFonts w:ascii="Times New Roman" w:hAnsi="Times New Roman"/>
          <w:sz w:val="20"/>
        </w:rPr>
        <w:t xml:space="preserve">on Form S-1 </w:t>
      </w:r>
      <w:r>
        <w:rPr>
          <w:rFonts w:ascii="Times New Roman" w:hAnsi="Times New Roman"/>
          <w:b w:val="false"/>
          <w:i w:val="false"/>
          <w:caps w:val="false"/>
          <w:smallCaps w:val="false"/>
          <w:color w:val="000000"/>
          <w:spacing w:val="0"/>
          <w:sz w:val="20"/>
        </w:rPr>
        <w:t>(No. 333-249506) </w:t>
      </w:r>
      <w:r>
        <w:rPr>
          <w:rFonts w:ascii="Times New Roman" w:hAnsi="Times New Roman"/>
          <w:sz w:val="20"/>
        </w:rPr>
        <w:t xml:space="preserve">and on Form S-3 </w:t>
      </w:r>
      <w:r>
        <w:rPr>
          <w:rFonts w:ascii="Times New Roman" w:hAnsi="Times New Roman"/>
          <w:b w:val="false"/>
          <w:i w:val="false"/>
          <w:caps w:val="false"/>
          <w:smallCaps w:val="false"/>
          <w:color w:val="000000"/>
          <w:spacing w:val="0"/>
          <w:sz w:val="20"/>
        </w:rPr>
        <w:t>(Nos. 333-248412 and 333-238085) </w:t>
      </w:r>
      <w:r>
        <w:rPr>
          <w:rFonts w:ascii="Times New Roman" w:hAnsi="Times New Roman"/>
          <w:sz w:val="20"/>
        </w:rPr>
        <w:t>of ClearOne, Inc. of our report dated March 31, 2021, relating to our audit of the consolidated financial statements, which appears in this Annual Report on Form 10-K of ClearOne, Inc. for the year ended December 31, 2020.</w:t>
      </w:r>
    </w:p>
    <w:p>
      <w:pPr>
        <w:pStyle w:val="TextBody"/>
        <w:spacing w:before="0" w:after="0"/>
        <w:ind w:left="0" w:right="0" w:hanging="0"/>
        <w:rPr/>
      </w:pPr>
      <w:r>
        <w:rPr/>
        <w:t> </w:t>
      </w:r>
    </w:p>
    <w:p>
      <w:pPr>
        <w:pStyle w:val="TextBody"/>
        <w:spacing w:before="0" w:after="0"/>
        <w:ind w:left="0" w:right="0" w:hanging="0"/>
        <w:rPr>
          <w:rFonts w:ascii="Times New Roman" w:hAnsi="Times New Roman"/>
          <w:i/>
          <w:sz w:val="20"/>
        </w:rPr>
      </w:pPr>
      <w:r>
        <w:rPr>
          <w:rFonts w:ascii="Times New Roman" w:hAnsi="Times New Roman"/>
          <w:i/>
          <w:sz w:val="20"/>
        </w:rPr>
        <w:t>/s/ Tanner LLC</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Salt Lake City, UT</w:t>
      </w:r>
    </w:p>
    <w:p>
      <w:pPr>
        <w:pStyle w:val="TextBody"/>
        <w:spacing w:before="0" w:after="0"/>
        <w:ind w:left="0" w:right="0" w:hanging="0"/>
        <w:rPr>
          <w:rFonts w:ascii="times new roman;times" w:hAnsi="times new roman;times"/>
          <w:sz w:val="20"/>
        </w:rPr>
      </w:pPr>
      <w:r>
        <w:rPr>
          <w:rFonts w:ascii="times new roman;times" w:hAnsi="times new roman;times"/>
          <w:sz w:val="20"/>
        </w:rPr>
        <w:t>March 31, 2021</w:t>
      </w: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0" w:right="0" w:hanging="0"/>
        <w:jc w:val="right"/>
        <w:rPr/>
      </w:pPr>
      <w:r>
        <w:rPr/>
      </w:r>
    </w:p>
    <w:p>
      <w:pPr>
        <w:pStyle w:val="TextBody"/>
        <w:rPr/>
      </w:pPr>
      <w:r>
        <w:rPr/>
      </w:r>
      <w:r>
        <w:br w:type="page"/>
      </w:r>
    </w:p>
    <w:p>
      <w:pPr>
        <w:pStyle w:val="TextBody"/>
        <w:widowControl/>
        <w:spacing w:before="0" w:after="0"/>
        <w:ind w:left="144" w:right="144" w:hanging="0"/>
        <w:jc w:val="right"/>
        <w:rPr>
          <w:rFonts w:ascii="Times New Roman" w:hAnsi="Times New Roman"/>
          <w:b/>
          <w:i w:val="false"/>
          <w:caps w:val="false"/>
          <w:smallCaps w:val="false"/>
          <w:color w:val="000000"/>
          <w:spacing w:val="0"/>
          <w:sz w:val="20"/>
        </w:rPr>
      </w:pPr>
      <w:bookmarkStart w:id="6" w:name="ex311_3.htm"/>
      <w:bookmarkStart w:id="7" w:name="ksex311_3"/>
      <w:bookmarkEnd w:id="6"/>
      <w:bookmarkEnd w:id="7"/>
      <w:r>
        <w:rPr>
          <w:rFonts w:ascii="Times New Roman" w:hAnsi="Times New Roman"/>
          <w:b/>
          <w:i w:val="false"/>
          <w:caps w:val="false"/>
          <w:smallCaps w:val="false"/>
          <w:color w:val="000000"/>
          <w:spacing w:val="0"/>
          <w:sz w:val="20"/>
        </w:rPr>
        <w:t>EXHIBIT 31.1</w:t>
      </w:r>
    </w:p>
    <w:p>
      <w:pPr>
        <w:pStyle w:val="TextBody"/>
        <w:widowControl/>
        <w:spacing w:before="0" w:after="0"/>
        <w:ind w:left="144" w:right="144"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spacing w:before="0" w:after="0"/>
        <w:ind w:left="144" w:right="144"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I, Zeynep Hakimoglu, certify that: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6"/>
        <w:gridCol w:w="9869"/>
      </w:tblGrid>
      <w:tr>
        <w:trPr/>
        <w:tc>
          <w:tcPr>
            <w:tcW w:w="3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 have reviewed this annual report of ClearOne, Inc. on Form 10-K;</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4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47" w:type="dxa"/>
            <w:tcBorders/>
            <w:shd w:fill="auto" w:val="clear"/>
            <w:vAlign w:val="center"/>
          </w:tcPr>
          <w:p>
            <w:pPr>
              <w:pStyle w:val="TableContents"/>
              <w:spacing w:before="0" w:after="0"/>
              <w:ind w:left="0" w:right="0" w:hanging="0"/>
              <w:rPr/>
            </w:pPr>
            <w:r>
              <w:rPr>
                <w:rFonts w:ascii="Times New Roman" w:hAnsi="Times New Roman"/>
                <w:sz w:val="20"/>
              </w:rPr>
              <w:t>Based on my knowledge, the financial statements, and other financial information included in this report, fairly present</w:t>
            </w:r>
            <w:r>
              <w:rPr/>
              <w:t xml:space="preserve"> </w:t>
            </w:r>
            <w:r>
              <w:rPr>
                <w:rFonts w:ascii="Times New Roman" w:hAnsi="Times New Roman"/>
                <w:sz w:val="20"/>
              </w:rPr>
              <w:t>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5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29"/>
        <w:gridCol w:w="10002"/>
      </w:tblGrid>
      <w:tr>
        <w:trPr/>
        <w:tc>
          <w:tcPr>
            <w:tcW w:w="74" w:type="dxa"/>
            <w:tcBorders/>
            <w:shd w:fill="auto" w:val="clear"/>
            <w:vAlign w:val="center"/>
          </w:tcPr>
          <w:p>
            <w:pPr>
              <w:pStyle w:val="TableContents"/>
              <w:spacing w:before="0" w:after="0"/>
              <w:ind w:left="0" w:right="0" w:hanging="0"/>
              <w:rPr/>
            </w:pPr>
            <w:r>
              <w:rPr/>
              <w:t> </w:t>
            </w:r>
          </w:p>
        </w:tc>
        <w:tc>
          <w:tcPr>
            <w:tcW w:w="12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1000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44"/>
        <w:gridCol w:w="9987"/>
      </w:tblGrid>
      <w:tr>
        <w:trPr/>
        <w:tc>
          <w:tcPr>
            <w:tcW w:w="74" w:type="dxa"/>
            <w:tcBorders/>
            <w:shd w:fill="auto" w:val="clear"/>
            <w:vAlign w:val="center"/>
          </w:tcPr>
          <w:p>
            <w:pPr>
              <w:pStyle w:val="TableContents"/>
              <w:spacing w:before="0" w:after="0"/>
              <w:ind w:left="0" w:right="0" w:hanging="0"/>
              <w:rPr/>
            </w:pPr>
            <w:r>
              <w:rPr/>
              <w:t> </w:t>
            </w:r>
          </w:p>
        </w:tc>
        <w:tc>
          <w:tcPr>
            <w:tcW w:w="14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8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35"/>
        <w:gridCol w:w="9996"/>
      </w:tblGrid>
      <w:tr>
        <w:trPr/>
        <w:tc>
          <w:tcPr>
            <w:tcW w:w="74"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9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44"/>
        <w:gridCol w:w="9987"/>
      </w:tblGrid>
      <w:tr>
        <w:trPr/>
        <w:tc>
          <w:tcPr>
            <w:tcW w:w="74" w:type="dxa"/>
            <w:tcBorders/>
            <w:shd w:fill="auto" w:val="clear"/>
            <w:vAlign w:val="center"/>
          </w:tcPr>
          <w:p>
            <w:pPr>
              <w:pStyle w:val="TableContents"/>
              <w:spacing w:before="0" w:after="0"/>
              <w:ind w:left="0" w:right="0" w:hanging="0"/>
              <w:rPr/>
            </w:pPr>
            <w:r>
              <w:rPr/>
              <w:t> </w:t>
            </w:r>
          </w:p>
        </w:tc>
        <w:tc>
          <w:tcPr>
            <w:tcW w:w="14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8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4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36"/>
        <w:gridCol w:w="9995"/>
      </w:tblGrid>
      <w:tr>
        <w:trPr/>
        <w:tc>
          <w:tcPr>
            <w:tcW w:w="74" w:type="dxa"/>
            <w:tcBorders/>
            <w:shd w:fill="auto" w:val="clear"/>
            <w:vAlign w:val="center"/>
          </w:tcPr>
          <w:p>
            <w:pPr>
              <w:pStyle w:val="TableContents"/>
              <w:spacing w:before="0" w:after="0"/>
              <w:ind w:left="0" w:right="0" w:hanging="0"/>
              <w:rPr/>
            </w:pPr>
            <w:r>
              <w:rPr/>
              <w:t> </w:t>
            </w:r>
          </w:p>
        </w:tc>
        <w:tc>
          <w:tcPr>
            <w:tcW w:w="1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9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67"/>
        <w:gridCol w:w="9964"/>
      </w:tblGrid>
      <w:tr>
        <w:trPr/>
        <w:tc>
          <w:tcPr>
            <w:tcW w:w="74" w:type="dxa"/>
            <w:tcBorders/>
            <w:shd w:fill="auto" w:val="clear"/>
            <w:vAlign w:val="center"/>
          </w:tcPr>
          <w:p>
            <w:pPr>
              <w:pStyle w:val="TableContents"/>
              <w:spacing w:before="0" w:after="0"/>
              <w:ind w:left="0" w:right="0" w:hanging="0"/>
              <w:rPr/>
            </w:pPr>
            <w:r>
              <w:rPr/>
              <w:t> </w:t>
            </w:r>
          </w:p>
        </w:tc>
        <w:tc>
          <w:tcPr>
            <w:tcW w:w="16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64" w:type="dxa"/>
            <w:tcBorders/>
            <w:shd w:fill="auto" w:val="clear"/>
            <w:vAlign w:val="center"/>
          </w:tcPr>
          <w:p>
            <w:pPr>
              <w:pStyle w:val="TableContents"/>
              <w:spacing w:before="0" w:after="0"/>
              <w:ind w:left="0" w:right="0" w:hanging="0"/>
              <w:rPr/>
            </w:pPr>
            <w:r>
              <w:rPr>
                <w:rFonts w:ascii="Times New Roman" w:hAnsi="Times New Roman"/>
                <w:sz w:val="20"/>
              </w:rPr>
              <w:t>Any fraud, whether or not</w:t>
            </w:r>
            <w:r>
              <w:rPr/>
              <w:t xml:space="preserve"> </w:t>
            </w:r>
            <w:r>
              <w:rPr>
                <w:rFonts w:ascii="Times New Roman" w:hAnsi="Times New Roman"/>
                <w:sz w:val="20"/>
              </w:rPr>
              <w:t>material, that involves management or other employees who have a significant role in the registrant’s internal control over financial reporting.</w:t>
            </w:r>
          </w:p>
        </w:tc>
      </w:tr>
    </w:tbl>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3557"/>
        <w:gridCol w:w="771"/>
        <w:gridCol w:w="4856"/>
      </w:tblGrid>
      <w:tr>
        <w:trPr/>
        <w:tc>
          <w:tcPr>
            <w:tcW w:w="3557" w:type="dxa"/>
            <w:tcBorders/>
            <w:shd w:fill="auto" w:val="clear"/>
            <w:vAlign w:val="center"/>
          </w:tcPr>
          <w:p>
            <w:pPr>
              <w:pStyle w:val="TableContents"/>
              <w:spacing w:before="0" w:after="0"/>
              <w:ind w:left="0" w:right="0" w:hanging="0"/>
              <w:rPr/>
            </w:pPr>
            <w:r>
              <w:rPr>
                <w:rFonts w:ascii="Times New Roman" w:hAnsi="Times New Roman"/>
                <w:sz w:val="20"/>
              </w:rPr>
              <w:t>March 31, 2021</w:t>
            </w:r>
            <w:r>
              <w:rPr/>
              <w:t>      </w:t>
            </w:r>
          </w:p>
        </w:tc>
        <w:tc>
          <w:tcPr>
            <w:tcW w:w="77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By: </w:t>
            </w:r>
          </w:p>
        </w:tc>
        <w:tc>
          <w:tcPr>
            <w:tcW w:w="4856"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i/>
                <w:sz w:val="20"/>
              </w:rPr>
            </w:pPr>
            <w:r>
              <w:rPr>
                <w:rFonts w:ascii="Times New Roman" w:hAnsi="Times New Roman"/>
                <w:i/>
                <w:sz w:val="20"/>
              </w:rPr>
              <w:t>/s/ Zeynep Hakimoglu</w:t>
            </w:r>
          </w:p>
        </w:tc>
      </w:tr>
      <w:tr>
        <w:trPr/>
        <w:tc>
          <w:tcPr>
            <w:tcW w:w="3557" w:type="dxa"/>
            <w:tcBorders/>
            <w:shd w:fill="auto" w:val="clear"/>
            <w:vAlign w:val="center"/>
          </w:tcPr>
          <w:p>
            <w:pPr>
              <w:pStyle w:val="TableContents"/>
              <w:spacing w:before="0" w:after="0"/>
              <w:ind w:left="0" w:right="0" w:hanging="0"/>
              <w:rPr/>
            </w:pPr>
            <w:r>
              <w:rPr/>
              <w:t> </w:t>
            </w:r>
          </w:p>
        </w:tc>
        <w:tc>
          <w:tcPr>
            <w:tcW w:w="771" w:type="dxa"/>
            <w:tcBorders/>
            <w:shd w:fill="auto" w:val="clear"/>
            <w:vAlign w:val="center"/>
          </w:tcPr>
          <w:p>
            <w:pPr>
              <w:pStyle w:val="TableContents"/>
              <w:spacing w:before="0" w:after="0"/>
              <w:ind w:left="0" w:right="0" w:hanging="0"/>
              <w:rPr/>
            </w:pPr>
            <w:r>
              <w:rPr/>
              <w:t> </w:t>
            </w:r>
          </w:p>
        </w:tc>
        <w:tc>
          <w:tcPr>
            <w:tcW w:w="4856" w:type="dxa"/>
            <w:tcBorders/>
            <w:shd w:fill="auto" w:val="clear"/>
            <w:vAlign w:val="center"/>
          </w:tcPr>
          <w:p>
            <w:pPr>
              <w:pStyle w:val="TableContents"/>
              <w:spacing w:before="0" w:after="0"/>
              <w:ind w:left="0" w:right="0" w:hanging="0"/>
              <w:rPr/>
            </w:pPr>
            <w:r>
              <w:rPr>
                <w:rFonts w:ascii="Times New Roman" w:hAnsi="Times New Roman"/>
                <w:sz w:val="20"/>
              </w:rPr>
              <w:t>Zeynep Hakimoglu</w:t>
            </w:r>
            <w:r>
              <w:rPr/>
              <w:t> </w:t>
            </w:r>
          </w:p>
        </w:tc>
      </w:tr>
      <w:tr>
        <w:trPr/>
        <w:tc>
          <w:tcPr>
            <w:tcW w:w="3557" w:type="dxa"/>
            <w:tcBorders/>
            <w:shd w:fill="auto" w:val="clear"/>
            <w:vAlign w:val="center"/>
          </w:tcPr>
          <w:p>
            <w:pPr>
              <w:pStyle w:val="TableContents"/>
              <w:spacing w:before="0" w:after="0"/>
              <w:ind w:left="0" w:right="0" w:hanging="0"/>
              <w:rPr/>
            </w:pPr>
            <w:r>
              <w:rPr/>
              <w:t> </w:t>
            </w:r>
          </w:p>
        </w:tc>
        <w:tc>
          <w:tcPr>
            <w:tcW w:w="771" w:type="dxa"/>
            <w:tcBorders/>
            <w:shd w:fill="auto" w:val="clear"/>
            <w:vAlign w:val="center"/>
          </w:tcPr>
          <w:p>
            <w:pPr>
              <w:pStyle w:val="TableContents"/>
              <w:spacing w:before="0" w:after="0"/>
              <w:ind w:left="0" w:right="0" w:hanging="0"/>
              <w:rPr/>
            </w:pPr>
            <w:r>
              <w:rPr/>
              <w:t> </w:t>
            </w:r>
          </w:p>
        </w:tc>
        <w:tc>
          <w:tcPr>
            <w:tcW w:w="485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Chief Executive Officer</w:t>
            </w:r>
          </w:p>
        </w:tc>
      </w:tr>
      <w:tr>
        <w:trPr/>
        <w:tc>
          <w:tcPr>
            <w:tcW w:w="3557" w:type="dxa"/>
            <w:tcBorders/>
            <w:shd w:fill="auto" w:val="clear"/>
            <w:vAlign w:val="center"/>
          </w:tcPr>
          <w:p>
            <w:pPr>
              <w:pStyle w:val="TableContents"/>
              <w:spacing w:before="0" w:after="0"/>
              <w:ind w:left="0" w:right="0" w:hanging="0"/>
              <w:rPr/>
            </w:pPr>
            <w:r>
              <w:rPr/>
              <w:t> </w:t>
            </w:r>
          </w:p>
        </w:tc>
        <w:tc>
          <w:tcPr>
            <w:tcW w:w="771" w:type="dxa"/>
            <w:tcBorders/>
            <w:shd w:fill="auto" w:val="clear"/>
            <w:vAlign w:val="center"/>
          </w:tcPr>
          <w:p>
            <w:pPr>
              <w:pStyle w:val="TableContents"/>
              <w:spacing w:before="0" w:after="0"/>
              <w:ind w:left="0" w:right="0" w:hanging="0"/>
              <w:rPr/>
            </w:pPr>
            <w:r>
              <w:rPr/>
              <w:t> </w:t>
            </w:r>
          </w:p>
        </w:tc>
        <w:tc>
          <w:tcPr>
            <w:tcW w:w="485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executive officer)</w:t>
            </w:r>
          </w:p>
        </w:tc>
      </w:tr>
    </w:tbl>
    <w:p>
      <w:pPr>
        <w:pStyle w:val="TextBody"/>
        <w:spacing w:before="0" w:after="0"/>
        <w:ind w:left="0" w:right="0" w:hanging="0"/>
        <w:rPr/>
      </w:pPr>
      <w:r>
        <w:rPr/>
      </w:r>
      <w:r>
        <w:br w:type="page"/>
      </w:r>
    </w:p>
    <w:p>
      <w:pPr>
        <w:pStyle w:val="TextBody"/>
        <w:spacing w:before="0" w:after="0"/>
        <w:ind w:left="0" w:right="0" w:hanging="0"/>
        <w:jc w:val="right"/>
        <w:rPr>
          <w:rFonts w:ascii="Times New Roman" w:hAnsi="Times New Roman"/>
          <w:b/>
          <w:sz w:val="20"/>
        </w:rPr>
      </w:pPr>
      <w:bookmarkStart w:id="8" w:name="ex322_4.htm"/>
      <w:bookmarkStart w:id="9" w:name="ksex322_4"/>
      <w:bookmarkEnd w:id="8"/>
      <w:bookmarkEnd w:id="9"/>
      <w:r>
        <w:rPr>
          <w:rFonts w:ascii="Times New Roman" w:hAnsi="Times New Roman"/>
          <w:b/>
          <w:sz w:val="20"/>
        </w:rPr>
        <w:t xml:space="preserve">EXHIBIT 31.2 </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Times New Roman" w:hAnsi="Times New Roman"/>
          <w:sz w:val="20"/>
        </w:rPr>
        <w:t>I, Narsi Narayanan, certify that: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6"/>
        <w:gridCol w:w="9869"/>
      </w:tblGrid>
      <w:tr>
        <w:trPr/>
        <w:tc>
          <w:tcPr>
            <w:tcW w:w="3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 have reviewed this annual report of ClearOne, Inc. on Form 10-K;</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4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47" w:type="dxa"/>
            <w:tcBorders/>
            <w:shd w:fill="auto" w:val="clear"/>
            <w:vAlign w:val="center"/>
          </w:tcPr>
          <w:p>
            <w:pPr>
              <w:pStyle w:val="TableContents"/>
              <w:spacing w:before="0" w:after="0"/>
              <w:ind w:left="0" w:right="0" w:hanging="0"/>
              <w:rPr/>
            </w:pPr>
            <w:r>
              <w:rPr>
                <w:rFonts w:ascii="Times New Roman" w:hAnsi="Times New Roman"/>
                <w:sz w:val="20"/>
              </w:rPr>
              <w:t>Based on my knowledge, the financial statements, and other financial information included in this report, fairly present</w:t>
            </w:r>
            <w:r>
              <w:rPr/>
              <w:t xml:space="preserve"> </w:t>
            </w:r>
            <w:r>
              <w:rPr>
                <w:rFonts w:ascii="Times New Roman" w:hAnsi="Times New Roman"/>
                <w:sz w:val="20"/>
              </w:rPr>
              <w:t>in all material respects the financial condition, results of operations and cash flows of the registrant as of, and for, the periods presented in this report;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5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28"/>
        <w:gridCol w:w="10003"/>
      </w:tblGrid>
      <w:tr>
        <w:trPr/>
        <w:tc>
          <w:tcPr>
            <w:tcW w:w="74" w:type="dxa"/>
            <w:tcBorders/>
            <w:shd w:fill="auto" w:val="clear"/>
            <w:vAlign w:val="center"/>
          </w:tcPr>
          <w:p>
            <w:pPr>
              <w:pStyle w:val="TableContents"/>
              <w:spacing w:before="0" w:after="0"/>
              <w:ind w:left="0" w:right="0" w:hanging="0"/>
              <w:rPr/>
            </w:pPr>
            <w:r>
              <w:rPr/>
              <w:t> </w:t>
            </w:r>
          </w:p>
        </w:tc>
        <w:tc>
          <w:tcPr>
            <w:tcW w:w="12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10003" w:type="dxa"/>
            <w:tcBorders/>
            <w:shd w:fill="auto" w:val="clear"/>
            <w:vAlign w:val="center"/>
          </w:tcPr>
          <w:p>
            <w:pPr>
              <w:pStyle w:val="TableContents"/>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
        <w:gridCol w:w="143"/>
        <w:gridCol w:w="9988"/>
      </w:tblGrid>
      <w:tr>
        <w:trPr/>
        <w:tc>
          <w:tcPr>
            <w:tcW w:w="74" w:type="dxa"/>
            <w:tcBorders/>
            <w:shd w:fill="auto" w:val="clear"/>
            <w:vAlign w:val="center"/>
          </w:tcPr>
          <w:p>
            <w:pPr>
              <w:pStyle w:val="TableContents"/>
              <w:spacing w:before="0" w:after="0"/>
              <w:ind w:left="0" w:right="0" w:hanging="0"/>
              <w:rPr/>
            </w:pPr>
            <w:r>
              <w:rPr/>
              <w:t> </w:t>
            </w:r>
          </w:p>
        </w:tc>
        <w:tc>
          <w:tcPr>
            <w:tcW w:w="14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88" w:type="dxa"/>
            <w:tcBorders/>
            <w:shd w:fill="auto" w:val="clear"/>
            <w:vAlign w:val="center"/>
          </w:tcPr>
          <w:p>
            <w:pPr>
              <w:pStyle w:val="TableContents"/>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74"/>
        <w:gridCol w:w="134"/>
        <w:gridCol w:w="9997"/>
      </w:tblGrid>
      <w:tr>
        <w:trPr/>
        <w:tc>
          <w:tcPr>
            <w:tcW w:w="74" w:type="dxa"/>
            <w:tcBorders/>
            <w:shd w:fill="auto" w:val="clear"/>
            <w:vAlign w:val="center"/>
          </w:tcPr>
          <w:p>
            <w:pPr>
              <w:pStyle w:val="TableContents"/>
              <w:spacing w:before="0" w:after="0"/>
              <w:ind w:left="0" w:right="0" w:hanging="0"/>
              <w:rPr/>
            </w:pPr>
            <w:r>
              <w:rPr/>
              <w:t> </w:t>
            </w:r>
          </w:p>
        </w:tc>
        <w:tc>
          <w:tcPr>
            <w:tcW w:w="13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97" w:type="dxa"/>
            <w:tcBorders/>
            <w:shd w:fill="auto" w:val="clear"/>
            <w:vAlign w:val="center"/>
          </w:tcPr>
          <w:p>
            <w:pPr>
              <w:pStyle w:val="TableContents"/>
              <w:widowControl/>
              <w:spacing w:before="0" w:after="0"/>
              <w:ind w:left="0" w:right="0" w:hanging="0"/>
              <w:rPr/>
            </w:pPr>
            <w:r>
              <w:rPr>
                <w:rFonts w:ascii="Times New Roman" w:hAnsi="Times New Roman"/>
                <w:b w:val="false"/>
                <w:i w:val="false"/>
                <w:caps w:val="false"/>
                <w:smallCaps w:val="false"/>
                <w:color w:val="000000"/>
                <w:spacing w:val="0"/>
                <w:sz w:val="20"/>
              </w:rPr>
              <w:t>Evaluated the effectiveness of the registrant’s disclosure controls and procedures and presented in this report our conclusions about the effectiveness of the disclosure controls and procedures, as of the end of the period covered by this report based on such </w:t>
            </w:r>
            <w:r>
              <w:rPr/>
              <w:t>evaluation;</w:t>
            </w:r>
            <w:r>
              <w:rPr>
                <w:caps w:val="false"/>
                <w:smallCaps w:val="false"/>
                <w:color w:val="000000"/>
                <w:spacing w:val="0"/>
              </w:rPr>
              <w:t> </w:t>
            </w:r>
            <w:r>
              <w:rPr>
                <w:rFonts w:ascii="Times New Roman" w:hAnsi="Times New Roman"/>
                <w:b w:val="false"/>
                <w:i w:val="false"/>
                <w:caps w:val="false"/>
                <w:smallCaps w:val="false"/>
                <w:color w:val="000000"/>
                <w:spacing w:val="0"/>
                <w:sz w:val="20"/>
              </w:rPr>
              <w:t>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74"/>
        <w:gridCol w:w="144"/>
        <w:gridCol w:w="9987"/>
      </w:tblGrid>
      <w:tr>
        <w:trPr/>
        <w:tc>
          <w:tcPr>
            <w:tcW w:w="74" w:type="dxa"/>
            <w:tcBorders/>
            <w:shd w:fill="auto" w:val="clear"/>
            <w:vAlign w:val="center"/>
          </w:tcPr>
          <w:p>
            <w:pPr>
              <w:pStyle w:val="TableContents"/>
              <w:spacing w:before="0" w:after="0"/>
              <w:ind w:left="0" w:right="0" w:hanging="0"/>
              <w:rPr/>
            </w:pPr>
            <w:r>
              <w:rPr/>
              <w:t> </w:t>
            </w:r>
          </w:p>
        </w:tc>
        <w:tc>
          <w:tcPr>
            <w:tcW w:w="14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87" w:type="dxa"/>
            <w:tcBorders/>
            <w:shd w:fill="auto" w:val="clear"/>
            <w:vAlign w:val="center"/>
          </w:tcPr>
          <w:p>
            <w:pPr>
              <w:pStyle w:val="TableContents"/>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4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74"/>
        <w:gridCol w:w="136"/>
        <w:gridCol w:w="9995"/>
      </w:tblGrid>
      <w:tr>
        <w:trPr/>
        <w:tc>
          <w:tcPr>
            <w:tcW w:w="74" w:type="dxa"/>
            <w:tcBorders/>
            <w:shd w:fill="auto" w:val="clear"/>
            <w:vAlign w:val="center"/>
          </w:tcPr>
          <w:p>
            <w:pPr>
              <w:pStyle w:val="TableContents"/>
              <w:spacing w:before="0" w:after="0"/>
              <w:ind w:left="0" w:right="0" w:hanging="0"/>
              <w:rPr/>
            </w:pPr>
            <w:r>
              <w:rPr/>
              <w:t> </w:t>
            </w:r>
          </w:p>
        </w:tc>
        <w:tc>
          <w:tcPr>
            <w:tcW w:w="1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9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74"/>
        <w:gridCol w:w="167"/>
        <w:gridCol w:w="9964"/>
      </w:tblGrid>
      <w:tr>
        <w:trPr/>
        <w:tc>
          <w:tcPr>
            <w:tcW w:w="74" w:type="dxa"/>
            <w:tcBorders/>
            <w:shd w:fill="auto" w:val="clear"/>
            <w:vAlign w:val="center"/>
          </w:tcPr>
          <w:p>
            <w:pPr>
              <w:pStyle w:val="TableContents"/>
              <w:spacing w:before="0" w:after="0"/>
              <w:ind w:left="0" w:right="0" w:hanging="0"/>
              <w:rPr/>
            </w:pPr>
            <w:r>
              <w:rPr/>
              <w:t> </w:t>
            </w:r>
          </w:p>
        </w:tc>
        <w:tc>
          <w:tcPr>
            <w:tcW w:w="16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64" w:type="dxa"/>
            <w:tcBorders/>
            <w:shd w:fill="auto" w:val="clear"/>
            <w:vAlign w:val="center"/>
          </w:tcPr>
          <w:p>
            <w:pPr>
              <w:pStyle w:val="TableContents"/>
              <w:spacing w:before="0" w:after="0"/>
              <w:ind w:left="0" w:right="0" w:hanging="0"/>
              <w:rPr/>
            </w:pPr>
            <w:r>
              <w:rPr>
                <w:rFonts w:ascii="Times New Roman" w:hAnsi="Times New Roman"/>
                <w:sz w:val="20"/>
              </w:rPr>
              <w:t>Any fraud, whether or not</w:t>
            </w:r>
            <w:r>
              <w:rPr/>
              <w:t xml:space="preserve"> </w:t>
            </w:r>
            <w:r>
              <w:rPr>
                <w:rFonts w:ascii="Times New Roman" w:hAnsi="Times New Roman"/>
                <w:sz w:val="20"/>
              </w:rPr>
              <w:t>material, that involves management or other employees who have a significant role in the registrant’s internal control over financial reporting.</w:t>
            </w:r>
          </w:p>
        </w:tc>
      </w:tr>
    </w:tbl>
    <w:p>
      <w:pPr>
        <w:pStyle w:val="TextBody"/>
        <w:spacing w:before="0" w:after="0"/>
        <w:ind w:left="0" w:right="0" w:hanging="0"/>
        <w:rPr/>
      </w:pPr>
      <w:r>
        <w:rPr/>
        <w:t> </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2058"/>
        <w:gridCol w:w="542"/>
        <w:gridCol w:w="6584"/>
      </w:tblGrid>
      <w:tr>
        <w:trPr/>
        <w:tc>
          <w:tcPr>
            <w:tcW w:w="2058" w:type="dxa"/>
            <w:tcBorders/>
            <w:shd w:fill="auto" w:val="clear"/>
            <w:vAlign w:val="center"/>
          </w:tcPr>
          <w:p>
            <w:pPr>
              <w:pStyle w:val="TableContents"/>
              <w:spacing w:before="0" w:after="0"/>
              <w:ind w:left="0" w:right="0" w:hanging="0"/>
              <w:rPr/>
            </w:pPr>
            <w:r>
              <w:rPr>
                <w:rFonts w:ascii="Times New Roman" w:hAnsi="Times New Roman"/>
                <w:sz w:val="20"/>
              </w:rPr>
              <w:t>March 31, 2021</w:t>
            </w:r>
            <w:r>
              <w:rPr/>
              <w:t> </w:t>
            </w:r>
          </w:p>
        </w:tc>
        <w:tc>
          <w:tcPr>
            <w:tcW w:w="54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By: </w:t>
            </w:r>
          </w:p>
        </w:tc>
        <w:tc>
          <w:tcPr>
            <w:tcW w:w="6584" w:type="dxa"/>
            <w:tcBorders>
              <w:bottom w:val="single" w:sz="6" w:space="0" w:color="000000"/>
            </w:tcBorders>
            <w:shd w:fill="auto" w:val="clear"/>
            <w:tcMar>
              <w:bottom w:w="28" w:type="dxa"/>
            </w:tcMar>
            <w:vAlign w:val="center"/>
          </w:tcPr>
          <w:p>
            <w:pPr>
              <w:pStyle w:val="TableContents"/>
              <w:spacing w:before="0" w:after="0"/>
              <w:ind w:left="0" w:right="0" w:hanging="0"/>
              <w:rPr/>
            </w:pPr>
            <w:r>
              <w:rPr/>
              <w:t> </w:t>
            </w:r>
            <w:r>
              <w:rPr>
                <w:rFonts w:ascii="Times New Roman" w:hAnsi="Times New Roman"/>
                <w:i/>
                <w:sz w:val="20"/>
              </w:rPr>
              <w:t>/s/ Narsi Narayanan</w:t>
            </w:r>
          </w:p>
        </w:tc>
      </w:tr>
      <w:tr>
        <w:trPr/>
        <w:tc>
          <w:tcPr>
            <w:tcW w:w="2058" w:type="dxa"/>
            <w:tcBorders/>
            <w:shd w:fill="auto" w:val="clear"/>
            <w:vAlign w:val="center"/>
          </w:tcPr>
          <w:p>
            <w:pPr>
              <w:pStyle w:val="TableContents"/>
              <w:spacing w:before="0" w:after="0"/>
              <w:ind w:left="0" w:right="0" w:hanging="0"/>
              <w:rPr/>
            </w:pPr>
            <w:r>
              <w:rPr/>
              <w:t> </w:t>
            </w:r>
          </w:p>
        </w:tc>
        <w:tc>
          <w:tcPr>
            <w:tcW w:w="542" w:type="dxa"/>
            <w:tcBorders/>
            <w:shd w:fill="auto" w:val="clear"/>
            <w:vAlign w:val="center"/>
          </w:tcPr>
          <w:p>
            <w:pPr>
              <w:pStyle w:val="TableContents"/>
              <w:spacing w:before="0" w:after="0"/>
              <w:ind w:left="0" w:right="0" w:hanging="0"/>
              <w:rPr/>
            </w:pPr>
            <w:r>
              <w:rPr/>
              <w:t> </w:t>
            </w:r>
          </w:p>
        </w:tc>
        <w:tc>
          <w:tcPr>
            <w:tcW w:w="6584" w:type="dxa"/>
            <w:tcBorders/>
            <w:shd w:fill="auto" w:val="clear"/>
            <w:vAlign w:val="center"/>
          </w:tcPr>
          <w:p>
            <w:pPr>
              <w:pStyle w:val="TableContents"/>
              <w:spacing w:before="0" w:after="0"/>
              <w:ind w:left="0" w:right="0" w:hanging="0"/>
              <w:rPr/>
            </w:pPr>
            <w:r>
              <w:rPr>
                <w:rFonts w:ascii="Times New Roman" w:hAnsi="Times New Roman"/>
                <w:sz w:val="20"/>
              </w:rPr>
              <w:t>Narsi Narayanan</w:t>
            </w:r>
            <w:r>
              <w:rPr/>
              <w:t> </w:t>
            </w:r>
          </w:p>
        </w:tc>
      </w:tr>
      <w:tr>
        <w:trPr/>
        <w:tc>
          <w:tcPr>
            <w:tcW w:w="2058" w:type="dxa"/>
            <w:tcBorders/>
            <w:shd w:fill="auto" w:val="clear"/>
            <w:vAlign w:val="center"/>
          </w:tcPr>
          <w:p>
            <w:pPr>
              <w:pStyle w:val="TableContents"/>
              <w:spacing w:before="0" w:after="0"/>
              <w:ind w:left="0" w:right="0" w:hanging="0"/>
              <w:rPr/>
            </w:pPr>
            <w:r>
              <w:rPr/>
              <w:t> </w:t>
            </w:r>
          </w:p>
        </w:tc>
        <w:tc>
          <w:tcPr>
            <w:tcW w:w="542" w:type="dxa"/>
            <w:tcBorders/>
            <w:shd w:fill="auto" w:val="clear"/>
            <w:vAlign w:val="center"/>
          </w:tcPr>
          <w:p>
            <w:pPr>
              <w:pStyle w:val="TableContents"/>
              <w:spacing w:before="0" w:after="0"/>
              <w:ind w:left="0" w:right="0" w:hanging="0"/>
              <w:rPr/>
            </w:pPr>
            <w:r>
              <w:rPr/>
              <w:t> </w:t>
            </w:r>
          </w:p>
        </w:tc>
        <w:tc>
          <w:tcPr>
            <w:tcW w:w="6584" w:type="dxa"/>
            <w:tcBorders/>
            <w:shd w:fill="auto" w:val="clear"/>
            <w:vAlign w:val="center"/>
          </w:tcPr>
          <w:p>
            <w:pPr>
              <w:pStyle w:val="TableContents"/>
              <w:spacing w:before="0" w:after="0"/>
              <w:ind w:left="0" w:right="0" w:hanging="0"/>
              <w:rPr/>
            </w:pPr>
            <w:r>
              <w:rPr>
                <w:rFonts w:ascii="Times New Roman" w:hAnsi="Times New Roman"/>
                <w:sz w:val="20"/>
              </w:rPr>
              <w:t>Senior Vice President of Finance</w:t>
            </w:r>
            <w:r>
              <w:rPr/>
              <w:t> </w:t>
            </w:r>
          </w:p>
        </w:tc>
      </w:tr>
      <w:tr>
        <w:trPr/>
        <w:tc>
          <w:tcPr>
            <w:tcW w:w="2058" w:type="dxa"/>
            <w:tcBorders/>
            <w:shd w:fill="auto" w:val="clear"/>
            <w:vAlign w:val="center"/>
          </w:tcPr>
          <w:p>
            <w:pPr>
              <w:pStyle w:val="TableContents"/>
              <w:spacing w:before="0" w:after="0"/>
              <w:ind w:left="0" w:right="0" w:hanging="0"/>
              <w:rPr/>
            </w:pPr>
            <w:r>
              <w:rPr/>
              <w:t> </w:t>
            </w:r>
          </w:p>
        </w:tc>
        <w:tc>
          <w:tcPr>
            <w:tcW w:w="542" w:type="dxa"/>
            <w:tcBorders/>
            <w:shd w:fill="auto" w:val="clear"/>
            <w:vAlign w:val="center"/>
          </w:tcPr>
          <w:p>
            <w:pPr>
              <w:pStyle w:val="TableContents"/>
              <w:spacing w:before="0" w:after="0"/>
              <w:ind w:left="0" w:right="0" w:hanging="0"/>
              <w:rPr/>
            </w:pPr>
            <w:r>
              <w:rPr/>
              <w:t> </w:t>
            </w:r>
          </w:p>
        </w:tc>
        <w:tc>
          <w:tcPr>
            <w:tcW w:w="658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Accounting and Principal Financial Officer)</w:t>
            </w:r>
          </w:p>
        </w:tc>
      </w:tr>
    </w:tbl>
    <w:p>
      <w:pPr>
        <w:pStyle w:val="TextBody"/>
        <w:spacing w:before="0" w:after="0"/>
        <w:ind w:left="0" w:right="0" w:hanging="0"/>
        <w:rPr/>
      </w:pPr>
      <w:r>
        <w:rPr/>
        <w:t> </w:t>
      </w:r>
    </w:p>
    <w:p>
      <w:pPr>
        <w:pStyle w:val="TextBody"/>
        <w:spacing w:before="0" w:after="0"/>
        <w:ind w:left="0" w:right="0" w:hanging="0"/>
        <w:rPr/>
      </w:pPr>
      <w:r>
        <w:rPr/>
        <w:t> </w:t>
      </w:r>
      <w:r>
        <w:br w:type="page"/>
      </w:r>
    </w:p>
    <w:p>
      <w:pPr>
        <w:pStyle w:val="TextBody"/>
        <w:spacing w:before="0" w:after="0"/>
        <w:ind w:left="0" w:right="0" w:hanging="0"/>
        <w:jc w:val="right"/>
        <w:rPr>
          <w:rFonts w:ascii="Times New Roman" w:hAnsi="Times New Roman"/>
          <w:b/>
          <w:sz w:val="20"/>
        </w:rPr>
      </w:pPr>
      <w:bookmarkStart w:id="10" w:name="ex321_5.htm"/>
      <w:bookmarkStart w:id="11" w:name="ksex321_5"/>
      <w:bookmarkEnd w:id="10"/>
      <w:bookmarkEnd w:id="11"/>
      <w:r>
        <w:rPr>
          <w:rFonts w:ascii="Times New Roman" w:hAnsi="Times New Roman"/>
          <w:b/>
          <w:sz w:val="20"/>
        </w:rPr>
        <w:t>EXHIBIT 32.1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CHIEF EXECUTIVE OFFICER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spacing w:before="0" w:after="0"/>
        <w:ind w:left="0" w:right="0" w:hanging="0"/>
        <w:rPr/>
      </w:pPr>
      <w:r>
        <w:rPr/>
        <w:t> </w:t>
      </w:r>
    </w:p>
    <w:p>
      <w:pPr>
        <w:pStyle w:val="TextBody"/>
        <w:spacing w:before="0" w:after="0"/>
        <w:ind w:left="0" w:right="0" w:hanging="0"/>
        <w:rPr>
          <w:rFonts w:ascii="times new roman;times" w:hAnsi="times new roman;times"/>
          <w:sz w:val="20"/>
        </w:rPr>
      </w:pPr>
      <w:r>
        <w:rPr>
          <w:rFonts w:ascii="Times New Roman" w:hAnsi="Times New Roman"/>
          <w:sz w:val="20"/>
        </w:rPr>
        <w:t xml:space="preserve">I, Zeynep Hakimoglu, certify, to my best knowledge and belief, pursuant to 18 U.S.C. Section 1350, as adopted pursuant to Section 906 of the Sarbanes-Oxley Act of 2002, that the annual report of ClearOne, Inc. (the “Company”) on Form 10-K for the year ended </w:t>
      </w:r>
      <w:r>
        <w:rPr>
          <w:rFonts w:ascii="times new roman;times" w:hAnsi="times new roman;times"/>
          <w:sz w:val="20"/>
        </w:rPr>
        <w:t>December 31, 2020 </w:t>
      </w:r>
      <w:r>
        <w:rPr>
          <w:rFonts w:ascii="Times New Roman" w:hAnsi="Times New Roman"/>
          <w:sz w:val="20"/>
        </w:rPr>
        <w:t>,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2966"/>
        <w:gridCol w:w="782"/>
        <w:gridCol w:w="4926"/>
      </w:tblGrid>
      <w:tr>
        <w:trPr/>
        <w:tc>
          <w:tcPr>
            <w:tcW w:w="2966" w:type="dxa"/>
            <w:tcBorders/>
            <w:shd w:fill="auto" w:val="clear"/>
            <w:vAlign w:val="center"/>
          </w:tcPr>
          <w:p>
            <w:pPr>
              <w:pStyle w:val="TableContents"/>
              <w:spacing w:before="0" w:after="0"/>
              <w:ind w:left="0" w:right="0" w:hanging="0"/>
              <w:rPr/>
            </w:pPr>
            <w:r>
              <w:rPr>
                <w:rFonts w:ascii="Times New Roman" w:hAnsi="Times New Roman"/>
                <w:sz w:val="20"/>
              </w:rPr>
              <w:t>March 31, 2021</w:t>
            </w:r>
            <w:r>
              <w:rPr/>
              <w:t> </w:t>
            </w:r>
          </w:p>
        </w:tc>
        <w:tc>
          <w:tcPr>
            <w:tcW w:w="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By: </w:t>
            </w:r>
          </w:p>
        </w:tc>
        <w:tc>
          <w:tcPr>
            <w:tcW w:w="4926"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i/>
                <w:sz w:val="20"/>
              </w:rPr>
            </w:pPr>
            <w:r>
              <w:rPr>
                <w:rFonts w:ascii="Times New Roman" w:hAnsi="Times New Roman"/>
                <w:i/>
                <w:sz w:val="20"/>
              </w:rPr>
              <w:t>/s/ Zeynep Hakimoglu</w:t>
            </w:r>
          </w:p>
        </w:tc>
      </w:tr>
      <w:tr>
        <w:trPr/>
        <w:tc>
          <w:tcPr>
            <w:tcW w:w="2966" w:type="dxa"/>
            <w:tcBorders/>
            <w:shd w:fill="auto" w:val="clear"/>
            <w:vAlign w:val="center"/>
          </w:tcPr>
          <w:p>
            <w:pPr>
              <w:pStyle w:val="TableContents"/>
              <w:spacing w:before="0" w:after="0"/>
              <w:ind w:left="0" w:right="0" w:hanging="0"/>
              <w:rPr/>
            </w:pPr>
            <w:r>
              <w:rPr/>
              <w:t> </w:t>
            </w:r>
          </w:p>
        </w:tc>
        <w:tc>
          <w:tcPr>
            <w:tcW w:w="782" w:type="dxa"/>
            <w:tcBorders/>
            <w:shd w:fill="auto" w:val="clear"/>
            <w:vAlign w:val="center"/>
          </w:tcPr>
          <w:p>
            <w:pPr>
              <w:pStyle w:val="TableContents"/>
              <w:spacing w:before="0" w:after="0"/>
              <w:ind w:left="0" w:right="0" w:hanging="0"/>
              <w:rPr/>
            </w:pPr>
            <w:r>
              <w:rPr/>
              <w:t> </w:t>
            </w:r>
          </w:p>
        </w:tc>
        <w:tc>
          <w:tcPr>
            <w:tcW w:w="4926" w:type="dxa"/>
            <w:tcBorders/>
            <w:shd w:fill="auto" w:val="clear"/>
            <w:vAlign w:val="center"/>
          </w:tcPr>
          <w:p>
            <w:pPr>
              <w:pStyle w:val="TableContents"/>
              <w:spacing w:before="0" w:after="0"/>
              <w:ind w:left="0" w:right="0" w:hanging="0"/>
              <w:rPr/>
            </w:pPr>
            <w:r>
              <w:rPr>
                <w:rFonts w:ascii="Times New Roman" w:hAnsi="Times New Roman"/>
                <w:sz w:val="20"/>
              </w:rPr>
              <w:t>Zeynep Hakimoglu</w:t>
            </w:r>
            <w:r>
              <w:rPr/>
              <w:t> </w:t>
            </w:r>
          </w:p>
        </w:tc>
      </w:tr>
      <w:tr>
        <w:trPr/>
        <w:tc>
          <w:tcPr>
            <w:tcW w:w="2966" w:type="dxa"/>
            <w:tcBorders/>
            <w:shd w:fill="auto" w:val="clear"/>
            <w:vAlign w:val="center"/>
          </w:tcPr>
          <w:p>
            <w:pPr>
              <w:pStyle w:val="TableContents"/>
              <w:spacing w:before="0" w:after="0"/>
              <w:ind w:left="0" w:right="0" w:hanging="0"/>
              <w:rPr/>
            </w:pPr>
            <w:r>
              <w:rPr/>
              <w:t> </w:t>
            </w:r>
          </w:p>
        </w:tc>
        <w:tc>
          <w:tcPr>
            <w:tcW w:w="782" w:type="dxa"/>
            <w:tcBorders/>
            <w:shd w:fill="auto" w:val="clear"/>
            <w:vAlign w:val="center"/>
          </w:tcPr>
          <w:p>
            <w:pPr>
              <w:pStyle w:val="TableContents"/>
              <w:spacing w:before="0" w:after="0"/>
              <w:ind w:left="0" w:right="0" w:hanging="0"/>
              <w:rPr/>
            </w:pPr>
            <w:r>
              <w:rPr/>
              <w:t> </w:t>
            </w:r>
          </w:p>
        </w:tc>
        <w:tc>
          <w:tcPr>
            <w:tcW w:w="4926" w:type="dxa"/>
            <w:tcBorders/>
            <w:shd w:fill="auto" w:val="clear"/>
            <w:vAlign w:val="center"/>
          </w:tcPr>
          <w:p>
            <w:pPr>
              <w:pStyle w:val="TableContents"/>
              <w:spacing w:before="0" w:after="0"/>
              <w:ind w:left="0" w:right="0" w:hanging="0"/>
              <w:rPr/>
            </w:pPr>
            <w:r>
              <w:rPr>
                <w:rFonts w:ascii="Times New Roman" w:hAnsi="Times New Roman"/>
                <w:sz w:val="20"/>
              </w:rPr>
              <w:t>Chief Executive Officer</w:t>
            </w:r>
            <w:r>
              <w:rPr/>
              <w:t> </w:t>
            </w:r>
          </w:p>
        </w:tc>
      </w:tr>
      <w:tr>
        <w:trPr/>
        <w:tc>
          <w:tcPr>
            <w:tcW w:w="2966" w:type="dxa"/>
            <w:tcBorders/>
            <w:shd w:fill="auto" w:val="clear"/>
            <w:vAlign w:val="center"/>
          </w:tcPr>
          <w:p>
            <w:pPr>
              <w:pStyle w:val="TableContents"/>
              <w:spacing w:before="0" w:after="0"/>
              <w:ind w:left="0" w:right="0" w:hanging="0"/>
              <w:rPr/>
            </w:pPr>
            <w:r>
              <w:rPr/>
              <w:t> </w:t>
            </w:r>
          </w:p>
        </w:tc>
        <w:tc>
          <w:tcPr>
            <w:tcW w:w="782" w:type="dxa"/>
            <w:tcBorders/>
            <w:shd w:fill="auto" w:val="clear"/>
            <w:vAlign w:val="center"/>
          </w:tcPr>
          <w:p>
            <w:pPr>
              <w:pStyle w:val="TableContents"/>
              <w:spacing w:before="0" w:after="0"/>
              <w:ind w:left="0" w:right="0" w:hanging="0"/>
              <w:rPr/>
            </w:pPr>
            <w:r>
              <w:rPr/>
              <w:t> </w:t>
            </w:r>
          </w:p>
        </w:tc>
        <w:tc>
          <w:tcPr>
            <w:tcW w:w="492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executive officer)</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A signed original of this written statement required by §906 has been provided to the Company and will be retained by the Company and furnished to the Securities and Exchange Commission or its staff upon request.</w:t>
      </w:r>
      <w:r>
        <w:br w:type="page"/>
      </w:r>
    </w:p>
    <w:p>
      <w:pPr>
        <w:pStyle w:val="TextBody"/>
        <w:spacing w:before="0" w:after="0"/>
        <w:ind w:left="0" w:right="0" w:hanging="0"/>
        <w:jc w:val="right"/>
        <w:rPr>
          <w:rFonts w:ascii="Times New Roman" w:hAnsi="Times New Roman"/>
          <w:b/>
          <w:sz w:val="20"/>
        </w:rPr>
      </w:pPr>
      <w:bookmarkStart w:id="12" w:name="ex322_6.htm"/>
      <w:bookmarkStart w:id="13" w:name="ksex322_6"/>
      <w:bookmarkEnd w:id="12"/>
      <w:bookmarkEnd w:id="13"/>
      <w:r>
        <w:rPr>
          <w:rFonts w:ascii="Times New Roman" w:hAnsi="Times New Roman"/>
          <w:b/>
          <w:sz w:val="20"/>
        </w:rPr>
        <w:t>EXHIBIT 32.2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CHIEF FINANCIAL OFFICER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spacing w:before="0" w:after="0"/>
        <w:ind w:left="0" w:right="0" w:hanging="0"/>
        <w:rPr/>
      </w:pPr>
      <w:r>
        <w:rPr/>
        <w:t> </w:t>
      </w:r>
    </w:p>
    <w:p>
      <w:pPr>
        <w:pStyle w:val="TextBody"/>
        <w:spacing w:before="0" w:after="0"/>
        <w:ind w:left="0" w:right="0" w:hanging="0"/>
        <w:rPr>
          <w:rFonts w:ascii="times new roman;times" w:hAnsi="times new roman;times"/>
          <w:sz w:val="20"/>
        </w:rPr>
      </w:pPr>
      <w:r>
        <w:rPr>
          <w:rFonts w:ascii="Times New Roman" w:hAnsi="Times New Roman"/>
          <w:sz w:val="20"/>
        </w:rPr>
        <w:t xml:space="preserve">I, Narsi Narayanan, certify, to my best knowledge and belief, pursuant to 18 U.S.C. Section 1350, as adopted pursuant to Section 906 of the Sarbanes-Oxley Act of 2002, that the annual report of ClearOne, Inc. (the “Company”) on Form 10-K for the year ended </w:t>
      </w:r>
      <w:r>
        <w:rPr>
          <w:rFonts w:ascii="times new roman;times" w:hAnsi="times new roman;times"/>
          <w:sz w:val="20"/>
        </w:rPr>
        <w:t>December 31, 2020 </w:t>
      </w:r>
      <w:r>
        <w:rPr>
          <w:rFonts w:ascii="Times New Roman" w:hAnsi="Times New Roman"/>
          <w:sz w:val="20"/>
        </w:rPr>
        <w:t>,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2008"/>
        <w:gridCol w:w="507"/>
        <w:gridCol w:w="6159"/>
      </w:tblGrid>
      <w:tr>
        <w:trPr/>
        <w:tc>
          <w:tcPr>
            <w:tcW w:w="2008" w:type="dxa"/>
            <w:tcBorders/>
            <w:shd w:fill="auto" w:val="clear"/>
            <w:vAlign w:val="center"/>
          </w:tcPr>
          <w:p>
            <w:pPr>
              <w:pStyle w:val="TableContents"/>
              <w:spacing w:before="0" w:after="0"/>
              <w:ind w:left="0" w:right="0" w:hanging="0"/>
              <w:rPr/>
            </w:pPr>
            <w:r>
              <w:rPr>
                <w:rFonts w:ascii="Times New Roman" w:hAnsi="Times New Roman"/>
                <w:sz w:val="20"/>
              </w:rPr>
              <w:t>March 31, 2021</w:t>
            </w:r>
            <w:r>
              <w:rPr/>
              <w:t>  </w:t>
            </w:r>
          </w:p>
        </w:tc>
        <w:tc>
          <w:tcPr>
            <w:tcW w:w="50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By: </w:t>
            </w:r>
          </w:p>
        </w:tc>
        <w:tc>
          <w:tcPr>
            <w:tcW w:w="6159"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i/>
                <w:sz w:val="20"/>
              </w:rPr>
            </w:pPr>
            <w:r>
              <w:rPr>
                <w:rFonts w:ascii="Times New Roman" w:hAnsi="Times New Roman"/>
                <w:i/>
                <w:sz w:val="20"/>
              </w:rPr>
              <w:t>/s/ Narsi Narayanan</w:t>
            </w:r>
          </w:p>
        </w:tc>
      </w:tr>
      <w:tr>
        <w:trPr/>
        <w:tc>
          <w:tcPr>
            <w:tcW w:w="2008" w:type="dxa"/>
            <w:tcBorders/>
            <w:shd w:fill="auto" w:val="clear"/>
            <w:vAlign w:val="center"/>
          </w:tcPr>
          <w:p>
            <w:pPr>
              <w:pStyle w:val="TableContents"/>
              <w:spacing w:before="0" w:after="0"/>
              <w:ind w:left="0" w:right="0" w:hanging="0"/>
              <w:rPr/>
            </w:pPr>
            <w:r>
              <w:rPr/>
              <w:t> </w:t>
            </w:r>
          </w:p>
        </w:tc>
        <w:tc>
          <w:tcPr>
            <w:tcW w:w="507" w:type="dxa"/>
            <w:tcBorders/>
            <w:shd w:fill="auto" w:val="clear"/>
            <w:vAlign w:val="center"/>
          </w:tcPr>
          <w:p>
            <w:pPr>
              <w:pStyle w:val="TableContents"/>
              <w:spacing w:before="0" w:after="0"/>
              <w:ind w:left="0" w:right="0" w:hanging="0"/>
              <w:rPr/>
            </w:pPr>
            <w:r>
              <w:rPr/>
              <w:t> </w:t>
            </w:r>
          </w:p>
        </w:tc>
        <w:tc>
          <w:tcPr>
            <w:tcW w:w="6159" w:type="dxa"/>
            <w:tcBorders/>
            <w:shd w:fill="auto" w:val="clear"/>
            <w:vAlign w:val="center"/>
          </w:tcPr>
          <w:p>
            <w:pPr>
              <w:pStyle w:val="TableContents"/>
              <w:spacing w:before="0" w:after="0"/>
              <w:ind w:left="0" w:right="0" w:hanging="0"/>
              <w:rPr/>
            </w:pPr>
            <w:r>
              <w:rPr>
                <w:rFonts w:ascii="Times New Roman" w:hAnsi="Times New Roman"/>
                <w:sz w:val="20"/>
              </w:rPr>
              <w:t>Narsi Narayanan</w:t>
            </w:r>
            <w:r>
              <w:rPr/>
              <w:t> </w:t>
            </w:r>
          </w:p>
        </w:tc>
      </w:tr>
      <w:tr>
        <w:trPr/>
        <w:tc>
          <w:tcPr>
            <w:tcW w:w="2008" w:type="dxa"/>
            <w:tcBorders/>
            <w:shd w:fill="auto" w:val="clear"/>
            <w:vAlign w:val="center"/>
          </w:tcPr>
          <w:p>
            <w:pPr>
              <w:pStyle w:val="TableContents"/>
              <w:spacing w:before="0" w:after="0"/>
              <w:ind w:left="0" w:right="0" w:hanging="0"/>
              <w:rPr/>
            </w:pPr>
            <w:r>
              <w:rPr/>
              <w:t> </w:t>
            </w:r>
          </w:p>
        </w:tc>
        <w:tc>
          <w:tcPr>
            <w:tcW w:w="507" w:type="dxa"/>
            <w:tcBorders/>
            <w:shd w:fill="auto" w:val="clear"/>
            <w:vAlign w:val="center"/>
          </w:tcPr>
          <w:p>
            <w:pPr>
              <w:pStyle w:val="TableContents"/>
              <w:spacing w:before="0" w:after="0"/>
              <w:ind w:left="0" w:right="0" w:hanging="0"/>
              <w:rPr/>
            </w:pPr>
            <w:r>
              <w:rPr/>
              <w:t> </w:t>
            </w:r>
          </w:p>
        </w:tc>
        <w:tc>
          <w:tcPr>
            <w:tcW w:w="6159" w:type="dxa"/>
            <w:tcBorders/>
            <w:shd w:fill="auto" w:val="clear"/>
            <w:vAlign w:val="center"/>
          </w:tcPr>
          <w:p>
            <w:pPr>
              <w:pStyle w:val="TableContents"/>
              <w:spacing w:before="0" w:after="0"/>
              <w:ind w:left="0" w:right="0" w:hanging="0"/>
              <w:rPr/>
            </w:pPr>
            <w:r>
              <w:rPr>
                <w:rFonts w:ascii="Times New Roman" w:hAnsi="Times New Roman"/>
                <w:sz w:val="20"/>
              </w:rPr>
              <w:t>Senior Vice President of Finance</w:t>
            </w:r>
            <w:r>
              <w:rPr/>
              <w:t> </w:t>
            </w:r>
          </w:p>
        </w:tc>
      </w:tr>
      <w:tr>
        <w:trPr/>
        <w:tc>
          <w:tcPr>
            <w:tcW w:w="2008" w:type="dxa"/>
            <w:tcBorders/>
            <w:shd w:fill="auto" w:val="clear"/>
            <w:vAlign w:val="center"/>
          </w:tcPr>
          <w:p>
            <w:pPr>
              <w:pStyle w:val="TableContents"/>
              <w:spacing w:before="0" w:after="0"/>
              <w:ind w:left="0" w:right="0" w:hanging="0"/>
              <w:rPr/>
            </w:pPr>
            <w:r>
              <w:rPr/>
              <w:t> </w:t>
            </w:r>
          </w:p>
        </w:tc>
        <w:tc>
          <w:tcPr>
            <w:tcW w:w="507" w:type="dxa"/>
            <w:tcBorders/>
            <w:shd w:fill="auto" w:val="clear"/>
            <w:vAlign w:val="center"/>
          </w:tcPr>
          <w:p>
            <w:pPr>
              <w:pStyle w:val="TableContents"/>
              <w:spacing w:before="0" w:after="0"/>
              <w:ind w:left="0" w:right="0" w:hanging="0"/>
              <w:rPr/>
            </w:pPr>
            <w:r>
              <w:rPr/>
              <w:t> </w:t>
            </w:r>
          </w:p>
        </w:tc>
        <w:tc>
          <w:tcPr>
            <w:tcW w:w="61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Accounting and Principal Financial Officer)</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A signed original of this written statement required by §906 has been provided to the Company and will be retained by the Company and furnished to the Securities and Exchange Commission or its staff upon request.</w:t>
      </w:r>
    </w:p>
    <w:p>
      <w:pPr>
        <w:pStyle w:val="TextBody"/>
        <w:spacing w:before="0" w:after="0"/>
        <w:ind w:left="144" w:right="144" w:hanging="0"/>
        <w:rPr/>
      </w:pPr>
      <w:r>
        <w:rPr/>
        <w:t> </w:t>
      </w:r>
    </w:p>
    <w:p>
      <w:pPr>
        <w:pStyle w:val="TextBody"/>
        <w:spacing w:before="0" w:after="0"/>
        <w:ind w:left="144" w:right="144" w:hanging="0"/>
        <w:rPr/>
      </w:pPr>
      <w:r>
        <w:rPr/>
        <w:t> </w:t>
      </w:r>
    </w:p>
    <w:p>
      <w:pPr>
        <w:pStyle w:val="TextBody"/>
        <w:spacing w:before="0" w:after="0"/>
        <w:ind w:left="294" w:right="294" w:hanging="0"/>
        <w:rPr/>
      </w:pPr>
      <w:r>
        <w:rPr/>
        <w:t> </w:t>
      </w:r>
    </w:p>
    <w:p>
      <w:pPr>
        <w:pStyle w:val="TextBody"/>
        <w:spacing w:before="0" w:after="0"/>
        <w:ind w:left="144" w:right="144" w:hanging="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 w:name="Times New Roman">
    <w:altName w:val="serif"/>
    <w:charset w:val="00"/>
    <w:family w:val="auto"/>
    <w:pitch w:val="default"/>
  </w:font>
  <w:font w:name="proxima novaregular">
    <w:altName w:val="serif"/>
    <w:charset w:val="00"/>
    <w:family w:val="auto"/>
    <w:pitch w:val="default"/>
  </w:font>
  <w:font w:name="times new roman">
    <w:charset w:val="00"/>
    <w:family w:val="auto"/>
    <w:pitch w:val="default"/>
  </w:font>
  <w:font w:name="proxima novaregular">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VisitedInternetLink">
    <w:name w:val="Visited Internet Link"/>
    <w:rPr>
      <w:color w:val="800000"/>
      <w:u w:val="single"/>
      <w:lang w:val="zxx" w:eastAsia="zxx" w:bidi="zxx"/>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hyperlink" Target="#" TargetMode="External"/><Relationship Id="rId13" Type="http://schemas.openxmlformats.org/officeDocument/2006/relationships/hyperlink" Target="#" TargetMode="External"/><Relationship Id="rId14" Type="http://schemas.openxmlformats.org/officeDocument/2006/relationships/hyperlink" Target="#" TargetMode="External"/><Relationship Id="rId15" Type="http://schemas.openxmlformats.org/officeDocument/2006/relationships/hyperlink" Target="#" TargetMode="External"/><Relationship Id="rId16" Type="http://schemas.openxmlformats.org/officeDocument/2006/relationships/hyperlink" Target="#" TargetMode="External"/><Relationship Id="rId17" Type="http://schemas.openxmlformats.org/officeDocument/2006/relationships/hyperlink" Target="#" TargetMode="External"/><Relationship Id="rId18" Type="http://schemas.openxmlformats.org/officeDocument/2006/relationships/hyperlink" Target="#" TargetMode="External"/><Relationship Id="rId19" Type="http://schemas.openxmlformats.org/officeDocument/2006/relationships/hyperlink" Target="#" TargetMode="External"/><Relationship Id="rId20" Type="http://schemas.openxmlformats.org/officeDocument/2006/relationships/hyperlink" Target="#" TargetMode="External"/><Relationship Id="rId21" Type="http://schemas.openxmlformats.org/officeDocument/2006/relationships/hyperlink" Target="#" TargetMode="External"/><Relationship Id="rId22" Type="http://schemas.openxmlformats.org/officeDocument/2006/relationships/hyperlink" Target="#" TargetMode="External"/><Relationship Id="rId23" Type="http://schemas.openxmlformats.org/officeDocument/2006/relationships/hyperlink" Target="#" TargetMode="External"/><Relationship Id="rId24" Type="http://schemas.openxmlformats.org/officeDocument/2006/relationships/hyperlink" Target="#" TargetMode="External"/><Relationship Id="rId25" Type="http://schemas.openxmlformats.org/officeDocument/2006/relationships/hyperlink" Target="#" TargetMode="External"/><Relationship Id="rId26" Type="http://schemas.openxmlformats.org/officeDocument/2006/relationships/hyperlink" Target="#" TargetMode="External"/><Relationship Id="rId27" Type="http://schemas.openxmlformats.org/officeDocument/2006/relationships/hyperlink" Target="#" TargetMode="External"/><Relationship Id="rId28" Type="http://schemas.openxmlformats.org/officeDocument/2006/relationships/hyperlink" Target="#" TargetMode="External"/><Relationship Id="rId29" Type="http://schemas.openxmlformats.org/officeDocument/2006/relationships/hyperlink" Target="#" TargetMode="External"/><Relationship Id="rId30" Type="http://schemas.openxmlformats.org/officeDocument/2006/relationships/hyperlink" Target="#" TargetMode="External"/><Relationship Id="rId31" Type="http://schemas.openxmlformats.org/officeDocument/2006/relationships/hyperlink" Target="http://www.sec.gov/Archives/edgar/data/840715/000143774918018953/ex_126578.htm" TargetMode="External"/><Relationship Id="rId32" Type="http://schemas.openxmlformats.org/officeDocument/2006/relationships/hyperlink" Target="http://www.sec.gov/Archives/edgar/data/840715/000143774918018953/ex_126579.htm" TargetMode="External"/><Relationship Id="rId33" Type="http://schemas.openxmlformats.org/officeDocument/2006/relationships/hyperlink" Target="http://www.sec.gov/Archives/edgar/data/840715/000175392620000071/ex41_7.htm" TargetMode="External"/><Relationship Id="rId34" Type="http://schemas.openxmlformats.org/officeDocument/2006/relationships/hyperlink" Target="http://www.sec.gov/Archives/edgar/data/840715/000084071506000050/ex4_9.htm" TargetMode="External"/><Relationship Id="rId35" Type="http://schemas.openxmlformats.org/officeDocument/2006/relationships/hyperlink" Target="http://www.sec.gov/Archives/edgar/data/840715/000084071506000050/ex4_8.htm" TargetMode="External"/><Relationship Id="rId36" Type="http://schemas.openxmlformats.org/officeDocument/2006/relationships/hyperlink" Target="http://www.sec.gov/Archives/edgar/data/840715/000084071508000005/equityincentiveplan.htm" TargetMode="External"/><Relationship Id="rId37" Type="http://schemas.openxmlformats.org/officeDocument/2006/relationships/hyperlink" Target="http://www.sec.gov/Archives/edgar/data/840715/000084071516000065/exhibit48eip.htm" TargetMode="External"/><Relationship Id="rId38" Type="http://schemas.openxmlformats.org/officeDocument/2006/relationships/hyperlink" Target="http://www.sec.gov/Archives/edgar/data/840715/000084071515000019/exhibit411amendmentno1equi.htm" TargetMode="External"/><Relationship Id="rId39" Type="http://schemas.openxmlformats.org/officeDocument/2006/relationships/hyperlink" Target="http://www.sec.gov/Archives/edgar/data/840715/000084071515000022/exhibit43clearoneemployees.htm" TargetMode="External"/><Relationship Id="rId40" Type="http://schemas.openxmlformats.org/officeDocument/2006/relationships/hyperlink" Target="http://www.sec.gov/Archives/edgar/data/840715/000084071506000045/ex14_1.htm" TargetMode="External"/><Relationship Id="rId41" Type="http://schemas.openxmlformats.org/officeDocument/2006/relationships/hyperlink" Target="#" TargetMode="External"/><Relationship Id="rId42" Type="http://schemas.openxmlformats.org/officeDocument/2006/relationships/hyperlink" Target="#" TargetMode="External"/><Relationship Id="rId43" Type="http://schemas.openxmlformats.org/officeDocument/2006/relationships/hyperlink" Target="#" TargetMode="External"/><Relationship Id="rId44" Type="http://schemas.openxmlformats.org/officeDocument/2006/relationships/hyperlink" Target="#" TargetMode="External"/><Relationship Id="rId45" Type="http://schemas.openxmlformats.org/officeDocument/2006/relationships/hyperlink" Target="#" TargetMode="External"/><Relationship Id="rId46" Type="http://schemas.openxmlformats.org/officeDocument/2006/relationships/hyperlink" Target="#"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44982</Words>
  <CharactersWithSpaces>300505</CharactersWithSpaces>
  <Paragraphs>6649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