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10-K</w:t>
      </w:r>
    </w:p>
    <w:p>
      <w:pPr>
        <w:spacing w:after="0" w:line="6"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6" w:lineRule="exact"/>
        <w:rPr>
          <w:sz w:val="24"/>
          <w:szCs w:val="24"/>
          <w:color w:val="auto"/>
        </w:rPr>
      </w:pPr>
    </w:p>
    <w:p>
      <w:pPr>
        <w:ind w:left="1060" w:right="2420" w:hanging="1025"/>
        <w:spacing w:after="0" w:line="298" w:lineRule="auto"/>
        <w:tabs>
          <w:tab w:leader="none" w:pos="106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ANNUAL REPORT PURSUANT TO SECTION 13 OR 15(d) OF THE SECURITIES EXCHANGE ACT OF 1934 </w:t>
      </w:r>
      <w:r>
        <w:rPr>
          <w:rFonts w:ascii="Arial" w:cs="Arial" w:eastAsia="Arial" w:hAnsi="Arial"/>
          <w:sz w:val="16"/>
          <w:szCs w:val="16"/>
          <w:color w:val="auto"/>
        </w:rPr>
        <w:t>For the fiscal year ended December 31, 2014</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Pr>
          <w:p>
            <w:pPr>
              <w:ind w:left="40"/>
              <w:spacing w:after="0"/>
              <w:rPr>
                <w:sz w:val="20"/>
                <w:szCs w:val="20"/>
                <w:color w:val="auto"/>
              </w:rPr>
            </w:pPr>
            <w:r>
              <w:rPr>
                <w:rFonts w:ascii="Arial" w:cs="Arial" w:eastAsia="Arial" w:hAnsi="Arial"/>
                <w:sz w:val="16"/>
                <w:szCs w:val="16"/>
                <w:color w:val="auto"/>
              </w:rPr>
              <w:t>[ ]</w:t>
            </w:r>
          </w:p>
        </w:tc>
        <w:tc>
          <w:tcPr>
            <w:tcW w:w="10780" w:type="dxa"/>
            <w:vAlign w:val="bottom"/>
            <w:gridSpan w:val="5"/>
          </w:tcPr>
          <w:p>
            <w:pPr>
              <w:ind w:left="440"/>
              <w:spacing w:after="0"/>
              <w:rPr>
                <w:sz w:val="20"/>
                <w:szCs w:val="20"/>
                <w:color w:val="auto"/>
              </w:rPr>
            </w:pPr>
            <w:r>
              <w:rPr>
                <w:rFonts w:ascii="Arial" w:cs="Arial" w:eastAsia="Arial" w:hAnsi="Arial"/>
                <w:sz w:val="16"/>
                <w:szCs w:val="16"/>
                <w:b w:val="1"/>
                <w:bCs w:val="1"/>
                <w:color w:val="auto"/>
              </w:rPr>
              <w:t>TRANSITION REPORT PURSUANT TO SECTION 13 OR 15(d) OF THE SECURITIES EXCHANGE ACT OF 1934</w:t>
            </w:r>
          </w:p>
        </w:tc>
      </w:tr>
      <w:tr>
        <w:trPr>
          <w:trHeight w:val="206"/>
        </w:trPr>
        <w:tc>
          <w:tcPr>
            <w:tcW w:w="620" w:type="dxa"/>
            <w:vAlign w:val="bottom"/>
          </w:tcPr>
          <w:p>
            <w:pPr>
              <w:spacing w:after="0"/>
              <w:rPr>
                <w:sz w:val="17"/>
                <w:szCs w:val="17"/>
                <w:color w:val="auto"/>
              </w:rPr>
            </w:pPr>
          </w:p>
        </w:tc>
        <w:tc>
          <w:tcPr>
            <w:tcW w:w="5540" w:type="dxa"/>
            <w:vAlign w:val="bottom"/>
            <w:gridSpan w:val="4"/>
          </w:tcPr>
          <w:p>
            <w:pPr>
              <w:ind w:left="440"/>
              <w:spacing w:after="0"/>
              <w:rPr>
                <w:sz w:val="20"/>
                <w:szCs w:val="20"/>
                <w:color w:val="auto"/>
              </w:rPr>
            </w:pPr>
            <w:r>
              <w:rPr>
                <w:rFonts w:ascii="Arial" w:cs="Arial" w:eastAsia="Arial" w:hAnsi="Arial"/>
                <w:sz w:val="16"/>
                <w:szCs w:val="16"/>
                <w:color w:val="auto"/>
              </w:rPr>
              <w:t>For the transition period from _________ to ___________</w:t>
            </w:r>
          </w:p>
        </w:tc>
        <w:tc>
          <w:tcPr>
            <w:tcW w:w="5240" w:type="dxa"/>
            <w:vAlign w:val="bottom"/>
          </w:tcPr>
          <w:p>
            <w:pPr>
              <w:spacing w:after="0"/>
              <w:rPr>
                <w:sz w:val="17"/>
                <w:szCs w:val="17"/>
                <w:color w:val="auto"/>
              </w:rPr>
            </w:pPr>
          </w:p>
        </w:tc>
      </w:tr>
      <w:tr>
        <w:trPr>
          <w:trHeight w:val="411"/>
        </w:trPr>
        <w:tc>
          <w:tcPr>
            <w:tcW w:w="6160" w:type="dxa"/>
            <w:vAlign w:val="bottom"/>
            <w:gridSpan w:val="5"/>
          </w:tcPr>
          <w:p>
            <w:pPr>
              <w:spacing w:after="0"/>
              <w:rPr>
                <w:sz w:val="20"/>
                <w:szCs w:val="20"/>
                <w:color w:val="auto"/>
              </w:rPr>
            </w:pPr>
            <w:r>
              <w:rPr>
                <w:rFonts w:ascii="Arial" w:cs="Arial" w:eastAsia="Arial" w:hAnsi="Arial"/>
                <w:sz w:val="16"/>
                <w:szCs w:val="16"/>
                <w:color w:val="auto"/>
              </w:rPr>
              <w:t>Commission file number 001-33660</w:t>
            </w:r>
          </w:p>
        </w:tc>
        <w:tc>
          <w:tcPr>
            <w:tcW w:w="5240" w:type="dxa"/>
            <w:vAlign w:val="bottom"/>
          </w:tcPr>
          <w:p>
            <w:pPr>
              <w:spacing w:after="0"/>
              <w:rPr>
                <w:sz w:val="24"/>
                <w:szCs w:val="24"/>
                <w:color w:val="auto"/>
              </w:rPr>
            </w:pPr>
          </w:p>
        </w:tc>
      </w:tr>
      <w:tr>
        <w:trPr>
          <w:trHeight w:val="209"/>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9040" w:type="dxa"/>
            <w:vAlign w:val="bottom"/>
            <w:gridSpan w:val="3"/>
          </w:tcPr>
          <w:p>
            <w:pPr>
              <w:jc w:val="center"/>
              <w:ind w:right="2239"/>
              <w:spacing w:after="0"/>
              <w:rPr>
                <w:sz w:val="20"/>
                <w:szCs w:val="20"/>
                <w:color w:val="auto"/>
              </w:rPr>
            </w:pPr>
            <w:r>
              <w:rPr>
                <w:rFonts w:ascii="Arial" w:cs="Arial" w:eastAsia="Arial" w:hAnsi="Arial"/>
                <w:sz w:val="18"/>
                <w:szCs w:val="18"/>
                <w:b w:val="1"/>
                <w:bCs w:val="1"/>
                <w:color w:val="auto"/>
              </w:rPr>
              <w:t>CLEARONE, INC.</w:t>
            </w:r>
          </w:p>
        </w:tc>
      </w:tr>
      <w:tr>
        <w:trPr>
          <w:trHeight w:val="230"/>
        </w:trPr>
        <w:tc>
          <w:tcPr>
            <w:tcW w:w="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40" w:type="dxa"/>
            <w:vAlign w:val="bottom"/>
            <w:gridSpan w:val="3"/>
          </w:tcPr>
          <w:p>
            <w:pPr>
              <w:jc w:val="center"/>
              <w:ind w:right="2239"/>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359"/>
        </w:trPr>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0" w:type="dxa"/>
            <w:vAlign w:val="bottom"/>
            <w:gridSpan w:val="2"/>
          </w:tcPr>
          <w:p>
            <w:pPr>
              <w:jc w:val="center"/>
              <w:ind w:right="2460"/>
              <w:spacing w:after="0"/>
              <w:rPr>
                <w:sz w:val="20"/>
                <w:szCs w:val="20"/>
                <w:color w:val="auto"/>
              </w:rPr>
            </w:pPr>
            <w:r>
              <w:rPr>
                <w:rFonts w:ascii="Arial" w:cs="Arial" w:eastAsia="Arial" w:hAnsi="Arial"/>
                <w:sz w:val="16"/>
                <w:szCs w:val="16"/>
                <w:b w:val="1"/>
                <w:bCs w:val="1"/>
                <w:color w:val="auto"/>
                <w:w w:val="95"/>
              </w:rPr>
              <w:t>Utah</w:t>
            </w:r>
          </w:p>
        </w:tc>
        <w:tc>
          <w:tcPr>
            <w:tcW w:w="5240" w:type="dxa"/>
            <w:vAlign w:val="bottom"/>
          </w:tcPr>
          <w:p>
            <w:pPr>
              <w:jc w:val="right"/>
              <w:ind w:right="2139"/>
              <w:spacing w:after="0"/>
              <w:rPr>
                <w:sz w:val="20"/>
                <w:szCs w:val="20"/>
                <w:color w:val="auto"/>
              </w:rPr>
            </w:pPr>
            <w:r>
              <w:rPr>
                <w:rFonts w:ascii="Arial" w:cs="Arial" w:eastAsia="Arial" w:hAnsi="Arial"/>
                <w:sz w:val="16"/>
                <w:szCs w:val="16"/>
                <w:b w:val="1"/>
                <w:bCs w:val="1"/>
                <w:color w:val="auto"/>
              </w:rPr>
              <w:t>87-0398877</w:t>
            </w:r>
          </w:p>
        </w:tc>
      </w:tr>
      <w:tr>
        <w:trPr>
          <w:trHeight w:val="47"/>
        </w:trPr>
        <w:tc>
          <w:tcPr>
            <w:tcW w:w="1660" w:type="dxa"/>
            <w:vAlign w:val="bottom"/>
            <w:tcBorders>
              <w:bottom w:val="single" w:sz="8" w:color="auto"/>
            </w:tcBorders>
            <w:gridSpan w:val="2"/>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3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r>
      <w:tr>
        <w:trPr>
          <w:trHeight w:val="217"/>
        </w:trPr>
        <w:tc>
          <w:tcPr>
            <w:tcW w:w="6160" w:type="dxa"/>
            <w:vAlign w:val="bottom"/>
            <w:gridSpan w:val="5"/>
          </w:tcPr>
          <w:p>
            <w:pPr>
              <w:ind w:left="40"/>
              <w:spacing w:after="0"/>
              <w:rPr>
                <w:sz w:val="20"/>
                <w:szCs w:val="20"/>
                <w:color w:val="auto"/>
              </w:rPr>
            </w:pPr>
            <w:r>
              <w:rPr>
                <w:rFonts w:ascii="Arial" w:cs="Arial" w:eastAsia="Arial" w:hAnsi="Arial"/>
                <w:sz w:val="16"/>
                <w:szCs w:val="16"/>
                <w:color w:val="auto"/>
              </w:rPr>
              <w:t>(State or other jurisdiction of incorporation or organization)</w:t>
            </w:r>
          </w:p>
        </w:tc>
        <w:tc>
          <w:tcPr>
            <w:tcW w:w="5240" w:type="dxa"/>
            <w:vAlign w:val="bottom"/>
          </w:tcPr>
          <w:p>
            <w:pPr>
              <w:jc w:val="right"/>
              <w:ind w:right="2559"/>
              <w:spacing w:after="0"/>
              <w:rPr>
                <w:sz w:val="20"/>
                <w:szCs w:val="20"/>
                <w:color w:val="auto"/>
              </w:rPr>
            </w:pPr>
            <w:r>
              <w:rPr>
                <w:rFonts w:ascii="Arial" w:cs="Arial" w:eastAsia="Arial" w:hAnsi="Arial"/>
                <w:sz w:val="16"/>
                <w:szCs w:val="16"/>
                <w:color w:val="auto"/>
                <w:w w:val="94"/>
              </w:rPr>
              <w:t>(I.R.S. employer identification number)</w:t>
            </w:r>
          </w:p>
        </w:tc>
      </w:tr>
      <w:tr>
        <w:trPr>
          <w:trHeight w:val="581"/>
        </w:trPr>
        <w:tc>
          <w:tcPr>
            <w:tcW w:w="620" w:type="dxa"/>
            <w:vAlign w:val="bottom"/>
          </w:tcPr>
          <w:p>
            <w:pPr>
              <w:spacing w:after="0"/>
              <w:rPr>
                <w:sz w:val="24"/>
                <w:szCs w:val="24"/>
                <w:color w:val="auto"/>
              </w:rPr>
            </w:pPr>
          </w:p>
        </w:tc>
        <w:tc>
          <w:tcPr>
            <w:tcW w:w="5540" w:type="dxa"/>
            <w:vAlign w:val="bottom"/>
            <w:gridSpan w:val="4"/>
          </w:tcPr>
          <w:p>
            <w:pPr>
              <w:jc w:val="center"/>
              <w:ind w:right="720"/>
              <w:spacing w:after="0"/>
              <w:rPr>
                <w:sz w:val="20"/>
                <w:szCs w:val="20"/>
                <w:color w:val="auto"/>
              </w:rPr>
            </w:pPr>
            <w:r>
              <w:rPr>
                <w:rFonts w:ascii="Arial" w:cs="Arial" w:eastAsia="Arial" w:hAnsi="Arial"/>
                <w:sz w:val="16"/>
                <w:szCs w:val="16"/>
                <w:b w:val="1"/>
                <w:bCs w:val="1"/>
                <w:color w:val="auto"/>
                <w:w w:val="92"/>
              </w:rPr>
              <w:t>5225 Wiley Post Way, Suite 500, Salt Lake City, Utah</w:t>
            </w:r>
          </w:p>
        </w:tc>
        <w:tc>
          <w:tcPr>
            <w:tcW w:w="5240" w:type="dxa"/>
            <w:vAlign w:val="bottom"/>
          </w:tcPr>
          <w:p>
            <w:pPr>
              <w:jc w:val="right"/>
              <w:ind w:right="2339"/>
              <w:spacing w:after="0"/>
              <w:rPr>
                <w:sz w:val="20"/>
                <w:szCs w:val="20"/>
                <w:color w:val="auto"/>
              </w:rPr>
            </w:pPr>
            <w:r>
              <w:rPr>
                <w:rFonts w:ascii="Arial" w:cs="Arial" w:eastAsia="Arial" w:hAnsi="Arial"/>
                <w:sz w:val="16"/>
                <w:szCs w:val="16"/>
                <w:b w:val="1"/>
                <w:bCs w:val="1"/>
                <w:color w:val="auto"/>
              </w:rPr>
              <w:t>84116</w:t>
            </w:r>
          </w:p>
        </w:tc>
      </w:tr>
      <w:tr>
        <w:trPr>
          <w:trHeight w:val="47"/>
        </w:trPr>
        <w:tc>
          <w:tcPr>
            <w:tcW w:w="6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3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r>
      <w:tr>
        <w:trPr>
          <w:trHeight w:val="217"/>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500" w:type="dxa"/>
            <w:vAlign w:val="bottom"/>
            <w:gridSpan w:val="3"/>
          </w:tcPr>
          <w:p>
            <w:pPr>
              <w:jc w:val="center"/>
              <w:ind w:right="1760"/>
              <w:spacing w:after="0"/>
              <w:rPr>
                <w:sz w:val="20"/>
                <w:szCs w:val="20"/>
                <w:color w:val="auto"/>
              </w:rPr>
            </w:pPr>
            <w:r>
              <w:rPr>
                <w:rFonts w:ascii="Arial" w:cs="Arial" w:eastAsia="Arial" w:hAnsi="Arial"/>
                <w:sz w:val="16"/>
                <w:szCs w:val="16"/>
                <w:color w:val="auto"/>
                <w:w w:val="94"/>
              </w:rPr>
              <w:t>(Address of principal executive offices)</w:t>
            </w:r>
          </w:p>
        </w:tc>
        <w:tc>
          <w:tcPr>
            <w:tcW w:w="5240" w:type="dxa"/>
            <w:vAlign w:val="bottom"/>
          </w:tcPr>
          <w:p>
            <w:pPr>
              <w:jc w:val="right"/>
              <w:ind w:right="2179"/>
              <w:spacing w:after="0"/>
              <w:rPr>
                <w:sz w:val="20"/>
                <w:szCs w:val="20"/>
                <w:color w:val="auto"/>
              </w:rPr>
            </w:pPr>
            <w:r>
              <w:rPr>
                <w:rFonts w:ascii="Arial" w:cs="Arial" w:eastAsia="Arial" w:hAnsi="Arial"/>
                <w:sz w:val="16"/>
                <w:szCs w:val="16"/>
                <w:color w:val="auto"/>
              </w:rPr>
              <w:t>(Zip Code)</w:t>
            </w:r>
          </w:p>
        </w:tc>
      </w:tr>
      <w:tr>
        <w:trPr>
          <w:trHeight w:val="392"/>
        </w:trPr>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500" w:type="dxa"/>
            <w:vAlign w:val="bottom"/>
            <w:gridSpan w:val="3"/>
          </w:tcPr>
          <w:p>
            <w:pPr>
              <w:ind w:left="320"/>
              <w:spacing w:after="0"/>
              <w:rPr>
                <w:sz w:val="20"/>
                <w:szCs w:val="20"/>
                <w:color w:val="auto"/>
              </w:rPr>
            </w:pPr>
            <w:r>
              <w:rPr>
                <w:rFonts w:ascii="Arial" w:cs="Arial" w:eastAsia="Arial" w:hAnsi="Arial"/>
                <w:sz w:val="16"/>
                <w:szCs w:val="16"/>
                <w:color w:val="auto"/>
              </w:rPr>
              <w:t>(Registrant’s telephone number, including area code)</w:t>
            </w:r>
          </w:p>
        </w:tc>
        <w:tc>
          <w:tcPr>
            <w:tcW w:w="5240" w:type="dxa"/>
            <w:vAlign w:val="bottom"/>
          </w:tcPr>
          <w:p>
            <w:pPr>
              <w:jc w:val="right"/>
              <w:ind w:right="2959"/>
              <w:spacing w:after="0"/>
              <w:rPr>
                <w:sz w:val="20"/>
                <w:szCs w:val="20"/>
                <w:color w:val="auto"/>
              </w:rPr>
            </w:pPr>
            <w:r>
              <w:rPr>
                <w:rFonts w:ascii="Arial" w:cs="Arial" w:eastAsia="Arial" w:hAnsi="Arial"/>
                <w:sz w:val="16"/>
                <w:szCs w:val="16"/>
                <w:b w:val="1"/>
                <w:bCs w:val="1"/>
                <w:color w:val="auto"/>
              </w:rPr>
              <w:t>801-975-7200</w:t>
            </w:r>
          </w:p>
        </w:tc>
      </w:tr>
    </w:tbl>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65" w:lineRule="exact"/>
        <w:rPr>
          <w:sz w:val="24"/>
          <w:szCs w:val="24"/>
          <w:color w:val="auto"/>
        </w:rPr>
      </w:pPr>
    </w:p>
    <w:tbl>
      <w:tblPr>
        <w:tblLayout w:type="fixed"/>
        <w:tblInd w:w="140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Name on each exchange on which registered</w:t>
            </w:r>
          </w:p>
        </w:tc>
      </w:tr>
      <w:tr>
        <w:trPr>
          <w:trHeight w:val="312"/>
        </w:trPr>
        <w:tc>
          <w:tcPr>
            <w:tcW w:w="5100" w:type="dxa"/>
            <w:vAlign w:val="bottom"/>
            <w:gridSpan w:val="3"/>
          </w:tcPr>
          <w:p>
            <w:pPr>
              <w:jc w:val="center"/>
              <w:ind w:right="1480"/>
              <w:spacing w:after="0"/>
              <w:rPr>
                <w:sz w:val="20"/>
                <w:szCs w:val="20"/>
                <w:color w:val="auto"/>
              </w:rPr>
            </w:pPr>
            <w:r>
              <w:rPr>
                <w:rFonts w:ascii="Arial" w:cs="Arial" w:eastAsia="Arial" w:hAnsi="Arial"/>
                <w:sz w:val="16"/>
                <w:szCs w:val="16"/>
                <w:color w:val="auto"/>
                <w:w w:val="91"/>
              </w:rPr>
              <w:t>Common Stock, $0.001 par value</w:t>
            </w:r>
          </w:p>
        </w:tc>
        <w:tc>
          <w:tcPr>
            <w:tcW w:w="1100" w:type="dxa"/>
            <w:vAlign w:val="bottom"/>
          </w:tcPr>
          <w:p>
            <w:pPr>
              <w:spacing w:after="0"/>
              <w:rPr>
                <w:sz w:val="24"/>
                <w:szCs w:val="24"/>
                <w:color w:val="auto"/>
              </w:rPr>
            </w:pPr>
          </w:p>
        </w:tc>
        <w:tc>
          <w:tcPr>
            <w:tcW w:w="2720" w:type="dxa"/>
            <w:vAlign w:val="bottom"/>
            <w:gridSpan w:val="2"/>
          </w:tcPr>
          <w:p>
            <w:pPr>
              <w:jc w:val="center"/>
              <w:spacing w:after="0"/>
              <w:rPr>
                <w:sz w:val="20"/>
                <w:szCs w:val="20"/>
                <w:color w:val="auto"/>
              </w:rPr>
            </w:pPr>
            <w:r>
              <w:rPr>
                <w:rFonts w:ascii="Arial" w:cs="Arial" w:eastAsia="Arial" w:hAnsi="Arial"/>
                <w:sz w:val="16"/>
                <w:szCs w:val="16"/>
                <w:color w:val="auto"/>
                <w:w w:val="96"/>
              </w:rPr>
              <w:t>The NASDAQ Capital Market</w:t>
            </w:r>
          </w:p>
        </w:tc>
      </w:tr>
      <w:tr>
        <w:trPr>
          <w:trHeight w:val="486"/>
        </w:trPr>
        <w:tc>
          <w:tcPr>
            <w:tcW w:w="510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12(g) of the Act</w:t>
            </w:r>
          </w:p>
        </w:tc>
        <w:tc>
          <w:tcPr>
            <w:tcW w:w="1100" w:type="dxa"/>
            <w:vAlign w:val="bottom"/>
          </w:tcPr>
          <w:p>
            <w:pPr>
              <w:spacing w:after="0"/>
              <w:rPr>
                <w:sz w:val="24"/>
                <w:szCs w:val="24"/>
                <w:color w:val="auto"/>
              </w:rPr>
            </w:pPr>
          </w:p>
        </w:tc>
        <w:tc>
          <w:tcPr>
            <w:tcW w:w="2720" w:type="dxa"/>
            <w:vAlign w:val="bottom"/>
            <w:gridSpan w:val="2"/>
          </w:tcPr>
          <w:p>
            <w:pPr>
              <w:ind w:left="80"/>
              <w:spacing w:after="0"/>
              <w:rPr>
                <w:sz w:val="20"/>
                <w:szCs w:val="20"/>
                <w:color w:val="auto"/>
              </w:rPr>
            </w:pPr>
            <w:r>
              <w:rPr>
                <w:rFonts w:ascii="Arial" w:cs="Arial" w:eastAsia="Arial" w:hAnsi="Arial"/>
                <w:sz w:val="16"/>
                <w:szCs w:val="16"/>
                <w:b w:val="1"/>
                <w:bCs w:val="1"/>
                <w:color w:val="auto"/>
              </w:rPr>
              <w:t>None</w:t>
            </w:r>
          </w:p>
        </w:tc>
      </w:tr>
      <w:tr>
        <w:trPr>
          <w:trHeight w:val="33"/>
        </w:trPr>
        <w:tc>
          <w:tcPr>
            <w:tcW w:w="1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r>
    </w:tbl>
    <w:p>
      <w:pPr>
        <w:spacing w:after="0" w:line="149" w:lineRule="exact"/>
        <w:rPr>
          <w:sz w:val="24"/>
          <w:szCs w:val="24"/>
          <w:color w:val="auto"/>
        </w:rPr>
      </w:pPr>
    </w:p>
    <w:p>
      <w:pPr>
        <w:ind w:right="2820"/>
        <w:spacing w:after="0" w:line="222"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Indicate by check mark if the registrant is not required to file reports pursuant to Section 13 or Section 15(d) of the Act. </w:t>
      </w:r>
      <w:r>
        <w:rPr>
          <w:rFonts w:ascii="MS PGothic" w:cs="MS PGothic" w:eastAsia="MS PGothic" w:hAnsi="MS PGothic"/>
          <w:sz w:val="14"/>
          <w:szCs w:val="14"/>
          <w:color w:val="auto"/>
        </w:rPr>
        <w:t>☐</w:t>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No</w:t>
      </w:r>
    </w:p>
    <w:p>
      <w:pPr>
        <w:spacing w:after="0" w:line="46" w:lineRule="exact"/>
        <w:rPr>
          <w:sz w:val="24"/>
          <w:szCs w:val="24"/>
          <w:color w:val="auto"/>
        </w:rPr>
      </w:pPr>
    </w:p>
    <w:p>
      <w:pPr>
        <w:jc w:val="both"/>
        <w:ind w:right="20"/>
        <w:spacing w:after="0" w:line="20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No</w:t>
      </w:r>
    </w:p>
    <w:p>
      <w:pPr>
        <w:spacing w:after="0" w:line="46" w:lineRule="exact"/>
        <w:rPr>
          <w:sz w:val="24"/>
          <w:szCs w:val="24"/>
          <w:color w:val="auto"/>
        </w:rPr>
      </w:pPr>
    </w:p>
    <w:p>
      <w:pPr>
        <w:jc w:val="both"/>
        <w:ind w:right="2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No</w:t>
      </w:r>
    </w:p>
    <w:p>
      <w:pPr>
        <w:spacing w:after="0" w:line="48" w:lineRule="exact"/>
        <w:rPr>
          <w:sz w:val="24"/>
          <w:szCs w:val="24"/>
          <w:color w:val="auto"/>
        </w:rPr>
      </w:pPr>
    </w:p>
    <w:p>
      <w:pPr>
        <w:ind w:right="120"/>
        <w:spacing w:after="0" w:line="287" w:lineRule="auto"/>
        <w:rPr>
          <w:sz w:val="20"/>
          <w:szCs w:val="20"/>
          <w:color w:val="auto"/>
        </w:rPr>
      </w:pPr>
      <w:r>
        <w:rPr>
          <w:rFonts w:ascii="Arial" w:cs="Arial" w:eastAsia="Arial" w:hAnsi="Arial"/>
          <w:sz w:val="14"/>
          <w:szCs w:val="14"/>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w:t>
      </w:r>
    </w:p>
    <w:p>
      <w:pPr>
        <w:spacing w:after="0" w:line="1" w:lineRule="exact"/>
        <w:rPr>
          <w:sz w:val="24"/>
          <w:szCs w:val="24"/>
          <w:color w:val="auto"/>
        </w:rPr>
      </w:pPr>
    </w:p>
    <w:p>
      <w:pPr>
        <w:ind w:left="200" w:hanging="192"/>
        <w:spacing w:after="0" w:line="184" w:lineRule="exact"/>
        <w:tabs>
          <w:tab w:leader="none" w:pos="200" w:val="left"/>
        </w:tabs>
        <w:numPr>
          <w:ilvl w:val="0"/>
          <w:numId w:val="2"/>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78" w:lineRule="exact"/>
        <w:rPr>
          <w:sz w:val="24"/>
          <w:szCs w:val="24"/>
          <w:color w:val="auto"/>
        </w:rPr>
      </w:pPr>
    </w:p>
    <w:p>
      <w:pPr>
        <w:ind w:right="32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“larger accelerated filer,” “accelerated filer” and “smaller reporting company” in Rule 12b-2 of the Exchange Act. (Check one):</w:t>
      </w:r>
    </w:p>
    <w:p>
      <w:pPr>
        <w:spacing w:after="0" w:line="89" w:lineRule="exact"/>
        <w:rPr>
          <w:sz w:val="24"/>
          <w:szCs w:val="24"/>
          <w:color w:val="auto"/>
        </w:rPr>
      </w:pPr>
    </w:p>
    <w:p>
      <w:pPr>
        <w:ind w:left="40"/>
        <w:spacing w:after="0" w:line="184" w:lineRule="exact"/>
        <w:tabs>
          <w:tab w:leader="none" w:pos="2300" w:val="left"/>
          <w:tab w:leader="none" w:pos="4560" w:val="left"/>
          <w:tab w:leader="none" w:pos="6840" w:val="left"/>
        </w:tabs>
        <w:rPr>
          <w:sz w:val="20"/>
          <w:szCs w:val="20"/>
          <w:color w:val="auto"/>
        </w:rPr>
      </w:pPr>
      <w:r>
        <w:rPr>
          <w:rFonts w:ascii="Arial" w:cs="Arial" w:eastAsia="Arial" w:hAnsi="Arial"/>
          <w:sz w:val="16"/>
          <w:szCs w:val="16"/>
          <w:color w:val="auto"/>
        </w:rPr>
        <w:t xml:space="preserve">Larger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Smaller Reporting Company x</w:t>
      </w:r>
    </w:p>
    <w:p>
      <w:pPr>
        <w:spacing w:after="0" w:line="94" w:lineRule="exact"/>
        <w:rPr>
          <w:sz w:val="24"/>
          <w:szCs w:val="24"/>
          <w:color w:val="auto"/>
        </w:rPr>
      </w:pPr>
    </w:p>
    <w:p>
      <w:pPr>
        <w:ind w:left="4000"/>
        <w:spacing w:after="0"/>
        <w:rPr>
          <w:sz w:val="20"/>
          <w:szCs w:val="20"/>
          <w:color w:val="auto"/>
        </w:rPr>
      </w:pPr>
      <w:r>
        <w:rPr>
          <w:rFonts w:ascii="Arial" w:cs="Arial" w:eastAsia="Arial" w:hAnsi="Arial"/>
          <w:sz w:val="14"/>
          <w:szCs w:val="14"/>
          <w:color w:val="auto"/>
        </w:rPr>
        <w:t>(Do not check if a smaller reporting company)</w:t>
      </w:r>
    </w:p>
    <w:p>
      <w:pPr>
        <w:spacing w:after="0" w:line="14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70" w:lineRule="exact"/>
        <w:rPr>
          <w:sz w:val="24"/>
          <w:szCs w:val="24"/>
          <w:color w:val="auto"/>
        </w:rPr>
      </w:pPr>
    </w:p>
    <w:p>
      <w:pPr>
        <w:ind w:right="160"/>
        <w:spacing w:after="0" w:line="252" w:lineRule="auto"/>
        <w:rPr>
          <w:sz w:val="20"/>
          <w:szCs w:val="20"/>
          <w:color w:val="auto"/>
        </w:rPr>
      </w:pPr>
      <w:r>
        <w:rPr>
          <w:rFonts w:ascii="Arial" w:cs="Arial" w:eastAsia="Arial" w:hAnsi="Arial"/>
          <w:sz w:val="16"/>
          <w:szCs w:val="16"/>
          <w:color w:val="auto"/>
        </w:rPr>
        <w:t>The aggregate market value of the shares of voting common stock held by non-affiliates was approximately $60.1 million at June 30, 2014, (the Company's most recently completed second fiscal quarter), based on the $9.83 closing price for the Company’s common stock on the NASDAQ Capital Market on such date. For purposes of this computation, all officers, directors, and 10% beneficial owners of the registrant are deemed to be affiliates. Such determination should not be deemed to be an admission that such officers, directors, or 10% beneficial owners are, in fact, affiliates of the registrant.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ClearOne common stock outstanding as of March 20, 2015 was 9,111,790.</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DOCUMENTS INCORPORATED BY REFERENCE</w:t>
      </w:r>
    </w:p>
    <w:p>
      <w:pPr>
        <w:spacing w:after="0" w:line="194" w:lineRule="exact"/>
        <w:rPr>
          <w:sz w:val="24"/>
          <w:szCs w:val="24"/>
          <w:color w:val="auto"/>
        </w:rPr>
      </w:pPr>
    </w:p>
    <w:p>
      <w:pPr>
        <w:ind w:right="260"/>
        <w:spacing w:after="0" w:line="349" w:lineRule="auto"/>
        <w:rPr>
          <w:sz w:val="20"/>
          <w:szCs w:val="20"/>
          <w:color w:val="auto"/>
        </w:rPr>
      </w:pPr>
      <w:r>
        <w:rPr>
          <w:rFonts w:ascii="Arial" w:cs="Arial" w:eastAsia="Arial" w:hAnsi="Arial"/>
          <w:sz w:val="14"/>
          <w:szCs w:val="14"/>
          <w:color w:val="auto"/>
        </w:rPr>
        <w:t>Information required by Part III is incorporated by reference from registrant's proxy statement for the 2015 annual meeting of shareholders or an amendment to this Annual Report on Form 10-K, which will be filed with the Securities and Exchange Commission within 120 days after the end of its fiscal year ended December 31, 2014.</w:t>
      </w:r>
    </w:p>
    <w:p>
      <w:pPr>
        <w:sectPr>
          <w:pgSz w:w="11900" w:h="16838" w:orient="portrait"/>
          <w:cols w:equalWidth="0" w:num="1">
            <w:col w:w="11400"/>
          </w:cols>
          <w:pgMar w:left="240" w:top="468" w:right="259" w:bottom="1440" w:gutter="0" w:footer="0" w:header="0"/>
        </w:sectPr>
      </w:pPr>
    </w:p>
    <w:bookmarkStart w:id="1" w:name="page2"/>
    <w:bookmarkEnd w:id="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8940" w:type="dxa"/>
            <w:vAlign w:val="bottom"/>
          </w:tcPr>
          <w:p>
            <w:pPr>
              <w:jc w:val="center"/>
              <w:ind w:left="530"/>
              <w:spacing w:after="0"/>
              <w:rPr>
                <w:sz w:val="20"/>
                <w:szCs w:val="20"/>
                <w:color w:val="auto"/>
              </w:rPr>
            </w:pPr>
            <w:r>
              <w:rPr>
                <w:rFonts w:ascii="Arial" w:cs="Arial" w:eastAsia="Arial" w:hAnsi="Arial"/>
                <w:sz w:val="18"/>
                <w:szCs w:val="18"/>
                <w:b w:val="1"/>
                <w:bCs w:val="1"/>
                <w:color w:val="auto"/>
              </w:rPr>
              <w:t>CLEARONE, INC.</w:t>
            </w: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32"/>
        </w:trPr>
        <w:tc>
          <w:tcPr>
            <w:tcW w:w="900" w:type="dxa"/>
            <w:vAlign w:val="bottom"/>
          </w:tcPr>
          <w:p>
            <w:pPr>
              <w:spacing w:after="0"/>
              <w:rPr>
                <w:sz w:val="24"/>
                <w:szCs w:val="24"/>
                <w:color w:val="auto"/>
              </w:rPr>
            </w:pPr>
          </w:p>
        </w:tc>
        <w:tc>
          <w:tcPr>
            <w:tcW w:w="8940" w:type="dxa"/>
            <w:vAlign w:val="bottom"/>
          </w:tcPr>
          <w:p>
            <w:pPr>
              <w:jc w:val="center"/>
              <w:ind w:left="510"/>
              <w:spacing w:after="0"/>
              <w:rPr>
                <w:sz w:val="20"/>
                <w:szCs w:val="20"/>
                <w:color w:val="auto"/>
              </w:rPr>
            </w:pPr>
            <w:r>
              <w:rPr>
                <w:rFonts w:ascii="Arial" w:cs="Arial" w:eastAsia="Arial" w:hAnsi="Arial"/>
                <w:sz w:val="18"/>
                <w:szCs w:val="18"/>
                <w:b w:val="1"/>
                <w:bCs w:val="1"/>
                <w:color w:val="auto"/>
                <w:w w:val="99"/>
              </w:rPr>
              <w:t>ANNUAL REPORT ON FORM 10-K FOR THE YEAR ENDED DECEMBER 31, 2014</w:t>
            </w: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900" w:type="dxa"/>
            <w:vAlign w:val="bottom"/>
          </w:tcPr>
          <w:p>
            <w:pPr>
              <w:spacing w:after="0"/>
              <w:rPr>
                <w:sz w:val="24"/>
                <w:szCs w:val="24"/>
                <w:color w:val="auto"/>
              </w:rPr>
            </w:pPr>
          </w:p>
        </w:tc>
        <w:tc>
          <w:tcPr>
            <w:tcW w:w="8940" w:type="dxa"/>
            <w:vAlign w:val="bottom"/>
          </w:tcPr>
          <w:p>
            <w:pPr>
              <w:jc w:val="center"/>
              <w:ind w:left="530"/>
              <w:spacing w:after="0"/>
              <w:rPr>
                <w:sz w:val="20"/>
                <w:szCs w:val="20"/>
                <w:color w:val="auto"/>
              </w:rPr>
            </w:pPr>
            <w:r>
              <w:rPr>
                <w:rFonts w:ascii="Arial" w:cs="Arial" w:eastAsia="Arial" w:hAnsi="Arial"/>
                <w:sz w:val="18"/>
                <w:szCs w:val="18"/>
                <w:b w:val="1"/>
                <w:bCs w:val="1"/>
                <w:color w:val="auto"/>
                <w:w w:val="98"/>
              </w:rPr>
              <w:t>TABLE OF CONTENTS</w:t>
            </w: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73"/>
        </w:trPr>
        <w:tc>
          <w:tcPr>
            <w:tcW w:w="900" w:type="dxa"/>
            <w:vAlign w:val="bottom"/>
          </w:tcPr>
          <w:p>
            <w:pPr>
              <w:spacing w:after="0"/>
              <w:rPr>
                <w:sz w:val="24"/>
                <w:szCs w:val="24"/>
                <w:color w:val="auto"/>
              </w:rPr>
            </w:pPr>
          </w:p>
        </w:tc>
        <w:tc>
          <w:tcPr>
            <w:tcW w:w="8940" w:type="dxa"/>
            <w:vAlign w:val="bottom"/>
          </w:tcPr>
          <w:p>
            <w:pPr>
              <w:spacing w:after="0"/>
              <w:rPr>
                <w:sz w:val="24"/>
                <w:szCs w:val="24"/>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b w:val="1"/>
                <w:bCs w:val="1"/>
                <w:color w:val="auto"/>
                <w:w w:val="78"/>
              </w:rPr>
              <w:t>Page</w:t>
            </w:r>
          </w:p>
        </w:tc>
      </w:tr>
      <w:tr>
        <w:trPr>
          <w:trHeight w:val="291"/>
        </w:trPr>
        <w:tc>
          <w:tcPr>
            <w:tcW w:w="900" w:type="dxa"/>
            <w:vAlign w:val="bottom"/>
          </w:tcPr>
          <w:p>
            <w:pPr>
              <w:spacing w:after="0"/>
              <w:rPr>
                <w:sz w:val="24"/>
                <w:szCs w:val="24"/>
                <w:color w:val="auto"/>
              </w:rPr>
            </w:pPr>
          </w:p>
        </w:tc>
        <w:tc>
          <w:tcPr>
            <w:tcW w:w="8940" w:type="dxa"/>
            <w:vAlign w:val="bottom"/>
          </w:tcPr>
          <w:p>
            <w:pPr>
              <w:ind w:left="4200"/>
              <w:spacing w:after="0"/>
              <w:rPr>
                <w:sz w:val="20"/>
                <w:szCs w:val="20"/>
                <w:color w:val="auto"/>
              </w:rPr>
            </w:pPr>
            <w:r>
              <w:rPr>
                <w:rFonts w:ascii="Arial" w:cs="Arial" w:eastAsia="Arial" w:hAnsi="Arial"/>
                <w:sz w:val="18"/>
                <w:szCs w:val="18"/>
                <w:b w:val="1"/>
                <w:bCs w:val="1"/>
                <w:color w:val="auto"/>
              </w:rPr>
              <w:t>PART I</w:t>
            </w:r>
          </w:p>
        </w:tc>
        <w:tc>
          <w:tcPr>
            <w:tcW w:w="6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r>
      <w:tr>
        <w:trPr>
          <w:trHeight w:val="270"/>
        </w:trPr>
        <w:tc>
          <w:tcPr>
            <w:tcW w:w="900" w:type="dxa"/>
            <w:vAlign w:val="bottom"/>
          </w:tcPr>
          <w:p>
            <w:pPr>
              <w:spacing w:after="0"/>
              <w:rPr>
                <w:rFonts w:ascii="Arial" w:cs="Arial" w:eastAsia="Arial" w:hAnsi="Arial"/>
                <w:sz w:val="18"/>
                <w:szCs w:val="18"/>
                <w:color w:val="auto"/>
              </w:rPr>
            </w:pPr>
            <w:hyperlink w:anchor="page3">
              <w:r>
                <w:rPr>
                  <w:rFonts w:ascii="Arial" w:cs="Arial" w:eastAsia="Arial" w:hAnsi="Arial"/>
                  <w:sz w:val="18"/>
                  <w:szCs w:val="18"/>
                  <w:color w:val="auto"/>
                </w:rPr>
                <w:t>Item 1.</w:t>
              </w:r>
            </w:hyperlink>
          </w:p>
        </w:tc>
        <w:tc>
          <w:tcPr>
            <w:tcW w:w="8940" w:type="dxa"/>
            <w:vAlign w:val="bottom"/>
          </w:tcPr>
          <w:p>
            <w:pPr>
              <w:ind w:left="260"/>
              <w:spacing w:after="0"/>
              <w:rPr>
                <w:rFonts w:ascii="Arial" w:cs="Arial" w:eastAsia="Arial" w:hAnsi="Arial"/>
                <w:sz w:val="18"/>
                <w:szCs w:val="18"/>
                <w:color w:val="auto"/>
              </w:rPr>
            </w:pPr>
            <w:hyperlink w:anchor="page3">
              <w:r>
                <w:rPr>
                  <w:rFonts w:ascii="Arial" w:cs="Arial" w:eastAsia="Arial" w:hAnsi="Arial"/>
                  <w:sz w:val="18"/>
                  <w:szCs w:val="18"/>
                  <w:color w:val="auto"/>
                </w:rPr>
                <w:t>Business</w:t>
              </w:r>
            </w:hyperlink>
          </w:p>
        </w:tc>
        <w:tc>
          <w:tcPr>
            <w:tcW w:w="980" w:type="dxa"/>
            <w:vAlign w:val="bottom"/>
            <w:gridSpan w:val="2"/>
          </w:tcPr>
          <w:p>
            <w:pPr>
              <w:jc w:val="center"/>
              <w:ind w:left="530"/>
              <w:spacing w:after="0"/>
              <w:rPr>
                <w:rFonts w:ascii="Arial" w:cs="Arial" w:eastAsia="Arial" w:hAnsi="Arial"/>
                <w:sz w:val="18"/>
                <w:szCs w:val="18"/>
                <w:color w:val="auto"/>
                <w:w w:val="79"/>
              </w:rPr>
            </w:pPr>
            <w:hyperlink w:anchor="page3">
              <w:r>
                <w:rPr>
                  <w:rFonts w:ascii="Arial" w:cs="Arial" w:eastAsia="Arial" w:hAnsi="Arial"/>
                  <w:sz w:val="18"/>
                  <w:szCs w:val="18"/>
                  <w:color w:val="auto"/>
                  <w:w w:val="79"/>
                </w:rPr>
                <w:t>1</w:t>
              </w:r>
            </w:hyperlink>
          </w:p>
        </w:tc>
      </w:tr>
      <w:tr>
        <w:trPr>
          <w:trHeight w:val="270"/>
        </w:trPr>
        <w:tc>
          <w:tcPr>
            <w:tcW w:w="900" w:type="dxa"/>
            <w:vAlign w:val="bottom"/>
          </w:tcPr>
          <w:p>
            <w:pPr>
              <w:spacing w:after="0"/>
              <w:rPr>
                <w:rFonts w:ascii="Arial" w:cs="Arial" w:eastAsia="Arial" w:hAnsi="Arial"/>
                <w:sz w:val="18"/>
                <w:szCs w:val="18"/>
                <w:color w:val="auto"/>
              </w:rPr>
            </w:pPr>
            <w:hyperlink w:anchor="page11">
              <w:r>
                <w:rPr>
                  <w:rFonts w:ascii="Arial" w:cs="Arial" w:eastAsia="Arial" w:hAnsi="Arial"/>
                  <w:sz w:val="18"/>
                  <w:szCs w:val="18"/>
                  <w:color w:val="auto"/>
                </w:rPr>
                <w:t>Item 1A.</w:t>
              </w:r>
            </w:hyperlink>
          </w:p>
        </w:tc>
        <w:tc>
          <w:tcPr>
            <w:tcW w:w="8940" w:type="dxa"/>
            <w:vAlign w:val="bottom"/>
          </w:tcPr>
          <w:p>
            <w:pPr>
              <w:ind w:left="260"/>
              <w:spacing w:after="0"/>
              <w:rPr>
                <w:rFonts w:ascii="Arial" w:cs="Arial" w:eastAsia="Arial" w:hAnsi="Arial"/>
                <w:sz w:val="18"/>
                <w:szCs w:val="18"/>
                <w:color w:val="auto"/>
              </w:rPr>
            </w:pPr>
            <w:hyperlink w:anchor="page11">
              <w:r>
                <w:rPr>
                  <w:rFonts w:ascii="Arial" w:cs="Arial" w:eastAsia="Arial" w:hAnsi="Arial"/>
                  <w:sz w:val="18"/>
                  <w:szCs w:val="18"/>
                  <w:color w:val="auto"/>
                </w:rPr>
                <w:t>Risk Factors</w:t>
              </w:r>
            </w:hyperlink>
          </w:p>
        </w:tc>
        <w:tc>
          <w:tcPr>
            <w:tcW w:w="980" w:type="dxa"/>
            <w:vAlign w:val="bottom"/>
            <w:gridSpan w:val="2"/>
          </w:tcPr>
          <w:p>
            <w:pPr>
              <w:jc w:val="center"/>
              <w:ind w:left="530"/>
              <w:spacing w:after="0"/>
              <w:rPr>
                <w:rFonts w:ascii="Arial" w:cs="Arial" w:eastAsia="Arial" w:hAnsi="Arial"/>
                <w:sz w:val="18"/>
                <w:szCs w:val="18"/>
                <w:color w:val="auto"/>
                <w:w w:val="79"/>
              </w:rPr>
            </w:pPr>
            <w:hyperlink w:anchor="page11">
              <w:r>
                <w:rPr>
                  <w:rFonts w:ascii="Arial" w:cs="Arial" w:eastAsia="Arial" w:hAnsi="Arial"/>
                  <w:sz w:val="18"/>
                  <w:szCs w:val="18"/>
                  <w:color w:val="auto"/>
                  <w:w w:val="79"/>
                </w:rPr>
                <w:t>9</w:t>
              </w:r>
            </w:hyperlink>
          </w:p>
        </w:tc>
      </w:tr>
      <w:tr>
        <w:trPr>
          <w:trHeight w:val="270"/>
        </w:trPr>
        <w:tc>
          <w:tcPr>
            <w:tcW w:w="900" w:type="dxa"/>
            <w:vAlign w:val="bottom"/>
          </w:tcPr>
          <w:p>
            <w:pPr>
              <w:spacing w:after="0"/>
              <w:rPr>
                <w:rFonts w:ascii="Arial" w:cs="Arial" w:eastAsia="Arial" w:hAnsi="Arial"/>
                <w:sz w:val="18"/>
                <w:szCs w:val="18"/>
                <w:color w:val="auto"/>
              </w:rPr>
            </w:pPr>
            <w:hyperlink w:anchor="page18">
              <w:r>
                <w:rPr>
                  <w:rFonts w:ascii="Arial" w:cs="Arial" w:eastAsia="Arial" w:hAnsi="Arial"/>
                  <w:sz w:val="18"/>
                  <w:szCs w:val="18"/>
                  <w:color w:val="auto"/>
                </w:rPr>
                <w:t>Item 1B.</w:t>
              </w:r>
            </w:hyperlink>
          </w:p>
        </w:tc>
        <w:tc>
          <w:tcPr>
            <w:tcW w:w="8940" w:type="dxa"/>
            <w:vAlign w:val="bottom"/>
          </w:tcPr>
          <w:p>
            <w:pPr>
              <w:ind w:left="260"/>
              <w:spacing w:after="0"/>
              <w:rPr>
                <w:rFonts w:ascii="Arial" w:cs="Arial" w:eastAsia="Arial" w:hAnsi="Arial"/>
                <w:sz w:val="18"/>
                <w:szCs w:val="18"/>
                <w:color w:val="auto"/>
              </w:rPr>
            </w:pPr>
            <w:hyperlink w:anchor="page18">
              <w:r>
                <w:rPr>
                  <w:rFonts w:ascii="Arial" w:cs="Arial" w:eastAsia="Arial" w:hAnsi="Arial"/>
                  <w:sz w:val="18"/>
                  <w:szCs w:val="18"/>
                  <w:color w:val="auto"/>
                </w:rPr>
                <w:t>Unresolved Staff Comments</w:t>
              </w:r>
            </w:hyperlink>
          </w:p>
        </w:tc>
        <w:tc>
          <w:tcPr>
            <w:tcW w:w="980" w:type="dxa"/>
            <w:vAlign w:val="bottom"/>
            <w:gridSpan w:val="2"/>
          </w:tcPr>
          <w:p>
            <w:pPr>
              <w:jc w:val="center"/>
              <w:ind w:left="550"/>
              <w:spacing w:after="0"/>
              <w:rPr>
                <w:rFonts w:ascii="Arial" w:cs="Arial" w:eastAsia="Arial" w:hAnsi="Arial"/>
                <w:sz w:val="18"/>
                <w:szCs w:val="18"/>
                <w:color w:val="auto"/>
                <w:w w:val="89"/>
              </w:rPr>
            </w:pPr>
            <w:hyperlink w:anchor="page18">
              <w:r>
                <w:rPr>
                  <w:rFonts w:ascii="Arial" w:cs="Arial" w:eastAsia="Arial" w:hAnsi="Arial"/>
                  <w:sz w:val="18"/>
                  <w:szCs w:val="18"/>
                  <w:color w:val="auto"/>
                  <w:w w:val="89"/>
                </w:rPr>
                <w:t>17</w:t>
              </w:r>
            </w:hyperlink>
          </w:p>
        </w:tc>
      </w:tr>
      <w:tr>
        <w:trPr>
          <w:trHeight w:val="270"/>
        </w:trPr>
        <w:tc>
          <w:tcPr>
            <w:tcW w:w="900" w:type="dxa"/>
            <w:vAlign w:val="bottom"/>
          </w:tcPr>
          <w:p>
            <w:pPr>
              <w:spacing w:after="0"/>
              <w:rPr>
                <w:rFonts w:ascii="Arial" w:cs="Arial" w:eastAsia="Arial" w:hAnsi="Arial"/>
                <w:sz w:val="18"/>
                <w:szCs w:val="18"/>
                <w:color w:val="auto"/>
              </w:rPr>
            </w:pPr>
            <w:hyperlink w:anchor="page19">
              <w:r>
                <w:rPr>
                  <w:rFonts w:ascii="Arial" w:cs="Arial" w:eastAsia="Arial" w:hAnsi="Arial"/>
                  <w:sz w:val="18"/>
                  <w:szCs w:val="18"/>
                  <w:color w:val="auto"/>
                </w:rPr>
                <w:t>Item 2.</w:t>
              </w:r>
            </w:hyperlink>
          </w:p>
        </w:tc>
        <w:tc>
          <w:tcPr>
            <w:tcW w:w="8940" w:type="dxa"/>
            <w:vAlign w:val="bottom"/>
          </w:tcPr>
          <w:p>
            <w:pPr>
              <w:ind w:left="260"/>
              <w:spacing w:after="0"/>
              <w:rPr>
                <w:rFonts w:ascii="Arial" w:cs="Arial" w:eastAsia="Arial" w:hAnsi="Arial"/>
                <w:sz w:val="18"/>
                <w:szCs w:val="18"/>
                <w:color w:val="auto"/>
              </w:rPr>
            </w:pPr>
            <w:hyperlink w:anchor="page19">
              <w:r>
                <w:rPr>
                  <w:rFonts w:ascii="Arial" w:cs="Arial" w:eastAsia="Arial" w:hAnsi="Arial"/>
                  <w:sz w:val="18"/>
                  <w:szCs w:val="18"/>
                  <w:color w:val="auto"/>
                </w:rPr>
                <w:t>Properties</w:t>
              </w:r>
            </w:hyperlink>
          </w:p>
        </w:tc>
        <w:tc>
          <w:tcPr>
            <w:tcW w:w="980" w:type="dxa"/>
            <w:vAlign w:val="bottom"/>
            <w:gridSpan w:val="2"/>
          </w:tcPr>
          <w:p>
            <w:pPr>
              <w:jc w:val="center"/>
              <w:ind w:left="550"/>
              <w:spacing w:after="0"/>
              <w:rPr>
                <w:rFonts w:ascii="Arial" w:cs="Arial" w:eastAsia="Arial" w:hAnsi="Arial"/>
                <w:sz w:val="18"/>
                <w:szCs w:val="18"/>
                <w:color w:val="auto"/>
                <w:w w:val="89"/>
              </w:rPr>
            </w:pPr>
            <w:hyperlink w:anchor="page19">
              <w:r>
                <w:rPr>
                  <w:rFonts w:ascii="Arial" w:cs="Arial" w:eastAsia="Arial" w:hAnsi="Arial"/>
                  <w:sz w:val="18"/>
                  <w:szCs w:val="18"/>
                  <w:color w:val="auto"/>
                  <w:w w:val="89"/>
                </w:rPr>
                <w:t>17</w:t>
              </w:r>
            </w:hyperlink>
          </w:p>
        </w:tc>
      </w:tr>
      <w:tr>
        <w:trPr>
          <w:trHeight w:val="270"/>
        </w:trPr>
        <w:tc>
          <w:tcPr>
            <w:tcW w:w="900" w:type="dxa"/>
            <w:vAlign w:val="bottom"/>
          </w:tcPr>
          <w:p>
            <w:pPr>
              <w:spacing w:after="0"/>
              <w:rPr>
                <w:rFonts w:ascii="Arial" w:cs="Arial" w:eastAsia="Arial" w:hAnsi="Arial"/>
                <w:sz w:val="18"/>
                <w:szCs w:val="18"/>
                <w:color w:val="auto"/>
              </w:rPr>
            </w:pPr>
            <w:hyperlink w:anchor="page19">
              <w:r>
                <w:rPr>
                  <w:rFonts w:ascii="Arial" w:cs="Arial" w:eastAsia="Arial" w:hAnsi="Arial"/>
                  <w:sz w:val="18"/>
                  <w:szCs w:val="18"/>
                  <w:color w:val="auto"/>
                </w:rPr>
                <w:t>Item 3.</w:t>
              </w:r>
            </w:hyperlink>
          </w:p>
        </w:tc>
        <w:tc>
          <w:tcPr>
            <w:tcW w:w="8940" w:type="dxa"/>
            <w:vAlign w:val="bottom"/>
          </w:tcPr>
          <w:p>
            <w:pPr>
              <w:ind w:left="260"/>
              <w:spacing w:after="0"/>
              <w:rPr>
                <w:rFonts w:ascii="Arial" w:cs="Arial" w:eastAsia="Arial" w:hAnsi="Arial"/>
                <w:sz w:val="18"/>
                <w:szCs w:val="18"/>
                <w:color w:val="auto"/>
              </w:rPr>
            </w:pPr>
            <w:hyperlink w:anchor="page19">
              <w:r>
                <w:rPr>
                  <w:rFonts w:ascii="Arial" w:cs="Arial" w:eastAsia="Arial" w:hAnsi="Arial"/>
                  <w:sz w:val="18"/>
                  <w:szCs w:val="18"/>
                  <w:color w:val="auto"/>
                </w:rPr>
                <w:t>Legal Proceedings</w:t>
              </w:r>
            </w:hyperlink>
          </w:p>
        </w:tc>
        <w:tc>
          <w:tcPr>
            <w:tcW w:w="980" w:type="dxa"/>
            <w:vAlign w:val="bottom"/>
            <w:gridSpan w:val="2"/>
          </w:tcPr>
          <w:p>
            <w:pPr>
              <w:jc w:val="center"/>
              <w:ind w:left="550"/>
              <w:spacing w:after="0"/>
              <w:rPr>
                <w:rFonts w:ascii="Arial" w:cs="Arial" w:eastAsia="Arial" w:hAnsi="Arial"/>
                <w:sz w:val="18"/>
                <w:szCs w:val="18"/>
                <w:color w:val="auto"/>
                <w:w w:val="89"/>
              </w:rPr>
            </w:pPr>
            <w:hyperlink w:anchor="page19">
              <w:r>
                <w:rPr>
                  <w:rFonts w:ascii="Arial" w:cs="Arial" w:eastAsia="Arial" w:hAnsi="Arial"/>
                  <w:sz w:val="18"/>
                  <w:szCs w:val="18"/>
                  <w:color w:val="auto"/>
                  <w:w w:val="89"/>
                </w:rPr>
                <w:t>17</w:t>
              </w:r>
            </w:hyperlink>
          </w:p>
        </w:tc>
      </w:tr>
      <w:tr>
        <w:trPr>
          <w:trHeight w:val="270"/>
        </w:trPr>
        <w:tc>
          <w:tcPr>
            <w:tcW w:w="900" w:type="dxa"/>
            <w:vAlign w:val="bottom"/>
          </w:tcPr>
          <w:p>
            <w:pPr>
              <w:spacing w:after="0"/>
              <w:rPr>
                <w:rFonts w:ascii="Arial" w:cs="Arial" w:eastAsia="Arial" w:hAnsi="Arial"/>
                <w:sz w:val="18"/>
                <w:szCs w:val="18"/>
                <w:color w:val="auto"/>
              </w:rPr>
            </w:pPr>
            <w:hyperlink w:anchor="page19">
              <w:r>
                <w:rPr>
                  <w:rFonts w:ascii="Arial" w:cs="Arial" w:eastAsia="Arial" w:hAnsi="Arial"/>
                  <w:sz w:val="18"/>
                  <w:szCs w:val="18"/>
                  <w:color w:val="auto"/>
                </w:rPr>
                <w:t>Item 4.</w:t>
              </w:r>
            </w:hyperlink>
          </w:p>
        </w:tc>
        <w:tc>
          <w:tcPr>
            <w:tcW w:w="8940" w:type="dxa"/>
            <w:vAlign w:val="bottom"/>
          </w:tcPr>
          <w:p>
            <w:pPr>
              <w:ind w:left="260"/>
              <w:spacing w:after="0"/>
              <w:rPr>
                <w:rFonts w:ascii="Arial" w:cs="Arial" w:eastAsia="Arial" w:hAnsi="Arial"/>
                <w:sz w:val="18"/>
                <w:szCs w:val="18"/>
                <w:color w:val="auto"/>
              </w:rPr>
            </w:pPr>
            <w:hyperlink w:anchor="page19">
              <w:r>
                <w:rPr>
                  <w:rFonts w:ascii="Arial" w:cs="Arial" w:eastAsia="Arial" w:hAnsi="Arial"/>
                  <w:sz w:val="18"/>
                  <w:szCs w:val="18"/>
                  <w:color w:val="auto"/>
                </w:rPr>
                <w:t>Mine Safety Disclosures</w:t>
              </w:r>
            </w:hyperlink>
          </w:p>
        </w:tc>
        <w:tc>
          <w:tcPr>
            <w:tcW w:w="980" w:type="dxa"/>
            <w:vAlign w:val="bottom"/>
            <w:gridSpan w:val="2"/>
          </w:tcPr>
          <w:p>
            <w:pPr>
              <w:jc w:val="center"/>
              <w:ind w:left="550"/>
              <w:spacing w:after="0"/>
              <w:rPr>
                <w:rFonts w:ascii="Arial" w:cs="Arial" w:eastAsia="Arial" w:hAnsi="Arial"/>
                <w:sz w:val="18"/>
                <w:szCs w:val="18"/>
                <w:color w:val="auto"/>
                <w:w w:val="89"/>
              </w:rPr>
            </w:pPr>
            <w:hyperlink w:anchor="page19">
              <w:r>
                <w:rPr>
                  <w:rFonts w:ascii="Arial" w:cs="Arial" w:eastAsia="Arial" w:hAnsi="Arial"/>
                  <w:sz w:val="18"/>
                  <w:szCs w:val="18"/>
                  <w:color w:val="auto"/>
                  <w:w w:val="89"/>
                </w:rPr>
                <w:t>17</w:t>
              </w:r>
            </w:hyperlink>
          </w:p>
        </w:tc>
      </w:tr>
      <w:tr>
        <w:trPr>
          <w:trHeight w:val="270"/>
        </w:trPr>
        <w:tc>
          <w:tcPr>
            <w:tcW w:w="900" w:type="dxa"/>
            <w:vAlign w:val="bottom"/>
          </w:tcPr>
          <w:p>
            <w:pPr>
              <w:spacing w:after="0"/>
              <w:rPr>
                <w:sz w:val="23"/>
                <w:szCs w:val="23"/>
                <w:color w:val="auto"/>
              </w:rPr>
            </w:pPr>
          </w:p>
        </w:tc>
        <w:tc>
          <w:tcPr>
            <w:tcW w:w="8940" w:type="dxa"/>
            <w:vAlign w:val="bottom"/>
          </w:tcPr>
          <w:p>
            <w:pPr>
              <w:ind w:left="4300"/>
              <w:spacing w:after="0"/>
              <w:rPr>
                <w:sz w:val="20"/>
                <w:szCs w:val="20"/>
                <w:color w:val="auto"/>
              </w:rPr>
            </w:pPr>
            <w:r>
              <w:rPr>
                <w:rFonts w:ascii="Arial" w:cs="Arial" w:eastAsia="Arial" w:hAnsi="Arial"/>
                <w:sz w:val="18"/>
                <w:szCs w:val="18"/>
                <w:b w:val="1"/>
                <w:bCs w:val="1"/>
                <w:color w:val="auto"/>
              </w:rPr>
              <w:t>PART II</w:t>
            </w:r>
          </w:p>
        </w:tc>
        <w:tc>
          <w:tcPr>
            <w:tcW w:w="62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270"/>
        </w:trPr>
        <w:tc>
          <w:tcPr>
            <w:tcW w:w="900" w:type="dxa"/>
            <w:vAlign w:val="bottom"/>
          </w:tcPr>
          <w:p>
            <w:pPr>
              <w:spacing w:after="0"/>
              <w:rPr>
                <w:rFonts w:ascii="Arial" w:cs="Arial" w:eastAsia="Arial" w:hAnsi="Arial"/>
                <w:sz w:val="18"/>
                <w:szCs w:val="18"/>
                <w:color w:val="auto"/>
              </w:rPr>
            </w:pPr>
            <w:hyperlink w:anchor="page20">
              <w:r>
                <w:rPr>
                  <w:rFonts w:ascii="Arial" w:cs="Arial" w:eastAsia="Arial" w:hAnsi="Arial"/>
                  <w:sz w:val="18"/>
                  <w:szCs w:val="18"/>
                  <w:color w:val="auto"/>
                </w:rPr>
                <w:t>Item 5.</w:t>
              </w:r>
            </w:hyperlink>
          </w:p>
        </w:tc>
        <w:tc>
          <w:tcPr>
            <w:tcW w:w="8940" w:type="dxa"/>
            <w:vAlign w:val="bottom"/>
          </w:tcPr>
          <w:p>
            <w:pPr>
              <w:ind w:left="260"/>
              <w:spacing w:after="0"/>
              <w:rPr>
                <w:rFonts w:ascii="Arial" w:cs="Arial" w:eastAsia="Arial" w:hAnsi="Arial"/>
                <w:sz w:val="18"/>
                <w:szCs w:val="18"/>
                <w:color w:val="auto"/>
                <w:w w:val="97"/>
              </w:rPr>
            </w:pPr>
            <w:hyperlink w:anchor="page20">
              <w:r>
                <w:rPr>
                  <w:rFonts w:ascii="Arial" w:cs="Arial" w:eastAsia="Arial" w:hAnsi="Arial"/>
                  <w:sz w:val="18"/>
                  <w:szCs w:val="18"/>
                  <w:color w:val="auto"/>
                  <w:w w:val="97"/>
                </w:rPr>
                <w:t>Market for Registrant’s Common Equity, Related Stockholder Matters and Issuer Purchases of Equity Securities</w:t>
              </w:r>
            </w:hyperlink>
          </w:p>
        </w:tc>
        <w:tc>
          <w:tcPr>
            <w:tcW w:w="980" w:type="dxa"/>
            <w:vAlign w:val="bottom"/>
            <w:gridSpan w:val="2"/>
          </w:tcPr>
          <w:p>
            <w:pPr>
              <w:jc w:val="center"/>
              <w:ind w:left="550"/>
              <w:spacing w:after="0"/>
              <w:rPr>
                <w:rFonts w:ascii="Arial" w:cs="Arial" w:eastAsia="Arial" w:hAnsi="Arial"/>
                <w:sz w:val="18"/>
                <w:szCs w:val="18"/>
                <w:color w:val="auto"/>
                <w:w w:val="89"/>
              </w:rPr>
            </w:pPr>
            <w:hyperlink w:anchor="page20">
              <w:r>
                <w:rPr>
                  <w:rFonts w:ascii="Arial" w:cs="Arial" w:eastAsia="Arial" w:hAnsi="Arial"/>
                  <w:sz w:val="18"/>
                  <w:szCs w:val="18"/>
                  <w:color w:val="auto"/>
                  <w:w w:val="89"/>
                </w:rPr>
                <w:t>18</w:t>
              </w:r>
            </w:hyperlink>
          </w:p>
        </w:tc>
      </w:tr>
      <w:tr>
        <w:trPr>
          <w:trHeight w:val="270"/>
        </w:trPr>
        <w:tc>
          <w:tcPr>
            <w:tcW w:w="900" w:type="dxa"/>
            <w:vAlign w:val="bottom"/>
          </w:tcPr>
          <w:p>
            <w:pPr>
              <w:spacing w:after="0"/>
              <w:rPr>
                <w:rFonts w:ascii="Arial" w:cs="Arial" w:eastAsia="Arial" w:hAnsi="Arial"/>
                <w:sz w:val="18"/>
                <w:szCs w:val="18"/>
                <w:color w:val="auto"/>
              </w:rPr>
            </w:pPr>
            <w:hyperlink w:anchor="page21">
              <w:r>
                <w:rPr>
                  <w:rFonts w:ascii="Arial" w:cs="Arial" w:eastAsia="Arial" w:hAnsi="Arial"/>
                  <w:sz w:val="18"/>
                  <w:szCs w:val="18"/>
                  <w:color w:val="auto"/>
                </w:rPr>
                <w:t>Item 6.</w:t>
              </w:r>
            </w:hyperlink>
          </w:p>
        </w:tc>
        <w:tc>
          <w:tcPr>
            <w:tcW w:w="8940" w:type="dxa"/>
            <w:vAlign w:val="bottom"/>
          </w:tcPr>
          <w:p>
            <w:pPr>
              <w:ind w:left="260"/>
              <w:spacing w:after="0"/>
              <w:rPr>
                <w:rFonts w:ascii="Arial" w:cs="Arial" w:eastAsia="Arial" w:hAnsi="Arial"/>
                <w:sz w:val="18"/>
                <w:szCs w:val="18"/>
                <w:color w:val="auto"/>
              </w:rPr>
            </w:pPr>
            <w:hyperlink w:anchor="page21">
              <w:r>
                <w:rPr>
                  <w:rFonts w:ascii="Arial" w:cs="Arial" w:eastAsia="Arial" w:hAnsi="Arial"/>
                  <w:sz w:val="18"/>
                  <w:szCs w:val="18"/>
                  <w:color w:val="auto"/>
                </w:rPr>
                <w:t>Selected Financial Data</w:t>
              </w:r>
            </w:hyperlink>
          </w:p>
        </w:tc>
        <w:tc>
          <w:tcPr>
            <w:tcW w:w="980" w:type="dxa"/>
            <w:vAlign w:val="bottom"/>
            <w:gridSpan w:val="2"/>
          </w:tcPr>
          <w:p>
            <w:pPr>
              <w:jc w:val="center"/>
              <w:ind w:left="550"/>
              <w:spacing w:after="0"/>
              <w:rPr>
                <w:rFonts w:ascii="Arial" w:cs="Arial" w:eastAsia="Arial" w:hAnsi="Arial"/>
                <w:sz w:val="18"/>
                <w:szCs w:val="18"/>
                <w:color w:val="auto"/>
                <w:w w:val="89"/>
              </w:rPr>
            </w:pPr>
            <w:hyperlink w:anchor="page21">
              <w:r>
                <w:rPr>
                  <w:rFonts w:ascii="Arial" w:cs="Arial" w:eastAsia="Arial" w:hAnsi="Arial"/>
                  <w:sz w:val="18"/>
                  <w:szCs w:val="18"/>
                  <w:color w:val="auto"/>
                  <w:w w:val="89"/>
                </w:rPr>
                <w:t>19</w:t>
              </w:r>
            </w:hyperlink>
          </w:p>
        </w:tc>
      </w:tr>
      <w:tr>
        <w:trPr>
          <w:trHeight w:val="270"/>
        </w:trPr>
        <w:tc>
          <w:tcPr>
            <w:tcW w:w="900" w:type="dxa"/>
            <w:vAlign w:val="bottom"/>
          </w:tcPr>
          <w:p>
            <w:pPr>
              <w:spacing w:after="0"/>
              <w:rPr>
                <w:rFonts w:ascii="Arial" w:cs="Arial" w:eastAsia="Arial" w:hAnsi="Arial"/>
                <w:sz w:val="18"/>
                <w:szCs w:val="18"/>
                <w:color w:val="auto"/>
              </w:rPr>
            </w:pPr>
            <w:hyperlink w:anchor="page21">
              <w:r>
                <w:rPr>
                  <w:rFonts w:ascii="Arial" w:cs="Arial" w:eastAsia="Arial" w:hAnsi="Arial"/>
                  <w:sz w:val="18"/>
                  <w:szCs w:val="18"/>
                  <w:color w:val="auto"/>
                </w:rPr>
                <w:t>Item 7.</w:t>
              </w:r>
            </w:hyperlink>
          </w:p>
        </w:tc>
        <w:tc>
          <w:tcPr>
            <w:tcW w:w="8940" w:type="dxa"/>
            <w:vAlign w:val="bottom"/>
          </w:tcPr>
          <w:p>
            <w:pPr>
              <w:ind w:left="260"/>
              <w:spacing w:after="0"/>
              <w:rPr>
                <w:rFonts w:ascii="Arial" w:cs="Arial" w:eastAsia="Arial" w:hAnsi="Arial"/>
                <w:sz w:val="18"/>
                <w:szCs w:val="18"/>
                <w:color w:val="auto"/>
              </w:rPr>
            </w:pPr>
            <w:hyperlink w:anchor="page21">
              <w:r>
                <w:rPr>
                  <w:rFonts w:ascii="Arial" w:cs="Arial" w:eastAsia="Arial" w:hAnsi="Arial"/>
                  <w:sz w:val="18"/>
                  <w:szCs w:val="18"/>
                  <w:color w:val="auto"/>
                </w:rPr>
                <w:t>Management’s Discussion and Analysis of Financial Condition and Results of Operations</w:t>
              </w:r>
            </w:hyperlink>
          </w:p>
        </w:tc>
        <w:tc>
          <w:tcPr>
            <w:tcW w:w="980" w:type="dxa"/>
            <w:vAlign w:val="bottom"/>
            <w:gridSpan w:val="2"/>
          </w:tcPr>
          <w:p>
            <w:pPr>
              <w:jc w:val="center"/>
              <w:ind w:left="550"/>
              <w:spacing w:after="0"/>
              <w:rPr>
                <w:rFonts w:ascii="Arial" w:cs="Arial" w:eastAsia="Arial" w:hAnsi="Arial"/>
                <w:sz w:val="18"/>
                <w:szCs w:val="18"/>
                <w:color w:val="auto"/>
                <w:w w:val="89"/>
              </w:rPr>
            </w:pPr>
            <w:hyperlink w:anchor="page21">
              <w:r>
                <w:rPr>
                  <w:rFonts w:ascii="Arial" w:cs="Arial" w:eastAsia="Arial" w:hAnsi="Arial"/>
                  <w:sz w:val="18"/>
                  <w:szCs w:val="18"/>
                  <w:color w:val="auto"/>
                  <w:w w:val="89"/>
                </w:rPr>
                <w:t>19</w:t>
              </w:r>
            </w:hyperlink>
          </w:p>
        </w:tc>
      </w:tr>
      <w:tr>
        <w:trPr>
          <w:trHeight w:val="270"/>
        </w:trPr>
        <w:tc>
          <w:tcPr>
            <w:tcW w:w="900" w:type="dxa"/>
            <w:vAlign w:val="bottom"/>
          </w:tcPr>
          <w:p>
            <w:pPr>
              <w:spacing w:after="0"/>
              <w:rPr>
                <w:rFonts w:ascii="Arial" w:cs="Arial" w:eastAsia="Arial" w:hAnsi="Arial"/>
                <w:sz w:val="18"/>
                <w:szCs w:val="18"/>
                <w:color w:val="auto"/>
              </w:rPr>
            </w:pPr>
            <w:hyperlink w:anchor="page28">
              <w:r>
                <w:rPr>
                  <w:rFonts w:ascii="Arial" w:cs="Arial" w:eastAsia="Arial" w:hAnsi="Arial"/>
                  <w:sz w:val="18"/>
                  <w:szCs w:val="18"/>
                  <w:color w:val="auto"/>
                </w:rPr>
                <w:t>Item 7A.</w:t>
              </w:r>
            </w:hyperlink>
          </w:p>
        </w:tc>
        <w:tc>
          <w:tcPr>
            <w:tcW w:w="8940" w:type="dxa"/>
            <w:vAlign w:val="bottom"/>
          </w:tcPr>
          <w:p>
            <w:pPr>
              <w:ind w:left="260"/>
              <w:spacing w:after="0"/>
              <w:rPr>
                <w:rFonts w:ascii="Arial" w:cs="Arial" w:eastAsia="Arial" w:hAnsi="Arial"/>
                <w:sz w:val="18"/>
                <w:szCs w:val="18"/>
                <w:color w:val="auto"/>
              </w:rPr>
            </w:pPr>
            <w:hyperlink w:anchor="page28">
              <w:r>
                <w:rPr>
                  <w:rFonts w:ascii="Arial" w:cs="Arial" w:eastAsia="Arial" w:hAnsi="Arial"/>
                  <w:sz w:val="18"/>
                  <w:szCs w:val="18"/>
                  <w:color w:val="auto"/>
                </w:rPr>
                <w:t>Quantitative and Qualitative Disclosures about Market Risk</w:t>
              </w:r>
            </w:hyperlink>
          </w:p>
        </w:tc>
        <w:tc>
          <w:tcPr>
            <w:tcW w:w="980" w:type="dxa"/>
            <w:vAlign w:val="bottom"/>
            <w:gridSpan w:val="2"/>
          </w:tcPr>
          <w:p>
            <w:pPr>
              <w:jc w:val="center"/>
              <w:ind w:left="550"/>
              <w:spacing w:after="0"/>
              <w:rPr>
                <w:rFonts w:ascii="Arial" w:cs="Arial" w:eastAsia="Arial" w:hAnsi="Arial"/>
                <w:sz w:val="18"/>
                <w:szCs w:val="18"/>
                <w:color w:val="auto"/>
                <w:w w:val="89"/>
              </w:rPr>
            </w:pPr>
            <w:hyperlink w:anchor="page28">
              <w:r>
                <w:rPr>
                  <w:rFonts w:ascii="Arial" w:cs="Arial" w:eastAsia="Arial" w:hAnsi="Arial"/>
                  <w:sz w:val="18"/>
                  <w:szCs w:val="18"/>
                  <w:color w:val="auto"/>
                  <w:w w:val="89"/>
                </w:rPr>
                <w:t>26</w:t>
              </w:r>
            </w:hyperlink>
          </w:p>
        </w:tc>
      </w:tr>
      <w:tr>
        <w:trPr>
          <w:trHeight w:val="270"/>
        </w:trPr>
        <w:tc>
          <w:tcPr>
            <w:tcW w:w="900" w:type="dxa"/>
            <w:vAlign w:val="bottom"/>
          </w:tcPr>
          <w:p>
            <w:pPr>
              <w:spacing w:after="0"/>
              <w:rPr>
                <w:rFonts w:ascii="Arial" w:cs="Arial" w:eastAsia="Arial" w:hAnsi="Arial"/>
                <w:sz w:val="18"/>
                <w:szCs w:val="18"/>
                <w:color w:val="auto"/>
              </w:rPr>
            </w:pPr>
            <w:hyperlink w:anchor="page28">
              <w:r>
                <w:rPr>
                  <w:rFonts w:ascii="Arial" w:cs="Arial" w:eastAsia="Arial" w:hAnsi="Arial"/>
                  <w:sz w:val="18"/>
                  <w:szCs w:val="18"/>
                  <w:color w:val="auto"/>
                </w:rPr>
                <w:t>Item 8.</w:t>
              </w:r>
            </w:hyperlink>
          </w:p>
        </w:tc>
        <w:tc>
          <w:tcPr>
            <w:tcW w:w="8940" w:type="dxa"/>
            <w:vAlign w:val="bottom"/>
          </w:tcPr>
          <w:p>
            <w:pPr>
              <w:ind w:left="260"/>
              <w:spacing w:after="0"/>
              <w:rPr>
                <w:rFonts w:ascii="Arial" w:cs="Arial" w:eastAsia="Arial" w:hAnsi="Arial"/>
                <w:sz w:val="18"/>
                <w:szCs w:val="18"/>
                <w:color w:val="auto"/>
              </w:rPr>
            </w:pPr>
            <w:hyperlink w:anchor="page28">
              <w:r>
                <w:rPr>
                  <w:rFonts w:ascii="Arial" w:cs="Arial" w:eastAsia="Arial" w:hAnsi="Arial"/>
                  <w:sz w:val="18"/>
                  <w:szCs w:val="18"/>
                  <w:color w:val="auto"/>
                </w:rPr>
                <w:t>Financial Statements and Supplementary Data</w:t>
              </w:r>
            </w:hyperlink>
          </w:p>
        </w:tc>
        <w:tc>
          <w:tcPr>
            <w:tcW w:w="980" w:type="dxa"/>
            <w:vAlign w:val="bottom"/>
            <w:gridSpan w:val="2"/>
          </w:tcPr>
          <w:p>
            <w:pPr>
              <w:jc w:val="center"/>
              <w:ind w:left="550"/>
              <w:spacing w:after="0"/>
              <w:rPr>
                <w:rFonts w:ascii="Arial" w:cs="Arial" w:eastAsia="Arial" w:hAnsi="Arial"/>
                <w:sz w:val="18"/>
                <w:szCs w:val="18"/>
                <w:color w:val="auto"/>
                <w:w w:val="89"/>
              </w:rPr>
            </w:pPr>
            <w:hyperlink w:anchor="page28">
              <w:r>
                <w:rPr>
                  <w:rFonts w:ascii="Arial" w:cs="Arial" w:eastAsia="Arial" w:hAnsi="Arial"/>
                  <w:sz w:val="18"/>
                  <w:szCs w:val="18"/>
                  <w:color w:val="auto"/>
                  <w:w w:val="89"/>
                </w:rPr>
                <w:t>26</w:t>
              </w:r>
            </w:hyperlink>
          </w:p>
        </w:tc>
      </w:tr>
      <w:tr>
        <w:trPr>
          <w:trHeight w:val="270"/>
        </w:trPr>
        <w:tc>
          <w:tcPr>
            <w:tcW w:w="900" w:type="dxa"/>
            <w:vAlign w:val="bottom"/>
          </w:tcPr>
          <w:p>
            <w:pPr>
              <w:spacing w:after="0"/>
              <w:rPr>
                <w:rFonts w:ascii="Arial" w:cs="Arial" w:eastAsia="Arial" w:hAnsi="Arial"/>
                <w:sz w:val="18"/>
                <w:szCs w:val="18"/>
                <w:color w:val="auto"/>
              </w:rPr>
            </w:pPr>
            <w:hyperlink w:anchor="page28">
              <w:r>
                <w:rPr>
                  <w:rFonts w:ascii="Arial" w:cs="Arial" w:eastAsia="Arial" w:hAnsi="Arial"/>
                  <w:sz w:val="18"/>
                  <w:szCs w:val="18"/>
                  <w:color w:val="auto"/>
                </w:rPr>
                <w:t>Item 9.</w:t>
              </w:r>
            </w:hyperlink>
          </w:p>
        </w:tc>
        <w:tc>
          <w:tcPr>
            <w:tcW w:w="8940" w:type="dxa"/>
            <w:vAlign w:val="bottom"/>
          </w:tcPr>
          <w:p>
            <w:pPr>
              <w:ind w:left="260"/>
              <w:spacing w:after="0"/>
              <w:rPr>
                <w:rFonts w:ascii="Arial" w:cs="Arial" w:eastAsia="Arial" w:hAnsi="Arial"/>
                <w:sz w:val="18"/>
                <w:szCs w:val="18"/>
                <w:color w:val="auto"/>
              </w:rPr>
            </w:pPr>
            <w:hyperlink w:anchor="page28">
              <w:r>
                <w:rPr>
                  <w:rFonts w:ascii="Arial" w:cs="Arial" w:eastAsia="Arial" w:hAnsi="Arial"/>
                  <w:sz w:val="18"/>
                  <w:szCs w:val="18"/>
                  <w:color w:val="auto"/>
                </w:rPr>
                <w:t>Changes in and Disagreements with Accountants on Accounting and Financial Disclosure</w:t>
              </w:r>
            </w:hyperlink>
          </w:p>
        </w:tc>
        <w:tc>
          <w:tcPr>
            <w:tcW w:w="980" w:type="dxa"/>
            <w:vAlign w:val="bottom"/>
            <w:gridSpan w:val="2"/>
          </w:tcPr>
          <w:p>
            <w:pPr>
              <w:jc w:val="center"/>
              <w:ind w:left="550"/>
              <w:spacing w:after="0"/>
              <w:rPr>
                <w:rFonts w:ascii="Arial" w:cs="Arial" w:eastAsia="Arial" w:hAnsi="Arial"/>
                <w:sz w:val="18"/>
                <w:szCs w:val="18"/>
                <w:color w:val="auto"/>
                <w:w w:val="89"/>
              </w:rPr>
            </w:pPr>
            <w:hyperlink w:anchor="page28">
              <w:r>
                <w:rPr>
                  <w:rFonts w:ascii="Arial" w:cs="Arial" w:eastAsia="Arial" w:hAnsi="Arial"/>
                  <w:sz w:val="18"/>
                  <w:szCs w:val="18"/>
                  <w:color w:val="auto"/>
                  <w:w w:val="89"/>
                </w:rPr>
                <w:t>26</w:t>
              </w:r>
            </w:hyperlink>
          </w:p>
        </w:tc>
      </w:tr>
      <w:tr>
        <w:trPr>
          <w:trHeight w:val="270"/>
        </w:trPr>
        <w:tc>
          <w:tcPr>
            <w:tcW w:w="900" w:type="dxa"/>
            <w:vAlign w:val="bottom"/>
          </w:tcPr>
          <w:p>
            <w:pPr>
              <w:spacing w:after="0"/>
              <w:rPr>
                <w:rFonts w:ascii="Arial" w:cs="Arial" w:eastAsia="Arial" w:hAnsi="Arial"/>
                <w:sz w:val="18"/>
                <w:szCs w:val="18"/>
                <w:color w:val="auto"/>
              </w:rPr>
            </w:pPr>
            <w:hyperlink w:anchor="page28">
              <w:r>
                <w:rPr>
                  <w:rFonts w:ascii="Arial" w:cs="Arial" w:eastAsia="Arial" w:hAnsi="Arial"/>
                  <w:sz w:val="18"/>
                  <w:szCs w:val="18"/>
                  <w:color w:val="auto"/>
                </w:rPr>
                <w:t>Item 9A.</w:t>
              </w:r>
            </w:hyperlink>
          </w:p>
        </w:tc>
        <w:tc>
          <w:tcPr>
            <w:tcW w:w="8940" w:type="dxa"/>
            <w:vAlign w:val="bottom"/>
          </w:tcPr>
          <w:p>
            <w:pPr>
              <w:ind w:left="260"/>
              <w:spacing w:after="0"/>
              <w:rPr>
                <w:rFonts w:ascii="Arial" w:cs="Arial" w:eastAsia="Arial" w:hAnsi="Arial"/>
                <w:sz w:val="18"/>
                <w:szCs w:val="18"/>
                <w:color w:val="auto"/>
              </w:rPr>
            </w:pPr>
            <w:hyperlink w:anchor="page28">
              <w:r>
                <w:rPr>
                  <w:rFonts w:ascii="Arial" w:cs="Arial" w:eastAsia="Arial" w:hAnsi="Arial"/>
                  <w:sz w:val="18"/>
                  <w:szCs w:val="18"/>
                  <w:color w:val="auto"/>
                </w:rPr>
                <w:t>Controls and Procedures</w:t>
              </w:r>
            </w:hyperlink>
          </w:p>
        </w:tc>
        <w:tc>
          <w:tcPr>
            <w:tcW w:w="980" w:type="dxa"/>
            <w:vAlign w:val="bottom"/>
            <w:gridSpan w:val="2"/>
          </w:tcPr>
          <w:p>
            <w:pPr>
              <w:jc w:val="center"/>
              <w:ind w:left="550"/>
              <w:spacing w:after="0"/>
              <w:rPr>
                <w:rFonts w:ascii="Arial" w:cs="Arial" w:eastAsia="Arial" w:hAnsi="Arial"/>
                <w:sz w:val="18"/>
                <w:szCs w:val="18"/>
                <w:color w:val="auto"/>
                <w:w w:val="89"/>
              </w:rPr>
            </w:pPr>
            <w:hyperlink w:anchor="page28">
              <w:r>
                <w:rPr>
                  <w:rFonts w:ascii="Arial" w:cs="Arial" w:eastAsia="Arial" w:hAnsi="Arial"/>
                  <w:sz w:val="18"/>
                  <w:szCs w:val="18"/>
                  <w:color w:val="auto"/>
                  <w:w w:val="89"/>
                </w:rPr>
                <w:t>26</w:t>
              </w:r>
            </w:hyperlink>
          </w:p>
        </w:tc>
      </w:tr>
      <w:tr>
        <w:trPr>
          <w:trHeight w:val="270"/>
        </w:trPr>
        <w:tc>
          <w:tcPr>
            <w:tcW w:w="900" w:type="dxa"/>
            <w:vAlign w:val="bottom"/>
          </w:tcPr>
          <w:p>
            <w:pPr>
              <w:spacing w:after="0"/>
              <w:rPr>
                <w:rFonts w:ascii="Arial" w:cs="Arial" w:eastAsia="Arial" w:hAnsi="Arial"/>
                <w:sz w:val="18"/>
                <w:szCs w:val="18"/>
                <w:color w:val="auto"/>
              </w:rPr>
            </w:pPr>
            <w:hyperlink w:anchor="page29">
              <w:r>
                <w:rPr>
                  <w:rFonts w:ascii="Arial" w:cs="Arial" w:eastAsia="Arial" w:hAnsi="Arial"/>
                  <w:sz w:val="18"/>
                  <w:szCs w:val="18"/>
                  <w:color w:val="auto"/>
                </w:rPr>
                <w:t>Item 9B.</w:t>
              </w:r>
            </w:hyperlink>
          </w:p>
        </w:tc>
        <w:tc>
          <w:tcPr>
            <w:tcW w:w="8940" w:type="dxa"/>
            <w:vAlign w:val="bottom"/>
          </w:tcPr>
          <w:p>
            <w:pPr>
              <w:ind w:left="260"/>
              <w:spacing w:after="0"/>
              <w:rPr>
                <w:rFonts w:ascii="Arial" w:cs="Arial" w:eastAsia="Arial" w:hAnsi="Arial"/>
                <w:sz w:val="18"/>
                <w:szCs w:val="18"/>
                <w:color w:val="auto"/>
              </w:rPr>
            </w:pPr>
            <w:hyperlink w:anchor="page29">
              <w:r>
                <w:rPr>
                  <w:rFonts w:ascii="Arial" w:cs="Arial" w:eastAsia="Arial" w:hAnsi="Arial"/>
                  <w:sz w:val="18"/>
                  <w:szCs w:val="18"/>
                  <w:color w:val="auto"/>
                </w:rPr>
                <w:t>Other Information</w:t>
              </w:r>
            </w:hyperlink>
          </w:p>
        </w:tc>
        <w:tc>
          <w:tcPr>
            <w:tcW w:w="980" w:type="dxa"/>
            <w:vAlign w:val="bottom"/>
            <w:gridSpan w:val="2"/>
          </w:tcPr>
          <w:p>
            <w:pPr>
              <w:jc w:val="center"/>
              <w:ind w:left="550"/>
              <w:spacing w:after="0"/>
              <w:rPr>
                <w:rFonts w:ascii="Arial" w:cs="Arial" w:eastAsia="Arial" w:hAnsi="Arial"/>
                <w:sz w:val="18"/>
                <w:szCs w:val="18"/>
                <w:color w:val="auto"/>
                <w:w w:val="89"/>
              </w:rPr>
            </w:pPr>
            <w:hyperlink w:anchor="page29">
              <w:r>
                <w:rPr>
                  <w:rFonts w:ascii="Arial" w:cs="Arial" w:eastAsia="Arial" w:hAnsi="Arial"/>
                  <w:sz w:val="18"/>
                  <w:szCs w:val="18"/>
                  <w:color w:val="auto"/>
                  <w:w w:val="89"/>
                </w:rPr>
                <w:t>27</w:t>
              </w:r>
            </w:hyperlink>
          </w:p>
        </w:tc>
      </w:tr>
      <w:tr>
        <w:trPr>
          <w:trHeight w:val="270"/>
        </w:trPr>
        <w:tc>
          <w:tcPr>
            <w:tcW w:w="900" w:type="dxa"/>
            <w:vAlign w:val="bottom"/>
          </w:tcPr>
          <w:p>
            <w:pPr>
              <w:spacing w:after="0"/>
              <w:rPr>
                <w:sz w:val="23"/>
                <w:szCs w:val="23"/>
                <w:color w:val="auto"/>
              </w:rPr>
            </w:pPr>
          </w:p>
        </w:tc>
        <w:tc>
          <w:tcPr>
            <w:tcW w:w="8940" w:type="dxa"/>
            <w:vAlign w:val="bottom"/>
          </w:tcPr>
          <w:p>
            <w:pPr>
              <w:ind w:left="4140"/>
              <w:spacing w:after="0"/>
              <w:rPr>
                <w:sz w:val="20"/>
                <w:szCs w:val="20"/>
                <w:color w:val="auto"/>
              </w:rPr>
            </w:pPr>
            <w:r>
              <w:rPr>
                <w:rFonts w:ascii="Arial" w:cs="Arial" w:eastAsia="Arial" w:hAnsi="Arial"/>
                <w:sz w:val="18"/>
                <w:szCs w:val="18"/>
                <w:b w:val="1"/>
                <w:bCs w:val="1"/>
                <w:color w:val="auto"/>
              </w:rPr>
              <w:t>PART III</w:t>
            </w:r>
          </w:p>
        </w:tc>
        <w:tc>
          <w:tcPr>
            <w:tcW w:w="62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270"/>
        </w:trPr>
        <w:tc>
          <w:tcPr>
            <w:tcW w:w="900" w:type="dxa"/>
            <w:vAlign w:val="bottom"/>
          </w:tcPr>
          <w:p>
            <w:pPr>
              <w:spacing w:after="0"/>
              <w:rPr>
                <w:rFonts w:ascii="Arial" w:cs="Arial" w:eastAsia="Arial" w:hAnsi="Arial"/>
                <w:sz w:val="18"/>
                <w:szCs w:val="18"/>
                <w:color w:val="auto"/>
              </w:rPr>
            </w:pPr>
            <w:hyperlink w:anchor="page30">
              <w:r>
                <w:rPr>
                  <w:rFonts w:ascii="Arial" w:cs="Arial" w:eastAsia="Arial" w:hAnsi="Arial"/>
                  <w:sz w:val="18"/>
                  <w:szCs w:val="18"/>
                  <w:color w:val="auto"/>
                </w:rPr>
                <w:t>Item 10.</w:t>
              </w:r>
            </w:hyperlink>
          </w:p>
        </w:tc>
        <w:tc>
          <w:tcPr>
            <w:tcW w:w="8940" w:type="dxa"/>
            <w:vAlign w:val="bottom"/>
          </w:tcPr>
          <w:p>
            <w:pPr>
              <w:ind w:left="260"/>
              <w:spacing w:after="0"/>
              <w:rPr>
                <w:rFonts w:ascii="Arial" w:cs="Arial" w:eastAsia="Arial" w:hAnsi="Arial"/>
                <w:sz w:val="18"/>
                <w:szCs w:val="18"/>
                <w:color w:val="auto"/>
              </w:rPr>
            </w:pPr>
            <w:hyperlink w:anchor="page30">
              <w:r>
                <w:rPr>
                  <w:rFonts w:ascii="Arial" w:cs="Arial" w:eastAsia="Arial" w:hAnsi="Arial"/>
                  <w:sz w:val="18"/>
                  <w:szCs w:val="18"/>
                  <w:color w:val="auto"/>
                </w:rPr>
                <w:t>Directors , Executive Officers and Corporate Governance</w:t>
              </w:r>
            </w:hyperlink>
          </w:p>
        </w:tc>
        <w:tc>
          <w:tcPr>
            <w:tcW w:w="980" w:type="dxa"/>
            <w:vAlign w:val="bottom"/>
            <w:gridSpan w:val="2"/>
          </w:tcPr>
          <w:p>
            <w:pPr>
              <w:jc w:val="center"/>
              <w:ind w:left="550"/>
              <w:spacing w:after="0"/>
              <w:rPr>
                <w:rFonts w:ascii="Arial" w:cs="Arial" w:eastAsia="Arial" w:hAnsi="Arial"/>
                <w:sz w:val="18"/>
                <w:szCs w:val="18"/>
                <w:color w:val="auto"/>
                <w:w w:val="89"/>
              </w:rPr>
            </w:pPr>
            <w:hyperlink w:anchor="page30">
              <w:r>
                <w:rPr>
                  <w:rFonts w:ascii="Arial" w:cs="Arial" w:eastAsia="Arial" w:hAnsi="Arial"/>
                  <w:sz w:val="18"/>
                  <w:szCs w:val="18"/>
                  <w:color w:val="auto"/>
                  <w:w w:val="89"/>
                </w:rPr>
                <w:t>28</w:t>
              </w:r>
            </w:hyperlink>
          </w:p>
        </w:tc>
      </w:tr>
      <w:tr>
        <w:trPr>
          <w:trHeight w:val="270"/>
        </w:trPr>
        <w:tc>
          <w:tcPr>
            <w:tcW w:w="900" w:type="dxa"/>
            <w:vAlign w:val="bottom"/>
          </w:tcPr>
          <w:p>
            <w:pPr>
              <w:spacing w:after="0"/>
              <w:rPr>
                <w:rFonts w:ascii="Arial" w:cs="Arial" w:eastAsia="Arial" w:hAnsi="Arial"/>
                <w:sz w:val="18"/>
                <w:szCs w:val="18"/>
                <w:color w:val="auto"/>
              </w:rPr>
            </w:pPr>
            <w:hyperlink w:anchor="page30">
              <w:r>
                <w:rPr>
                  <w:rFonts w:ascii="Arial" w:cs="Arial" w:eastAsia="Arial" w:hAnsi="Arial"/>
                  <w:sz w:val="18"/>
                  <w:szCs w:val="18"/>
                  <w:color w:val="auto"/>
                </w:rPr>
                <w:t>Item 11.</w:t>
              </w:r>
            </w:hyperlink>
          </w:p>
        </w:tc>
        <w:tc>
          <w:tcPr>
            <w:tcW w:w="8940" w:type="dxa"/>
            <w:vAlign w:val="bottom"/>
          </w:tcPr>
          <w:p>
            <w:pPr>
              <w:ind w:left="260"/>
              <w:spacing w:after="0"/>
              <w:rPr>
                <w:rFonts w:ascii="Arial" w:cs="Arial" w:eastAsia="Arial" w:hAnsi="Arial"/>
                <w:sz w:val="18"/>
                <w:szCs w:val="18"/>
                <w:color w:val="auto"/>
              </w:rPr>
            </w:pPr>
            <w:hyperlink w:anchor="page30">
              <w:r>
                <w:rPr>
                  <w:rFonts w:ascii="Arial" w:cs="Arial" w:eastAsia="Arial" w:hAnsi="Arial"/>
                  <w:sz w:val="18"/>
                  <w:szCs w:val="18"/>
                  <w:color w:val="auto"/>
                </w:rPr>
                <w:t>Executive Compensation</w:t>
              </w:r>
            </w:hyperlink>
          </w:p>
        </w:tc>
        <w:tc>
          <w:tcPr>
            <w:tcW w:w="980" w:type="dxa"/>
            <w:vAlign w:val="bottom"/>
            <w:gridSpan w:val="2"/>
          </w:tcPr>
          <w:p>
            <w:pPr>
              <w:jc w:val="center"/>
              <w:ind w:left="550"/>
              <w:spacing w:after="0"/>
              <w:rPr>
                <w:rFonts w:ascii="Arial" w:cs="Arial" w:eastAsia="Arial" w:hAnsi="Arial"/>
                <w:sz w:val="18"/>
                <w:szCs w:val="18"/>
                <w:color w:val="auto"/>
                <w:w w:val="89"/>
              </w:rPr>
            </w:pPr>
            <w:hyperlink w:anchor="page30">
              <w:r>
                <w:rPr>
                  <w:rFonts w:ascii="Arial" w:cs="Arial" w:eastAsia="Arial" w:hAnsi="Arial"/>
                  <w:sz w:val="18"/>
                  <w:szCs w:val="18"/>
                  <w:color w:val="auto"/>
                  <w:w w:val="89"/>
                </w:rPr>
                <w:t>28</w:t>
              </w:r>
            </w:hyperlink>
          </w:p>
        </w:tc>
      </w:tr>
      <w:tr>
        <w:trPr>
          <w:trHeight w:val="270"/>
        </w:trPr>
        <w:tc>
          <w:tcPr>
            <w:tcW w:w="900" w:type="dxa"/>
            <w:vAlign w:val="bottom"/>
          </w:tcPr>
          <w:p>
            <w:pPr>
              <w:spacing w:after="0"/>
              <w:rPr>
                <w:rFonts w:ascii="Arial" w:cs="Arial" w:eastAsia="Arial" w:hAnsi="Arial"/>
                <w:sz w:val="18"/>
                <w:szCs w:val="18"/>
                <w:color w:val="auto"/>
              </w:rPr>
            </w:pPr>
            <w:hyperlink w:anchor="page30">
              <w:r>
                <w:rPr>
                  <w:rFonts w:ascii="Arial" w:cs="Arial" w:eastAsia="Arial" w:hAnsi="Arial"/>
                  <w:sz w:val="18"/>
                  <w:szCs w:val="18"/>
                  <w:color w:val="auto"/>
                </w:rPr>
                <w:t>Item 12.</w:t>
              </w:r>
            </w:hyperlink>
          </w:p>
        </w:tc>
        <w:tc>
          <w:tcPr>
            <w:tcW w:w="8940" w:type="dxa"/>
            <w:vAlign w:val="bottom"/>
          </w:tcPr>
          <w:p>
            <w:pPr>
              <w:ind w:left="260"/>
              <w:spacing w:after="0"/>
              <w:rPr>
                <w:rFonts w:ascii="Arial" w:cs="Arial" w:eastAsia="Arial" w:hAnsi="Arial"/>
                <w:sz w:val="18"/>
                <w:szCs w:val="18"/>
                <w:color w:val="auto"/>
              </w:rPr>
            </w:pPr>
            <w:hyperlink w:anchor="page30">
              <w:r>
                <w:rPr>
                  <w:rFonts w:ascii="Arial" w:cs="Arial" w:eastAsia="Arial" w:hAnsi="Arial"/>
                  <w:sz w:val="18"/>
                  <w:szCs w:val="18"/>
                  <w:color w:val="auto"/>
                </w:rPr>
                <w:t>Security Ownership of Certain Beneficial Owners and Management and Related Stockholder Matters</w:t>
              </w:r>
            </w:hyperlink>
          </w:p>
        </w:tc>
        <w:tc>
          <w:tcPr>
            <w:tcW w:w="980" w:type="dxa"/>
            <w:vAlign w:val="bottom"/>
            <w:gridSpan w:val="2"/>
          </w:tcPr>
          <w:p>
            <w:pPr>
              <w:jc w:val="center"/>
              <w:ind w:left="550"/>
              <w:spacing w:after="0"/>
              <w:rPr>
                <w:rFonts w:ascii="Arial" w:cs="Arial" w:eastAsia="Arial" w:hAnsi="Arial"/>
                <w:sz w:val="18"/>
                <w:szCs w:val="18"/>
                <w:color w:val="auto"/>
                <w:w w:val="89"/>
              </w:rPr>
            </w:pPr>
            <w:hyperlink w:anchor="page30">
              <w:r>
                <w:rPr>
                  <w:rFonts w:ascii="Arial" w:cs="Arial" w:eastAsia="Arial" w:hAnsi="Arial"/>
                  <w:sz w:val="18"/>
                  <w:szCs w:val="18"/>
                  <w:color w:val="auto"/>
                  <w:w w:val="89"/>
                </w:rPr>
                <w:t>28</w:t>
              </w:r>
            </w:hyperlink>
          </w:p>
        </w:tc>
      </w:tr>
      <w:tr>
        <w:trPr>
          <w:trHeight w:val="270"/>
        </w:trPr>
        <w:tc>
          <w:tcPr>
            <w:tcW w:w="900" w:type="dxa"/>
            <w:vAlign w:val="bottom"/>
          </w:tcPr>
          <w:p>
            <w:pPr>
              <w:spacing w:after="0"/>
              <w:rPr>
                <w:rFonts w:ascii="Arial" w:cs="Arial" w:eastAsia="Arial" w:hAnsi="Arial"/>
                <w:sz w:val="18"/>
                <w:szCs w:val="18"/>
                <w:color w:val="auto"/>
              </w:rPr>
            </w:pPr>
            <w:hyperlink w:anchor="page30">
              <w:r>
                <w:rPr>
                  <w:rFonts w:ascii="Arial" w:cs="Arial" w:eastAsia="Arial" w:hAnsi="Arial"/>
                  <w:sz w:val="18"/>
                  <w:szCs w:val="18"/>
                  <w:color w:val="auto"/>
                </w:rPr>
                <w:t>Item 13.</w:t>
              </w:r>
            </w:hyperlink>
          </w:p>
        </w:tc>
        <w:tc>
          <w:tcPr>
            <w:tcW w:w="8940" w:type="dxa"/>
            <w:vAlign w:val="bottom"/>
          </w:tcPr>
          <w:p>
            <w:pPr>
              <w:ind w:left="260"/>
              <w:spacing w:after="0"/>
              <w:rPr>
                <w:rFonts w:ascii="Arial" w:cs="Arial" w:eastAsia="Arial" w:hAnsi="Arial"/>
                <w:sz w:val="18"/>
                <w:szCs w:val="18"/>
                <w:color w:val="auto"/>
              </w:rPr>
            </w:pPr>
            <w:hyperlink w:anchor="page30">
              <w:r>
                <w:rPr>
                  <w:rFonts w:ascii="Arial" w:cs="Arial" w:eastAsia="Arial" w:hAnsi="Arial"/>
                  <w:sz w:val="18"/>
                  <w:szCs w:val="18"/>
                  <w:color w:val="auto"/>
                </w:rPr>
                <w:t>Certain Relationships and Related Transactions, and Director Independence</w:t>
              </w:r>
            </w:hyperlink>
          </w:p>
        </w:tc>
        <w:tc>
          <w:tcPr>
            <w:tcW w:w="980" w:type="dxa"/>
            <w:vAlign w:val="bottom"/>
            <w:gridSpan w:val="2"/>
          </w:tcPr>
          <w:p>
            <w:pPr>
              <w:jc w:val="center"/>
              <w:ind w:left="550"/>
              <w:spacing w:after="0"/>
              <w:rPr>
                <w:rFonts w:ascii="Arial" w:cs="Arial" w:eastAsia="Arial" w:hAnsi="Arial"/>
                <w:sz w:val="18"/>
                <w:szCs w:val="18"/>
                <w:color w:val="auto"/>
                <w:w w:val="89"/>
              </w:rPr>
            </w:pPr>
            <w:hyperlink w:anchor="page30">
              <w:r>
                <w:rPr>
                  <w:rFonts w:ascii="Arial" w:cs="Arial" w:eastAsia="Arial" w:hAnsi="Arial"/>
                  <w:sz w:val="18"/>
                  <w:szCs w:val="18"/>
                  <w:color w:val="auto"/>
                  <w:w w:val="89"/>
                </w:rPr>
                <w:t>28</w:t>
              </w:r>
            </w:hyperlink>
          </w:p>
        </w:tc>
      </w:tr>
      <w:tr>
        <w:trPr>
          <w:trHeight w:val="270"/>
        </w:trPr>
        <w:tc>
          <w:tcPr>
            <w:tcW w:w="900" w:type="dxa"/>
            <w:vAlign w:val="bottom"/>
          </w:tcPr>
          <w:p>
            <w:pPr>
              <w:spacing w:after="0"/>
              <w:rPr>
                <w:rFonts w:ascii="Arial" w:cs="Arial" w:eastAsia="Arial" w:hAnsi="Arial"/>
                <w:sz w:val="18"/>
                <w:szCs w:val="18"/>
                <w:color w:val="auto"/>
              </w:rPr>
            </w:pPr>
            <w:hyperlink w:anchor="page30">
              <w:r>
                <w:rPr>
                  <w:rFonts w:ascii="Arial" w:cs="Arial" w:eastAsia="Arial" w:hAnsi="Arial"/>
                  <w:sz w:val="18"/>
                  <w:szCs w:val="18"/>
                  <w:color w:val="auto"/>
                </w:rPr>
                <w:t>Item 14.</w:t>
              </w:r>
            </w:hyperlink>
          </w:p>
        </w:tc>
        <w:tc>
          <w:tcPr>
            <w:tcW w:w="8940" w:type="dxa"/>
            <w:vAlign w:val="bottom"/>
          </w:tcPr>
          <w:p>
            <w:pPr>
              <w:ind w:left="260"/>
              <w:spacing w:after="0"/>
              <w:rPr>
                <w:rFonts w:ascii="Arial" w:cs="Arial" w:eastAsia="Arial" w:hAnsi="Arial"/>
                <w:sz w:val="18"/>
                <w:szCs w:val="18"/>
                <w:color w:val="auto"/>
              </w:rPr>
            </w:pPr>
            <w:hyperlink w:anchor="page30">
              <w:r>
                <w:rPr>
                  <w:rFonts w:ascii="Arial" w:cs="Arial" w:eastAsia="Arial" w:hAnsi="Arial"/>
                  <w:sz w:val="18"/>
                  <w:szCs w:val="18"/>
                  <w:color w:val="auto"/>
                </w:rPr>
                <w:t>Principal Accounting Fees and Services</w:t>
              </w:r>
            </w:hyperlink>
          </w:p>
        </w:tc>
        <w:tc>
          <w:tcPr>
            <w:tcW w:w="980" w:type="dxa"/>
            <w:vAlign w:val="bottom"/>
            <w:gridSpan w:val="2"/>
          </w:tcPr>
          <w:p>
            <w:pPr>
              <w:jc w:val="center"/>
              <w:ind w:left="550"/>
              <w:spacing w:after="0"/>
              <w:rPr>
                <w:rFonts w:ascii="Arial" w:cs="Arial" w:eastAsia="Arial" w:hAnsi="Arial"/>
                <w:sz w:val="18"/>
                <w:szCs w:val="18"/>
                <w:color w:val="auto"/>
                <w:w w:val="89"/>
              </w:rPr>
            </w:pPr>
            <w:hyperlink w:anchor="page30">
              <w:r>
                <w:rPr>
                  <w:rFonts w:ascii="Arial" w:cs="Arial" w:eastAsia="Arial" w:hAnsi="Arial"/>
                  <w:sz w:val="18"/>
                  <w:szCs w:val="18"/>
                  <w:color w:val="auto"/>
                  <w:w w:val="89"/>
                </w:rPr>
                <w:t>28</w:t>
              </w:r>
            </w:hyperlink>
          </w:p>
        </w:tc>
      </w:tr>
      <w:tr>
        <w:trPr>
          <w:trHeight w:val="270"/>
        </w:trPr>
        <w:tc>
          <w:tcPr>
            <w:tcW w:w="900" w:type="dxa"/>
            <w:vAlign w:val="bottom"/>
          </w:tcPr>
          <w:p>
            <w:pPr>
              <w:spacing w:after="0"/>
              <w:rPr>
                <w:sz w:val="23"/>
                <w:szCs w:val="23"/>
                <w:color w:val="auto"/>
              </w:rPr>
            </w:pPr>
          </w:p>
        </w:tc>
        <w:tc>
          <w:tcPr>
            <w:tcW w:w="8940" w:type="dxa"/>
            <w:vAlign w:val="bottom"/>
          </w:tcPr>
          <w:p>
            <w:pPr>
              <w:ind w:left="4140"/>
              <w:spacing w:after="0"/>
              <w:rPr>
                <w:sz w:val="20"/>
                <w:szCs w:val="20"/>
                <w:color w:val="auto"/>
              </w:rPr>
            </w:pPr>
            <w:r>
              <w:rPr>
                <w:rFonts w:ascii="Arial" w:cs="Arial" w:eastAsia="Arial" w:hAnsi="Arial"/>
                <w:sz w:val="18"/>
                <w:szCs w:val="18"/>
                <w:b w:val="1"/>
                <w:bCs w:val="1"/>
                <w:color w:val="auto"/>
              </w:rPr>
              <w:t>PART IV</w:t>
            </w:r>
          </w:p>
        </w:tc>
        <w:tc>
          <w:tcPr>
            <w:tcW w:w="62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270"/>
        </w:trPr>
        <w:tc>
          <w:tcPr>
            <w:tcW w:w="900" w:type="dxa"/>
            <w:vAlign w:val="bottom"/>
          </w:tcPr>
          <w:p>
            <w:pPr>
              <w:spacing w:after="0"/>
              <w:rPr>
                <w:rFonts w:ascii="Arial" w:cs="Arial" w:eastAsia="Arial" w:hAnsi="Arial"/>
                <w:sz w:val="18"/>
                <w:szCs w:val="18"/>
                <w:color w:val="auto"/>
              </w:rPr>
            </w:pPr>
            <w:hyperlink w:anchor="page31">
              <w:r>
                <w:rPr>
                  <w:rFonts w:ascii="Arial" w:cs="Arial" w:eastAsia="Arial" w:hAnsi="Arial"/>
                  <w:sz w:val="18"/>
                  <w:szCs w:val="18"/>
                  <w:color w:val="auto"/>
                </w:rPr>
                <w:t>Item 15.</w:t>
              </w:r>
            </w:hyperlink>
          </w:p>
        </w:tc>
        <w:tc>
          <w:tcPr>
            <w:tcW w:w="8940" w:type="dxa"/>
            <w:vAlign w:val="bottom"/>
          </w:tcPr>
          <w:p>
            <w:pPr>
              <w:ind w:left="260"/>
              <w:spacing w:after="0"/>
              <w:rPr>
                <w:rFonts w:ascii="Arial" w:cs="Arial" w:eastAsia="Arial" w:hAnsi="Arial"/>
                <w:sz w:val="18"/>
                <w:szCs w:val="18"/>
                <w:color w:val="auto"/>
              </w:rPr>
            </w:pPr>
            <w:hyperlink w:anchor="page31">
              <w:r>
                <w:rPr>
                  <w:rFonts w:ascii="Arial" w:cs="Arial" w:eastAsia="Arial" w:hAnsi="Arial"/>
                  <w:sz w:val="18"/>
                  <w:szCs w:val="18"/>
                  <w:color w:val="auto"/>
                </w:rPr>
                <w:t>Exhibits, Financial Statement Schedules</w:t>
              </w:r>
            </w:hyperlink>
          </w:p>
        </w:tc>
        <w:tc>
          <w:tcPr>
            <w:tcW w:w="980" w:type="dxa"/>
            <w:vAlign w:val="bottom"/>
            <w:gridSpan w:val="2"/>
          </w:tcPr>
          <w:p>
            <w:pPr>
              <w:jc w:val="center"/>
              <w:ind w:left="550"/>
              <w:spacing w:after="0"/>
              <w:rPr>
                <w:rFonts w:ascii="Arial" w:cs="Arial" w:eastAsia="Arial" w:hAnsi="Arial"/>
                <w:sz w:val="18"/>
                <w:szCs w:val="18"/>
                <w:color w:val="auto"/>
                <w:w w:val="89"/>
              </w:rPr>
            </w:pPr>
            <w:hyperlink w:anchor="page31">
              <w:r>
                <w:rPr>
                  <w:rFonts w:ascii="Arial" w:cs="Arial" w:eastAsia="Arial" w:hAnsi="Arial"/>
                  <w:sz w:val="18"/>
                  <w:szCs w:val="18"/>
                  <w:color w:val="auto"/>
                  <w:w w:val="89"/>
                </w:rPr>
                <w:t>29</w:t>
              </w:r>
            </w:hyperlink>
          </w:p>
        </w:tc>
      </w:tr>
    </w:tbl>
    <w:p>
      <w:pPr>
        <w:sectPr>
          <w:pgSz w:w="11900" w:h="16838" w:orient="portrait"/>
          <w:cols w:equalWidth="0" w:num="1">
            <w:col w:w="10860"/>
          </w:cols>
          <w:pgMar w:left="240" w:top="121" w:right="79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report contains forward-looking statements as defined in the Private Securities Litigation Reform Act of 1995. These statements reflect our views with respect to future events based upon information available to us at this time. These forward-looking statements are subject to uncertainties and other factors that could cause actual results to differ materially from these statements. Forward-looking statements are typically identified by the use of the words “believe,” “may,” “could,” “will,” “should,” “expect,” “anticipate,” “estimate,” “project,” “propose,” “plan,” “intend,” and similar words and expressions. Examples of forward-looking statements are statements that describe the proposed development, manufacturing, and sale of our products; statements that describe expectations regarding pricing trends, the markets for our products, our anticipated capital expenditures, our cost reduction and operational restructuring initiatives, and future impact of regulatory developments; statements with regard to the nature and extent of competition we may face in the future; statements with respect to the anticipated sources of and need for future financing; and statements with respect to future strategic plans, goals, and objectives and forecasts of future growth and value. Forward-looking statements are contained in this report under “Business” included in Item 1 of Part I, “Management’s Discussion and Analysis of Financial Condition and Results of Operations” included in Item 7 of Part II of this Annual Report on Form 10-K. The forward-looking statements are based on present circumstances and on our predictions respecting events that have not occurred, that may not occur, or that may occur with different consequences and timing than those now assumed or anticipated. Actual events or results may differ materially from those discussed in the forward-looking statements as a result of various factors, including the risk factors discussed in this report under the caption “Item 1A Risk Factors.” These cautionary statements are intended to be applicable to all related forward-looking statements wherever they appear in this report. The cautionary statements contained or referred to in this report should also be considered in connection with any subsequent written or oral forward-looking statements that may be issued by us or persons acting on our behalf. Any forward-looking statements are made only as of the date of this report and we assume no obligation to update forward-looking statements to reflect subsequent events or circumstances.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References in this Annual Report on Form 10-K to “ClearOne,” “we,” “us,” “CLRO” or “the Company” refer to ClearOne, Inc., a Utah corporation, and, unless the context otherwise requires or is otherwise expressly stated, its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ClearOne was formed as a Utah corporation in 1983 organized under the laws of the State of Utah. The company is headquartered in Salt Lake City, Utah, with locations in Alachua, Florida; Austin, Texas; Corvallis, Oregon; Hong Kong; Israel; and Spain.</w:t>
      </w:r>
    </w:p>
    <w:p>
      <w:pPr>
        <w:spacing w:after="0" w:line="170"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We are a global company that designs, develops and sells conferencing, collaboration, streaming and digital signage solutions for audio/voice and visual communications. The performance and simplicity of our advanced comprehensive solutions enhance the quality of life and offer unprecedented levels of functionality, reliability and scalability.</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design, develop, market, and service a comprehensive line of high-quality conferencing products for personal use, as well as traditional tabletop, mid-tier premium and higher-end professional products for large, medium and small businesses. We occupy the number one global market share position, with nearly 50% market share in the professional audio conferencing market for our products used by large businesses and organizations such as enterprise, healthcare, education and distance learning, government, legal and finance. Our solutions save organizations time and money by creating a natural environment for collaboration and communication.</w:t>
      </w:r>
    </w:p>
    <w:p>
      <w:pPr>
        <w:spacing w:after="0" w:line="18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have an established history of product innovation and plan to continue to apply our expertise in audio, video and network engineering to develop and introduce innovative new products and enhance our existing products. Our end-users range from some of the world's largest and most prestigious companies and institutions to small and medium-sized businesses, higher education and government organizations, as well as individual consumers. We sell our commercial products to these end-users primarily through a global network of independent distributors who, in turn, sell our products to dealers, systems integrators and other value-added resellers.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ITEM 1 - BUSINESS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On April 1, 2014, we completed the acquisition of Spontania from Spain-based Dialcom Networks, S.L. in an all-cash deal for €3.66 million (approximately US$5.1 million). Spontania, a software-based cloud collaboration solution, combines the benefits of video conferencing and web conferencing into an enterprise solution that can scale to tens of thousands of users. The addition of Spontania was made with the intent to make us the only company offering an entirely software-based video conferencing product line and to provide on-premise cloud-based Software-as-a-Service (SaaS) and Platform-as-a-Service (PaaS) solutions complementing our existing premise-based, enterprise video conferencing offering, COLLABORATE ®.</w:t>
      </w:r>
    </w:p>
    <w:p>
      <w:pPr>
        <w:spacing w:after="0" w:line="15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March 7, 2014, we completed the acquisition of Sabine, Inc. ("Sabine") through a stock purchase agreement ("SPA"). Sabine manufactured, designed and sold Sacom professional wireless microphone systems for live and installed audio. It also manufactured the FBX Feedback Exterminator for reliable automatic feedback control. With the addition of Sabine, we have reliable and exclusive access to the wireless microphones that are a critical component of our complete microphone portfolio. Pursuant to the SPA, we (i) paid initial consideration of $6.89 million in cash and approximately $1.68 million in ClearOne shares. In addition, we paid off Sabine debt of $1.25 million and may be required to make earn-out payments over a three year period from the acquisition date based on achievement of certain performance criteria. We continue to maintain operations at the former Sabine location in Alachua, Florida.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229"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color w:val="auto"/>
        </w:rPr>
        <w:t>Our website address is www.clearone.com. Our annual reports on Form 10-K, quarterly reports on Form 10-Q, current reports on Form 8-K, and any amendments to such reports are available, free of charge, on our website in the "Investor Relations" section under "Company." These reports are made available as soon as reasonably practicable after we file such material with, or furnish it to, the SEC.</w:t>
      </w:r>
    </w:p>
    <w:p>
      <w:pPr>
        <w:spacing w:after="0" w:line="16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a discussion of certain risks applicable to our business, results of operations, financial position, and liquidity, see the risk factors described in “Item 1A, Risk Factors”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currently participate in the following markets:</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Professional audio visual, including audio conferencing and video conferencing and collaboration;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Professional microphones;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Unified communications, including telephony;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Network streaming and control;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Digital signage.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Our business goals are to:</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our leading global market share in professional audio conferencing products for large businesses and organizations;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Leverage the video conferencing &amp; collaboration, streaming and digital signage technologies to enter new growth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Focus on the small and medium business (SMB) market with scaled, lower cost and less complex products and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Capitalize on the growing adoption of unified communications and introduce new products through emerging information technology channels;</w:t>
      </w:r>
    </w:p>
    <w:p>
      <w:pPr>
        <w:spacing w:after="0" w:line="140" w:lineRule="exact"/>
        <w:rPr>
          <w:rFonts w:ascii="Arial" w:cs="Arial" w:eastAsia="Arial" w:hAnsi="Arial"/>
          <w:sz w:val="16"/>
          <w:szCs w:val="16"/>
          <w:color w:val="auto"/>
        </w:rPr>
      </w:pPr>
    </w:p>
    <w:p>
      <w:pPr>
        <w:ind w:left="660" w:right="5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Capitalize on emerging market opportunities as audio visual, information technology, unified communications and traditional digital signage converge to meet enterprise and commercial multimedia needs;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 and strengthen our sales channels.</w:t>
      </w:r>
    </w:p>
    <w:p>
      <w:pPr>
        <w:spacing w:after="0" w:line="3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320"/>
          </w:cols>
          <w:pgMar w:left="240" w:top="122" w:right="3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1 - BUSINESS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We will continue to focus on our core strengths, which include the following:</w:t>
      </w:r>
    </w:p>
    <w:p>
      <w:pPr>
        <w:spacing w:after="0" w:line="11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Providing a superior conferencing and collaboration experience;</w:t>
      </w:r>
    </w:p>
    <w:p>
      <w:pPr>
        <w:spacing w:after="0" w:line="225"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Significantly impacting multimedia distribution and control;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Offering greater value to our customers and partners;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Leveraging and extending ClearOne technology, leadership and innovation;</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Leveraging our strong domestic and international channels to distribute new products; and</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Strengthening existing customer and partner relationships through dedicated support.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products can be broadly categorized into the following:</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Professional audio communication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Unified communications audio end points;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Visual communication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AUDIO COMMUNICATION PRODUCTS</w:t>
      </w:r>
    </w:p>
    <w:p>
      <w:pPr>
        <w:spacing w:after="0" w:line="11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Our full range of professional audio communication products includes (i) professional conferencing and sound-reinforcement products used in enterprise, healthcare, education and distance learning, government, legal and finance organizations, (ii) mid-tier premium conferencing products for smaller rooms and small and medium businesses which interface with video and web conferencing systems, and (iii) professional microphones used in various applications.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Our professional audio communication products contributed 77% and 70% of our consolidated revenue in 2014 and 2013, respectively.</w:t>
      </w:r>
    </w:p>
    <w:p>
      <w:pPr>
        <w:spacing w:after="0" w:line="22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Our professional audio communication products and unified communications audio end points feature our proprietary HDConference®, Distributed Echo Cancellation® and noise cancellation technologies to enhance communication during a conference call by eliminating echo and background noise. Most of our products also feature some of our other HDConference proprietary audio processing technologies such as adaptive modeling and first-microphone priority, which combine to deliver clear, crisp and full-duplex audio. These technologies enable natural and fatigue-free communication between distant conferencing participants.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Professional Conferencing, Sound Reinforcement</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occupy the number one position in the global professional audio conferencing market with nearly 50% of the total global market share. We have been developing high-end, professional conferencing products since 1991 and believe we have established strong brand recognition for these products worldwide. Our professional conferencing products include the CONVERGE® Pro and Converge SR product lines.</w:t>
      </w:r>
    </w:p>
    <w:p>
      <w:pPr>
        <w:spacing w:after="0" w:line="18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Our flagship Converge Pro product line leads our professionally installed audio products line. The Converge Pro product line includes the Converge Pro 880, Converge Pro 880T, Converge Pro 880TA, Converge Pro 840T, Converge Pro 8i, Converge Pro TH20 and Converge Pro VH20, and Converge SR product line including Converge SR1212 and SR1212A which together offer various levels of integration and features to allow a commercial system integrator to optimize a system to fit diverse conferencing applications and environments. CONVERGE USB, an USB peripheral provides plug-and-play USB audio connectivity between CONVERGE products and popular desktop/laptop UC applications for rich and professional sound.</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the end of the second quarter of 2014. we began shipping our new CONNECT™ Dante™ product; a network interface bridge provides Dante digital audio interface to Converge products for transmitting digital audio over Ethernet.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Mid-Tier Premium Conferencing</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380"/>
          </w:cols>
          <w:pgMar w:left="240" w:top="122" w:right="27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 BUSINESS</w:t>
      </w:r>
    </w:p>
    <w:p>
      <w:pPr>
        <w:spacing w:after="0" w:line="236"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Our INTERACT® product line is a mid-tier, lower cost, conferencing product line designed to meet the needs of our larger customers with smaller conferencing rooms as well as small and medium businesses. The INTERACT product series is comprised of the INTERACT AT and the INTERACT Pro. Both systems can be easily connected to enterprise telephones, analog POTS lines, existing HD video codecs and soft video clients. These INTERACT systems also include a USB audio interface to connect to PCs, laptops and tablets, as well as to rich multimedia devices, such as video or web conferencing systems and emerging unified communication systems for enhanced collaboration.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Professional Microphones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ClearOne Beamforming Microphone Array is the Pro-Audio industry’s first professional-grade microphone array with Beamforming and adaptive steering technology and ClearOne’s next-generation Acoustic Echo Cancellation. The ultra-sleek design fits into any conferencing environment and delivers the clearest audio pickup available. The 24 microphone element industry-leading Beamforming Microphone Array has focused acoustic beams, digital signal processing, adaptive steering, and acoustic echo canceling to produce the clearest and most intelligible conferencing sound possible. ClearOne began shipping the Beamforming Microphone Array in March 2013. During the first quarter of 2014, we began shipping the Beamforming Microphone Array, including table, wall and ceiling applications, in black to increase market compatibility.</w:t>
      </w:r>
    </w:p>
    <w:p>
      <w:pPr>
        <w:spacing w:after="0" w:line="178"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ClearOne also introduced WS800 Wireless Microphone Systems, including four new models of wireless microphones/transmitters (Tabletop/boundary, Gooseneck, Handheld, Bodypack) and a base-station receiver with either 4 or 8 channels, which connect to professional audio mixers. The wireless system combines ease-of-use with the most reliable security and power. ClearOne began shipping the WS800 Wireless Microphone Systems in January 2013. Through Sabine acquisition, we also began shipping Sacom branded Wireless Microphone Systems in 2014.</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ClearOne Ceiling Microphone Array enhances almost any professional conferencing application which demands high-quality audio. The Ceiling Microphone Array is easily installed and combines affordability with exceptional audio quality. With three wide-range microphones mounted together into a single unit array, the Ceiling Microphone Array provides the rich sound of three individual unidirectional microphones while maintaining full 360-degree coverage.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UNIFIED COMMUNICATIONS AUDIO END POINTS</w:t>
      </w:r>
    </w:p>
    <w:p>
      <w:pPr>
        <w:spacing w:after="0" w:line="11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Our unified communications audio end points include (i) traditional tabletop conferencing phones used in conference rooms and offices and (ii) affordable personal conferencing products that can be used with PCs, laptops, tablets, smartphones, and other portable devices. Our unified communications audio end points contributed approximately 17% and 23% of our consolidated revenue in 2014 and 2013,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Traditional Tabletop Conferencing</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MAX® product line is comprised of the following product families: MAX EX and MAXAttach® wired phones; MAX Wireless and MAXAttach Wireless; and MAX IP and MAXAttach IP VoIP tabletop conferencing phones. Designed for use in executive offices or small conference rooms with multiple participants, MAX Wireless can be moved from room to room within 150 feet of its base station. MAXAttach Wireless was the industry's first and remains the only dual-phone, completely wireless solution. This system gives customers tremendous flexibility in covering larger conference room areas. MAX EX and MAXAttach wired phones can be daisy chained together, up to a total of four phones. This provides even distribution of microphones, loudspeakers, and controls for better sound quality and improved user access in medium to large conference rooms. In addition, all MAXAttach wired phones can be used separately when they are not needed in a daisy-chain configuration. MAX IP and MAXAttach IP are VoIP tabletop conference phones which are based on the industry-standard SIP signaling protocol. These phones can also be daisy-chained together, up to a total of four phones.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Personal Conferencing Products</w:t>
      </w:r>
    </w:p>
    <w:p>
      <w:pPr>
        <w:spacing w:after="0" w:line="11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Our CHAT® product line includes affordable and stylish personal speakerphones and USB headsets. CHAT speaker phones provide full-duplex and rich full bandwidth frequency response for superior audio clarity. CHAT products are designed for a wide variety of applications and devices (fixed or portable) for greatly enhanced collaboration wherever and whenever needed. CHAT speaker phones are offered as personal speakerphones and group speakerphones.</w:t>
      </w:r>
    </w:p>
    <w:p>
      <w:pPr>
        <w:spacing w:after="0" w:line="147"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CHAT personal speakerphones are approximately the size of a deck of cards, and connect to PCs and MACs, laptops, tablets, enterprise handsets, smartphones, cell phones, and MP3 players for rich, clear, hands-free audio and playback. CHAT group</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00"/>
          </w:cols>
          <w:pgMar w:left="240" w:top="121" w:right="25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 BUSINESS</w:t>
      </w:r>
    </w:p>
    <w:p>
      <w:pPr>
        <w:spacing w:after="0" w:line="236"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speakerphones are designed for small group use. These can also connect many of the same devices and applications as the CHAT personal speakerphones, but feature three microphones in larger design for use by a larger number of participants. CHAT group speakerphones have the ability to add high-quality, full-duplex speakerphones to user enterprise telephone handsets such as Avaya and Cisco. CHAT group speakerphones make it possible to introduce rich, crystal clear conferencing capability without the need for introducing a separate traditional conference phone. CHATAttach® is comprised of two CHAT group speakerphones which can be daisy-chained together to function as a single conferencing system.</w:t>
      </w:r>
    </w:p>
    <w:p>
      <w:pPr>
        <w:spacing w:after="0" w:line="1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CHAT USB headsets for unified communications combine the comfort, durability and legacy audio quality for which ClearOne is renowned. These affordable USB headsets incorporate advanced microphone noise-canceling technology and acoustic shock protection technologies.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VISUAL COMMUNICATION PRODUCTS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visual communication products are sold under following three broad categories: (i) video conferencing, (ii) streaming and (iii) digital signage. Our visual communication products contributed 6% and 7% of our consolidated revenue in 2014 and 2013,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Video Conferencing Products</w:t>
      </w:r>
      <w:r>
        <w:rPr>
          <w:rFonts w:ascii="Arial" w:cs="Arial" w:eastAsia="Arial" w:hAnsi="Arial"/>
          <w:sz w:val="18"/>
          <w:szCs w:val="18"/>
          <w:color w:val="000000"/>
        </w:rPr>
        <w:t>:</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comprehensive portfolio of industry-leading COLLABORATE® branded HD videoconferencing solutions bring cutting-edge software-based full HD (1080p) video conferencing technology with H.264 High Profile encoding that reduces bandwidth utilization up to 50 percent. COLLABORATE is comprised of feature-rich room systems and desktop video applications, as well as enhanced network management, infrastructure solutions and software development kits.</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COLLABORATE Infrastructure is for customers who desire an on-premise infrastructure solution. ClearOne offers a single-unit infrastructure server that will serve the needs of both the small to mid-sized businesses and enterprise customers hoping to expand locations. The heavy burden of adding video collaboration pervasively has always been the cost of expensive infrastructure solutions. ClearOne’s single-unit solution provides the infrastructure component at a low price, including directory services, firewall traversal, MCU, H.323 gatekeeper, SIP registrar, license server, call control, and a full management system.</w:t>
      </w:r>
    </w:p>
    <w:p>
      <w:pPr>
        <w:spacing w:after="0" w:line="5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COLLABORATE Desktop is a versatile application for any PC or laptop user in organizations of any size. Available with up to 1080p resolution, the COLLABORATE Desktop offers multiple media transmitting capabilities for video, audio and data. Using ClearOne's DualStream™ technology, the application has the ability to send and receive video and data streams simultaneously with its additional streaming capability, ClearOne's Simulcast™ allows COLLABORATE Desktop users to chair or participate in corporate broadcasts.</w:t>
      </w:r>
    </w:p>
    <w:p>
      <w:pPr>
        <w:spacing w:after="0" w:line="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COLLABORATE Room is a best-in-class video conferencing and collaboration solution offering a price-point and feature set vastly superior to that of competing room conferencing solutions. Designed for small and medium businesses and corporate meeting rooms, the COLLABORATE Room features software-based and server-less embedded multipoint (up to 9-way) video conferencing, SIP/H.323 bridging interoperability, built-in recording and streaming, built-in remote content and data sharing, and interactive multicast.</w:t>
      </w:r>
    </w:p>
    <w:p>
      <w:pPr>
        <w:spacing w:after="0" w:line="187"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The new COLLABORATE® Room Pro all-in-one appliance combines high-definition 1080p60 video with ClearOne's wildly popular Beamforming Microphone Array for the best audio available on any self-contained video conferencing solution, without using an external DSP unit for audio processing. This new system, available with a 9-party MCU, also includes many media collaboration tools that usually purchased separately, such as: streaming, recording and content creation, presentation.</w:t>
      </w:r>
    </w:p>
    <w:p>
      <w:pPr>
        <w:spacing w:after="0" w:line="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UNITE™ PTZ Camera complements COLLABORATE product line, comes with DVI-I (for digital and analog output) and USB 3.0 connectivity that enables users to easily add Full-HD video to UC or video applications running on desktop/laptop. With powerful optical zoom and wide field of view make this camera more suitable for medium to large meeting spaces. Full high definition video in up to 1080p60 resolution helps the remote sites in video conferencing see every detail, even when displayed on a large screen.</w:t>
      </w:r>
    </w:p>
    <w:p>
      <w:pPr>
        <w:spacing w:after="0" w:line="1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Through the Spontania acquisition in 2014, ClearOne started offering Spontania cloud-based Media Collaboration solutions. Spontania empowers customers to deploy video collaboration without the heavy burden of expensive infrastructure. It also allows service providers and partners to expand their offerings by deploying the technology within their own networks. Spontania complements ClearOne's premise-based COLLABORATE enterprise video collaboration portfolio. The complete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 BUSINESS</w:t>
      </w:r>
    </w:p>
    <w:p>
      <w:pPr>
        <w:spacing w:after="0" w:line="236"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ClearOne video portfolio now can serve a full range of video collaboration needs for enterprise, SMB, healthcare, education, and other customers, whether they are seeking those solutions deployed in their private data centers or in the ClearOne Spontania cloud. ClearOne now offers its partners and end users a clear choice between public cloud, private cloud, and on-premise solutions.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Streaming Products</w:t>
      </w:r>
      <w:r>
        <w:rPr>
          <w:rFonts w:ascii="Arial" w:cs="Arial" w:eastAsia="Arial" w:hAnsi="Arial"/>
          <w:sz w:val="18"/>
          <w:szCs w:val="18"/>
          <w:color w:val="000000"/>
        </w:rPr>
        <w:t>:</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Streaming products sold under VIEW™ and NetStreams brands deliver the ultimate IP A/V experience by streaming time sensitive high definition audio and video and control over TCP/IP networks. By combining audio and/or video content, meta-data and control signals into one digital stream in harmony with industry standards, its distributed, edge of the network architecture allows the hardware and the processing power to be distributed across any existing TCP/IP network. This leverages many of the advantages of using TCP/IP over traditional analog systems and other centrally controlled IP-based systems. The ClearOne VIEW products are powered by ClearOne's patented StreamNet® technology. A user can activate and control a single audio source or combination of audio sources, video sources, security systems, HVAC systems, lighting, and other room or facility monitoring functions such as paging or security access by just a single touch to its attractive touch screens. Alternatively, any PC, laptop, tablet, iPod, or other device with a built-in web browser with Flash can control the equipment connected to the system. The VIEW systems have no limits on the numbers of sources, displays, or amplifiers in a project and can be used in venues from high-end residential homes to large-scale commercial projects.</w:t>
      </w:r>
    </w:p>
    <w:p>
      <w:pPr>
        <w:spacing w:after="0" w:line="18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Converting an audio or video signal to TCP/IP preserves the digital quality of the signal across the network. Unlike analog systems, which lose quality over long distances, TCP/IP packets are decoded to retain the same digital quality as contained when they were encoded. The addition of Digital Encoder and Digital Decoder products with DVI/HDMI input and output enhances the flexibility of complete AV distribution system and makes it as easy to use as analog devices.</w:t>
      </w:r>
    </w:p>
    <w:p>
      <w:pPr>
        <w:spacing w:after="0" w:line="18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VIEW Pro is our next generation Streaming solution that provides 1080p60, H.264 high definition HDMI video-audio, 4:4:4 true-color, 24 bit per pixel video output. It comes with dual inputs encoder and single output decoder with balanced audio, general purpose control ports and clock synchronized video output. VIEW Pro system also provides multi-view video composition and video-wall features using its built-in video processing engine, without using an external, expensive hardware video processors. This continues to be truly differentiated in the professional market by offering complete AV streaming and distribution systems that can scale to fulfill projects of any size and complexity, from light commercial to the very largest environments.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MagicBox Digital Signage Products</w:t>
      </w:r>
    </w:p>
    <w:p>
      <w:pPr>
        <w:spacing w:after="0" w:line="117" w:lineRule="exact"/>
        <w:rPr>
          <w:sz w:val="20"/>
          <w:szCs w:val="20"/>
          <w:color w:val="auto"/>
        </w:rPr>
      </w:pPr>
    </w:p>
    <w:p>
      <w:pPr>
        <w:jc w:val="both"/>
        <w:ind w:right="40"/>
        <w:spacing w:after="0" w:line="297" w:lineRule="auto"/>
        <w:rPr>
          <w:sz w:val="20"/>
          <w:szCs w:val="20"/>
          <w:color w:val="auto"/>
        </w:rPr>
      </w:pPr>
      <w:r>
        <w:rPr>
          <w:rFonts w:ascii="Arial" w:cs="Arial" w:eastAsia="Arial" w:hAnsi="Arial"/>
          <w:sz w:val="16"/>
          <w:szCs w:val="16"/>
          <w:color w:val="auto"/>
        </w:rPr>
        <w:t>We make digital signage and video messaging systems with an emphasis on ease of use and flexibility with hardware and software applications. Our Aavelin-branded media players come with different hardware configurations for Digital Signage applications. By using the Composer Desktop software application or WebSuite application through Software as a Service (SaaS) or Entry Level Server (ELS) with Aavelin media players, the contents can be managed, scheduled and published to one or many media players to display on screens. Our RoomRoster-branded room information solution is a combination of display and data wrapped in one design. It consists of the room sign and database integration used to display room schedules and other information in real-time.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229"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We primarily use a two-tier channel model through which we sell our commercial products to a worldwide network of independent audiovisual, information technology and telecommunications distributors, who then sell our products to independent systems integrators, dealers, and value-added resellers, who in turn work directly with the end-users of our products for product fulfillment and installation, if needed. Our products are also specified and recommended by professional audio-video consultants. We also sell our commercial products directly to certain dealers, systems integrators, value-added resellers, and end-users. We sell our residential products through a global network of residential electronics dealers, system integrators, and other value-added resellers.</w:t>
      </w:r>
    </w:p>
    <w:p>
      <w:pPr>
        <w:spacing w:after="0" w:line="1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year ended December 31, 2014, approximately $39.6 million, or 68% of our total product sales, were generated in the United States and product sales of approximately $18.3 million, or 32% of our total product sales, were generated outside the United States. Revenue from product sales to customers in the United States was approximately $32.3 million, or 65% of total product sales and revenue from products outside of the United States was approximately $17.3 million and accounted for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1 - BUSINESS</w:t>
      </w:r>
    </w:p>
    <w:p>
      <w:pPr>
        <w:spacing w:after="0" w:line="236"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approximately 35% of our total product sales for the year ended December 31, 2013. We sell directly to our distributors, resellers and end-users in approximately 70 countries worldwide. We anticipate that the portion of our total product revenue from international sales will continue to be a significant portion of our total revenue as we further enhance our focus on developing new products, establishing new channel partners, strengthening our presence in key growth areas, complying with regional environmental regulatory standards, and improving product localization with country-specific product documentation and marketing materials.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Distributors, Resellers and Independent Integrators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sold our products directly to approximately 562 distributors and direct resellers throughout the world during 2014. Distributors and resellers purchase our products at a discount from list price and resell them worldwide to hundreds of independent system integrators, telephony value-added resellers, IT value-added resellers, and PC dealers on a non-exclusive basis. Our distributors maintain their own inventory and accounts receivable and are required to provide technical and non-technical support for our products to the next level of distribution participants. We work with our distributors and resellers to establish appropriate inventory stocking levels. We also work with our distributors and resellers to maintain relationships with our existing systems integrators, dealers, and other value-added resellers.</w:t>
      </w:r>
    </w:p>
    <w:p>
      <w:pPr>
        <w:spacing w:after="0" w:line="19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While dealers, resellers, and system integrators all sell our products directly to the end-users, system integrators typically add significant value to each sale by combining our products with products from other manufacturers as part of an integrated system solution. Commercial dealers and value-added resellers usually purchase our products from distributors and may bundle our products with products from other manufacturers for resale to the end-user. We maintain close working relationships with all our reseller partners and offer them education and training on all of our products.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Marketing</w:t>
      </w:r>
    </w:p>
    <w:p>
      <w:pPr>
        <w:spacing w:after="0" w:line="11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Much of our marketing effort is conducted in conjunction with our channel partners who provide leverage for us in reaching existing and prospective customers worldwide. We also regularly attend industry forums and exhibit our products at multiple regional and international trade shows, often with our channel partners. These trade shows provide exposure for our brand and products to a wide audience. We market our ClearOne-branded commercial products on our website www.clearone.com and our MagicBox branded digital signage products on our website www.magicboxinc.com. We also conduct public relations initiatives to get press coverage and product reviews in industry and non-industry publications alike.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do not get comprehensive reports from our distributors and resellers that identify our end-users. As a result, we do not know whether any end-user accounted for more than 10 percent of our total revenue during any of the periods reported in this Annual Report. However, revenues included sales to Starin Marketing, which represented approximately 16% of consolidated revenue during the year ended December 31, 2014. During the year ended December 31, 2013, revenues included sales to Starin Marketing, which represented 18.2% of our consolidated revenue and VSO Marketing, which represented 10.8% of our consolidated revenue during that period. As discussed above, distributors facilitate product sales to a large number of independent systems integrators, dealers, and value-added resellers, and subsequently to their end-users. The loss of one or more distributors could reduce revenue and have a material adverse effect on our business and results of operations. Our shipped orders on which we had not recognized revenue were $5.0 million and $4.2 million as of December 31, 2014 and 2013, respectively. As of December 31, 2014, we had a backlog of un-shipped orders of approximately $789 thousand.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audio visual product markets are characterized by intense competition, rapidly evolving technology, and increased business consolidation. We compete with businesses having substantially greater financial, research and product development, manufacturing, marketing, and other resources. If we are not able to continually design, manufacture, and successfully market new or enhanced products or services that are comparable or superior to those provided by our competitors and at comparable or better prices, we could experience pricing pressures and reduced sales, gross profit margins, profits, and market share, each of which could have a materially adverse effect on our business. Our competitors vary within each product category. We believe we are able to differentiate ourselves and therefore successfully compete as a result of the high audio quality of our products resulting from a combination of proprietary and highly advanced audio signal processing technologies and networking technology in the form of trade secrets and patented intellectual property, technical and channel support services, and the strength of our channels and brands.</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380"/>
          </w:cols>
          <w:pgMar w:left="240" w:top="121" w:right="27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 BUSINESS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principal factors driving sales are the following:</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Quality, features and functionality, and ease of use of the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Broad and deep global channel partnerships;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Significant established history of successful worldwide installations for diverse vertical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Brand name recognition and acceptance;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Quality of customer and partner sales and technical support services;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Effective sales and marketing.</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the professional audio conferencing system and sound reinforcement markets, our main competitors include Biamp, Crestron, Extron, Harman/BSS, Lectrosonics, Peavey, Phoenix, Polycom, Shure and Vaddio and their original equipment manufacturing (OEM) partners, along with several other companies potentially poised to enter the market. We occupy the number one position in the global professional audio conferencing market with nearly 50% of the global market share. In the traditional tabletop conferencing market, we face significant competition from Avaya (Konftel), Phoenix, and Polycom, and especially from their OEM partnerships. A significant portion of the tabletop market is covered by sales through OEM partnerships. While we believe MAX products have unique features and superior quality, our limited OEM partnerships and pricing pressures from higher volume competitors limit our ability to expand our existing share of this market. In the professional microphones market, our primary competitors include Audio-technica, Audix, Polycom, Revolabs, Sennheiser, Shure, and their OEM partners. Our primary competitors in the personal conferencing market are GN Netcom (Jabra), Phoenix Audio, Plantronics, Polycom, Yamaha and their OEM partners. Our video conferencing products face tremendous competition from well established players, including Avaya (Radvision), CISCO, Logitech (Lifesize), Polycom and Vidyo. We believe the migration of video conferencing from hardware-based codecs to software-based codecs provides an opportunity for us to differentiate our products and gain market share. Our commercial streaming products face intense competition from a few well-established corporations of diversified capabilities and strengths, including AMX, BiAmp, Crestron, Extron, and Haivision. We believe that our pioneering and patented StreamNet technology delivers superior audio and video streaming performance and flexibility and provides us with a competitive edge over other industry players. In digital signage, our primary competitors include Scala, Tightrope and Visix.</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Environment</w:t>
      </w:r>
    </w:p>
    <w:p>
      <w:pPr>
        <w:spacing w:after="0" w:line="229"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Regulations regarding product safety, product operational agency compliance, the materials used in manufacturing, the process of disposing of electronic equipment and the efficient use of energy may require extensive lead-time to obtain regulatory approvals of new products in both domestic and international markets. Such regulations may impact our ability to expand our sales in a timely and cost-effective manner and, as a result, our business could be harmed.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Availability of Raw Materials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manufacture our products through electronics manufacturing services ("EMS") providers, who are generally responsible for sourcing and procuring required raw materials and components. Most of the components that our EMS providers require for manufacturing our products are readily available from a number of sources.</w:t>
      </w:r>
    </w:p>
    <w:p>
      <w:pPr>
        <w:spacing w:after="0" w:line="18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continually work with our EMS providers to seek alternative sources for all our components and raw material requirements to ensure higher quality and better pricing. Most of our EMS providers and their vendors are duly qualified by our corporate quality assurance process. We work with our EMS providers to ensure that raw materials and components conform to our specifications.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Currently, all of our products except digital signage products are manufactured by EMS providers. Our primary EMS provider is Flextronics. The digital signage products are assembled in our Salt Lake City, Utah facility.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400"/>
          </w:cols>
          <w:pgMar w:left="240" w:top="121" w:right="25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1 - BUSINESS</w:t>
      </w:r>
    </w:p>
    <w:p>
      <w:pPr>
        <w:spacing w:after="0" w:line="23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Our revenue has historically been the strongest in the fourth quarter and the weakest in the first quarter, even though a consistent pattern could not be established for seasonality between the quarters. There can be no assurance that any historic sales patterns will continue and, as a result, sales for any prior quarter are not necessarily indicative of the sales to be expected in any future quarter.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Product Development</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are committed to research and product development and view our continued investment in research and product development as a key ingredient to our long-term business success. Our research and product development expenditures were approximately $9.0 million during the year ended December 31, 2014 and $7.6 million during the year ended December 31, 2013.</w:t>
      </w:r>
    </w:p>
    <w:p>
      <w:pPr>
        <w:spacing w:after="0" w:line="18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Our core competencies in research and product development include (a) many audio technologies, including acoustic echo cancellation, noise cancellation and other advanced adaptive digital signal processing technologies, (b) networking and multimedia streaming technologies, and (c) video technologies. We also have expertise in wireless technologies, VoIP, software and network application, and digital signage system development. We believe that continued investment in our core technological competencies is vital to developing new products and to enhancing existing products.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Other Proprietary Rights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believe that our success depends in part on our ability to protect our proprietary rights. We rely on a combination of patent, copyright, trademark, and trade secret laws and confidentiality agreements and processes to protect our proprietary rights. The laws of foreign countries may not protect our intellectual property to the same degree as the laws of the United States.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generally require our employees, certain customers and partners to enter into confidentiality and non-disclosure agreements before we disclose any confidential aspect of our technology, services, or business. In addition, our employees are required to assign to us any proprietary information, inventions, or other technology created during the term of their employment with us. However, these precautions may not be sufficient to protect us from misappropriation or infringement of our intellectual property.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of December 31, 2014, we had 165 full-time employees. Of these employees, 91 were located in our Salt Lake City locations, 51 in other U.S. locations, and 23 in locations outside the U.S. None of our employees are subject to a collective bargaining agreement and we believe our relationship with our employees is good. We also hire contractors with specific skill sets to meet our operational needs.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Investors should carefully consider the risks described below. The risks described below are not the only ones we face and there are risks that we are not presently aware of or that we currently believe are immaterial that may also impair our business operations. Any of these risks could harm our business. The trading price of our common stock could decline significantly due to any of these risks, and investors may lose all or part of their investment. In assessing these risks, investors should also refer to the other information contained or incorporated by reference in this annual report on Form 10-K, including our consolidated financial statements and related notes.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Business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0000FF"/>
        </w:rPr>
        <w:t>We face intense competition in all markets for our products and services and our operating results will be adversely affected if we cannot compete effectively against other companies.</w:t>
      </w:r>
    </w:p>
    <w:p>
      <w:pPr>
        <w:spacing w:after="0" w:line="62"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markets for our products and services are characterized by intense competition, pricing pressures and rapid technological change. Our competitive landscape continues to rapidly evolve, in particular with respect to our video-related services and products, as we move into new markets for video collaboration such as mobile, social and cloud-delivered video. We compete with businesses having substantially greater financial, research and product development, manufacturing, marketing, and other</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360"/>
          </w:cols>
          <w:pgMar w:left="240" w:top="122" w:right="29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1A - RISK FACTORS</w:t>
      </w:r>
    </w:p>
    <w:p>
      <w:pPr>
        <w:spacing w:after="0" w:line="236"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resources than we do. If we are not able to continually design, manufacture, and successfully introduce new or enhanced products or services that are comparable or superior to those provided by our competitors and at comparable or better prices, we could experience pricing pressures and reduced sales, gross profit margins, profits, and market share, each of which could have a materially adverse effect on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Difficulties in estimating customer demand in our products segment could harm our profit margins.</w:t>
      </w:r>
    </w:p>
    <w:p>
      <w:pPr>
        <w:spacing w:after="0" w:line="11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Orders from our distributors and other distribution participants are based on demand from end-users. Prospective end-user demand is difficult to measure. This means that our revenue during any fiscal quarter could be adversely impacted by low end-user demand, which could in turn negatively affect orders we receive from distributors and dealers. Our expectations for both short and long-term future net revenues are based on our own estimates of future demand. Revenue for any particular time period is difficult to predict with any degree of certainty. We typically ship products within a short time after we receive an order; consequently, unshipped backlog has not historically been a good indicator of future revenue. We believe that the level of backlog is dependent in part on our ability to forecast revenue mix and plan our manufacturing accordingly. A significant portion of our customers’ orders are received during the last month of the quarter. We budget the amount of our expenses based on our revenue estimates. If our estimates of sales are not accurate and we experience unforeseen variability in our revenue and operating results, we may be unable to adjust our expense levels accordingly and our gross profit and results of operations will be adversely affected. Higher inventory levels or stock shortages may also result from difficulties in estimating customer demand.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Our sales depend to a certain extent on government funding and regulation.</w:t>
      </w:r>
    </w:p>
    <w:p>
      <w:pPr>
        <w:spacing w:after="0" w:line="11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In the audio conferencing products market, the revenue generated from sales of our audio conferencing products for distance learning and courtroom facilities depends on government funding. In the event government funding for such initiatives was reduced or became unavailable, our sales could be negatively impacted. Additionally, many of our products are subject to governmental regulations. New regulations could impact sales in a materially adverse manner.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Environmental laws and regulations subject us to a number of risks and could result in significant costs and impact on revenue.</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Regulations regarding the materials used in manufacturing, the process of disposing of electronic equipment and the efficient use of energy require us to take additional time to obtain regulatory approvals of new products in international markets. Such regulations may impact our ability to expand our sales in a timely and cost-effective manner and, as a result, our business could be harmed.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Our profitability may be adversely affected by our continuing dependence on our distribution channels.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market our products primarily through a network of distributors who in turn sell our products to value-added resellers. All of our agreements with such distributors and other distribution participants are non-exclusive, terminable at will by either party, and generally short-term. No assurances can be given that any or all such distributors or other distribution participants will continue their relationship with us. Distributors and, to a lesser extent, value-added resellers cannot easily be replaced and any loss of revenues from these and other sources or our inability to reduce expenses to compensate for such loss of revenue could adversely affect our net revenue and profit margins.</w:t>
      </w:r>
    </w:p>
    <w:p>
      <w:pPr>
        <w:spacing w:after="0" w:line="18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Although we rely on our distribution channels to sell our products, our distributors and other distribution participants are not obligated to devote any specified amount of time, resources, or efforts to the marketing of our products, or to sell a specified number of our products. There are no prohibitions on distributors or other resellers offering products that are competitive with our products, and some do offer competitive products. The support of our products by distributors and other distribution participants may depend on the competitive strength of our products and the price incentives we offer for their support. If our distributors and other distribution participants are not committed to our products, our revenue and profit margins may be adversely affected.</w:t>
      </w:r>
    </w:p>
    <w:p>
      <w:pPr>
        <w:spacing w:after="0" w:line="15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Additionally, we offer our distributors price protection on their inventory of our products. If we reduce the list price of our products, we will compensate our distributors for the respective products that remain in their inventory on the date the price adjustment becomes effective, provided that they have taken delivery of the products within the last 35 days. Our net revenue and profit margins could be adversely affected if we reduce product prices significantly or distributors happen to have significant on-hand inventory of the affected product at the time of a price reduction. Further, if we do not have sufficient cash resources to compensate distributors on terms satisfactory to them or us, our price protection obligations may prevent us from reacting quickly to changing market conditions.</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400"/>
          </w:cols>
          <w:pgMar w:left="240" w:top="121" w:right="25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1A - RISK FACTORS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Product development delays or defects could harm our competitive position and reduce our revenue.</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in the past experienced, and may again experience, technical difficulties and delays with the development and introduction of new products. Many of the products we develop contain sophisticated and complicated circuitry, software and components and utilize manufacturing techniques involving new technologies. Potential difficulties in the development process that we may experience include the following: (a) meeting required specifications and regulatory standards; (b) hiring and keeping a sufficient number of skilled developers; (c) meeting market expectations for performance; (d) obtaining prototype products at anticipated cost levels; (e) having the ability to identify problems or product defects in the development cycle; and (f) achieving necessary manufacturing efficiencies.</w:t>
      </w:r>
    </w:p>
    <w:p>
      <w:pPr>
        <w:spacing w:after="0" w:line="193"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Once new products reach the market, they may have defects, or may be met by unanticipated new competitive products, which could adversely affect market acceptance of these products and our reputation. If we are not able to manage and minimize such potential difficulties, our business and results of operations could be negatively affected.</w:t>
      </w:r>
    </w:p>
    <w:p>
      <w:pPr>
        <w:spacing w:after="0" w:line="18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i w:val="1"/>
          <w:iCs w:val="1"/>
          <w:color w:val="0000FF"/>
        </w:rPr>
        <w:t>We rely on reporting of distribution channel inventory by our distributors to recognize revenue from product sales to them, which could turn out to be inaccurate.</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defer recognition of revenue from product sales to distributors until the return privilege has expired, which approximates when product is sold-through to customers of our distributors. At each quarter-end, we evaluate the inventory in the channel through information provided by our distributors. We use this information to determine the amount of inventory in the channel, and the appropriate revenue and cost of goods sold associated with those channel products. We cannot guarantee that the third party data as reported will be accurate. We sample test the inventory of a limited number of distributors on an annual basis, most recently in the fourth quarter of 2014, to gain a comfort level of inventory levels reported, however, inventory levels could contain inaccuracies for items we do not sample.</w:t>
      </w:r>
    </w:p>
    <w:p>
      <w:pPr>
        <w:spacing w:after="0" w:line="19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i w:val="1"/>
          <w:iCs w:val="1"/>
          <w:color w:val="0000FF"/>
        </w:rPr>
        <w:t>We depend on an outsourced manufacturing strategy, and any disruption in outsourced services could negatively impact our product availability and revenues.</w:t>
      </w:r>
    </w:p>
    <w:p>
      <w:pPr>
        <w:spacing w:after="0" w:line="6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outsource the manufacturing of all of our products to electronics manufacturing services ("EMS") providers located in both the U.S. and Asia. If any of these EMS providers experience (i) difficulties in obtaining sufficient supplies of components, (ii) component prices significantly exceeding anticipated costs,</w:t>
      </w:r>
    </w:p>
    <w:p>
      <w:pPr>
        <w:ind w:right="100" w:firstLine="8"/>
        <w:spacing w:after="0" w:line="270" w:lineRule="auto"/>
        <w:tabs>
          <w:tab w:leader="none" w:pos="315" w:val="left"/>
        </w:tabs>
        <w:numPr>
          <w:ilvl w:val="0"/>
          <w:numId w:val="8"/>
        </w:numPr>
        <w:rPr>
          <w:rFonts w:ascii="Arial" w:cs="Arial" w:eastAsia="Arial" w:hAnsi="Arial"/>
          <w:sz w:val="17"/>
          <w:szCs w:val="17"/>
          <w:color w:val="auto"/>
        </w:rPr>
      </w:pPr>
      <w:r>
        <w:rPr>
          <w:rFonts w:ascii="Arial" w:cs="Arial" w:eastAsia="Arial" w:hAnsi="Arial"/>
          <w:sz w:val="17"/>
          <w:szCs w:val="17"/>
          <w:color w:val="auto"/>
        </w:rPr>
        <w:t>an interruption in their operations, or (iv) otherwise suffers capacity constraints, we could experience a delay in production and shipping of these products, which would have a negative impact on our revenue. Should there be any disruption in services due to natural disaster, economic or political difficulties, transportation restrictions, acts of terror, quarantines or other restrictions associated with infectious diseases, or other similar events, or any other reason, such disruption could have a material adverse effect on our business. Operating in the international outsourcing environment exposes us to certain inherent risks, including unexpected changes in regulatory requirements and tariffs, and potentially adverse tax consequences, which could materially affect our results of operations. Currently, we have no second source of manufacturing for a portion of our products.</w:t>
      </w:r>
    </w:p>
    <w:p>
      <w:pPr>
        <w:spacing w:after="0" w:line="17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Switching from one EMS provider to another is an expensive, difficult and a time consuming process, with serious risks to our ability to successfully transfer our manufacturing operations. Our operations, and consequently our revenues and profitability, could be materially adversely affected if we are forced to switch from any of our EMS providers to another EMS provider due to any of a number of factors, including financial difficulties faced by the manufacturer, disagreements in pricing negotiations between us and the manufacturer or organizational changes in the manufacturer.</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cost of delivered product from our EMS providers is a direct function of their ability to buy components at a competitive price and to realize efficiencies and economies of scale within their overall business structures. If they are unsuccessful in driving efficient cost models, our delivered costs could rise, affecting our profitability and ability to compete. In addition, if the EMS providers are unable to achieve greater operational efficiencies, delivery schedules for new product development and current product delivery could be negatively impacted.</w:t>
      </w:r>
    </w:p>
    <w:p>
      <w:pPr>
        <w:spacing w:after="0" w:line="22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Recent regulatory requirements regarding the use of “conflict minerals” could affect the sourcing and availability of raw materials to our EMS providers in the manufacture of certain of our products. We may be subject to costs associated with the new regulations, including for the diligence pertaining to the presence of any conflict minerals used in our products and the cost of remediation and other changes to products, processes, or sources of supply as a consequence of such verification activities. The impact of the regulations may result in a limited pool of suppliers who provide conflict free minerals, and we cannot assure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400"/>
          </w:cols>
          <w:pgMar w:left="240" w:top="122" w:right="25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1A - RISK FACTORS</w:t>
      </w:r>
    </w:p>
    <w:p>
      <w:pPr>
        <w:spacing w:after="0" w:line="236"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you that we will be able to obtain products in sufficient quantities or at competitive prices. We may face reputational challenges with our customers and other stakeholders if we are unable to sufficiently verify the origins for the metals used in the products we sell. As a result, we may not be able to obtain the materials necessary to manufacture our products, which could force us to cease production or search for alternative supply sources, possibly at a higher cost. Such disruptions may have a material adverse effect on our business, financial condition, results of operations and cash flows.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i w:val="1"/>
          <w:iCs w:val="1"/>
          <w:color w:val="0000FF"/>
        </w:rPr>
        <w:t>Global economic conditions have adversely affected our business in the past and could adversely affect our revenues and harm our business in the future.</w:t>
      </w:r>
    </w:p>
    <w:p>
      <w:pPr>
        <w:spacing w:after="0" w:line="12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Adverse economic conditions worldwide have contributed to slowdowns in the communications industry and have caused a negative impact on the specific segments and markets in which we operate. Adverse changes in general global economic conditions can result in reductions in capital expenditures by end-user customers for our products, longer sales cycles, the deferral or delay of purchase commitments for our products and increased competition. These factors have adversely impacted our operating results in prior periods and could also impact us again in the future. Global economic concerns, such as the varying pace of global economic recovery, European and domestic debt and budget issues, the slowdown in economic growth in large emerging markets such as China and India, and international currency fluctuations, may continue to create uncertainty and unpredictability in the global and national economy. A global economic downturn would negatively impact technology spending for our products and services and could materially adversely affect our business, operating results and financial condition. Further, global economic conditions may result in a tightening in the credit markets, low liquidity levels in many financial markets, decrease in customer demand and ability to pay obligations, and extreme volatility in credit, equity, foreign currency and fixed income markets.</w:t>
      </w:r>
    </w:p>
    <w:p>
      <w:pPr>
        <w:spacing w:after="0" w:line="11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Such adverse economic conditions could negatively impact our business, particularly our revenue potential, potentially causing losses on investments and the collectability of our accounts receivable. These factors potentially include: the inability of our customers to obtain credit to finance purchases of our products and services, customer or partner insolvencies or bankruptcies, decreased customer confidence to make purchasing decisions resulting in delays in their purchasing decisions, decreased customer demand or demand for lower-end products, or decreased customer ability to pay their obligations when they become due to us.</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0000FF"/>
        </w:rPr>
        <w:t>We are a smaller company than some of our competitors and may be more susceptible to market fluctuations, other adverse events, increased costs and less favorable purchasing terms.</w:t>
      </w:r>
    </w:p>
    <w:p>
      <w:pPr>
        <w:spacing w:after="0" w:line="6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Since we are a relatively small company, there is a risk that we may be more susceptible to market fluctuations and other adverse events. In particular, we may be more susceptible to reductions in government and corporate spending from our government and enterprise customers. We may also experience increased costs and less favorable terms from our suppliers than some of our larger competitors who may have greater leverage in their purchasing spend. Any of these outcomes could result in loss of sales or our products being more costly to manufacture and thus less competitive. Any such unfavorable market fluctuations, reductions in customer spending or increased manufacturing costs could have a negative impact on our business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Difficulties in integrating past or future acquisitions could adversely affect our business.</w:t>
      </w:r>
    </w:p>
    <w:p>
      <w:pPr>
        <w:spacing w:after="0" w:line="11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acquired NetStreams, a pioneer in digital media networks based on Internet Protocol (TCP/IP), in November 2009, MagicBox, a leading provider of digital signage services, in September 2011, and substantially all of the assets of VCON Video Conferencing, Ltd, a high-performance, end-to-end, software video conferencing solutions company in Israel, in 2012. On March 7, 2014, we completed the acquisition of Sabine, Inc. to provide the company with reliable and exclusive access to the supply of wireless microphones that are a critical component of ClearOne’s complete microphone portfolio. On April 1, 2014 we completed the acquisition of Spontania, from Spain-based Dialcom Networks, S.L., which provides us with a software-based cloud collaboration solution. The efficient and effective integration of these businesses and product lines into our organization is important to our growth.</w:t>
      </w:r>
    </w:p>
    <w:p>
      <w:pPr>
        <w:spacing w:after="0" w:line="16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Any acquisition involves numerous risks and challenges, including difficulties and time involved in integrating the operations, technologies and products of the acquired companies, entering new business or product lines, the diversion of our management's attention from other business concerns, geographic dispersion of operations, generating market demand for expanded product lines and the potential loss of key customers or employees of an acquired company. Failure to achieve the anticipated benefits of these and any future acquisitions or to successfully integrate the operations of these or any other companies or assets we acquire, could also harm our business, results of operations and cash flows. Additionally, we cannot</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380"/>
          </w:cols>
          <w:pgMar w:left="240" w:top="122" w:right="27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1A - RISK FACTORS</w:t>
      </w:r>
    </w:p>
    <w:p>
      <w:pPr>
        <w:spacing w:after="0" w:line="23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assure you that we will not incur material charges in future periods to reflect additional costs associated with these acquisitions or any future acquisitions we may make.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Conditions in Israel and the Middle East may affect the operations of our subsidiary in Israel.</w:t>
      </w:r>
    </w:p>
    <w:p>
      <w:pPr>
        <w:spacing w:after="0" w:line="11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We have recently formed a subsidiary located in Israel in connection with the acquisition of the assets of VCON Video Conferencing, Ltd. Political, economic, security and military conditions in the Middle East in general, and in Israel in particular, directly affect our Israeli subsidiary’s operations. Since the establishment of the State of Israel in 1948, a number of armed conflicts have taken place between Israel and its Arab neighbors and a state of hostility, varying in degree and intensity, has led to security and economic problems for Israel. Despite negotiations to effect peace between Israel and its Arab neighbors, the future of these peace efforts is uncertain.</w:t>
      </w:r>
    </w:p>
    <w:p>
      <w:pPr>
        <w:spacing w:after="0" w:line="188"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Recent social unrest in various countries in the Middle East have led to severe political instability in those countries. This continuing instability may lead to deterioration of the political and trade relationships that exist between the State of Israel and these countries. In addition, this instability may affect the economy in the Middle East as well as the global economy and marketplace. Any armed conflicts or political instability in the region, including acts of terrorism or any other hostilities involving or threatening Israel, would likely negatively affect business conditions and could make it more difficult for us to conduct our operations in Israel, which could increase our costs and adversely affect our financial results.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Product obsolescence could harm demand for our products and could adversely affect our revenue and our results of operations.</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Our industry is subject to technological innovations that could render existing technologies in our products obsolete and thereby decrease market demand for such products. If any of our products becomes slow-moving or obsolete and the recorded value of our inventory is greater than its market value, we will be required to write down the value of our inventory to its fair market value, which would adversely affect our results of operations. In limited circumstances, we are required to purchase components that our outsourced manufacturers use to produce and assemble our products. Should technological innovations render these components obsolete, we will be required to write down the value of this inventory, which could adversely affect our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If we are unable to protect our intellectual property rights or have insufficient proprietary rights, our business would be materially impaired.</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currently rely primarily on a combination of trade secrets, copyrights, trademarks, patents, patents pending, and nondisclosure agreements to establish and protect our proprietary rights in our products. No assurances can be given that others will not independently develop technologies similar to ours, or duplicate or design around aspects of our technology. In addition, we cannot assure that any patent or registered trademark owned by us will not be invalidated, circumvented or challenged, or that the rights granted thereunder will provide competitive advantages to us. Costly litigation may be necessary to enforce our intellectual property rights. We believe our products and other proprietary rights do not infringe upon any proprietary rights of third parties; however, we cannot ensure that third parties will not assert infringement claims in the future. Our industry is characterized by vigorous protection of intellectual property rights. Such claims and the resulting litigation can be expensive and could divert our attention, regardless of the merit of such claims. In the event of a successful claim, we might be required to license third-party technology or redesign our products, which may not be possible or economically feasible.</w:t>
      </w:r>
    </w:p>
    <w:p>
      <w:pPr>
        <w:spacing w:after="0" w:line="16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currently hold only a limited number of patents. To the extent that we have patentable technology for which we have not filed patent applications, others may be able to use such technology or even gain priority over us by patenting such technology themselves. With respect to any patent application we have filed, we cannot ensure that a patent will be awarded.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International sales account for a significant portion of our net revenue and risks inherent in international sales could harm our business.</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International sales represent a significant portion of our total product revenue. We anticipate that the portion of our total product revenue from international sales will continue to increase as we further enhance our focus on developing new products for new markets, establishing new distribution partners, strengthening our presence in emerging economies, and improving product localization with country-specific product documentation and marketing materials. Our international business is subject to the financial and operating risks of conducting business internationally, including the following:</w:t>
      </w:r>
    </w:p>
    <w:p>
      <w:pPr>
        <w:spacing w:after="0" w:line="154" w:lineRule="exact"/>
        <w:rPr>
          <w:sz w:val="20"/>
          <w:szCs w:val="20"/>
          <w:color w:val="auto"/>
        </w:rPr>
      </w:pPr>
    </w:p>
    <w:p>
      <w:pPr>
        <w:ind w:left="5540" w:right="4020" w:hanging="5208"/>
        <w:spacing w:after="0" w:line="684" w:lineRule="auto"/>
        <w:tabs>
          <w:tab w:leader="none" w:pos="653" w:val="left"/>
        </w:tabs>
        <w:numPr>
          <w:ilvl w:val="0"/>
          <w:numId w:val="9"/>
        </w:numPr>
        <w:rPr>
          <w:rFonts w:ascii="Arial" w:cs="Arial" w:eastAsia="Arial" w:hAnsi="Arial"/>
          <w:sz w:val="18"/>
          <w:szCs w:val="18"/>
          <w:color w:val="auto"/>
        </w:rPr>
      </w:pPr>
      <w:r>
        <w:rPr>
          <w:rFonts w:ascii="Arial" w:cs="Arial" w:eastAsia="Arial" w:hAnsi="Arial"/>
          <w:sz w:val="18"/>
          <w:szCs w:val="18"/>
          <w:color w:val="auto"/>
        </w:rPr>
        <w:t>unexpected changes in, or the imposition of, additional legislative or regulatory requirements; | 13 |</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 RISK FACTORS</w:t>
      </w:r>
    </w:p>
    <w:p>
      <w:pPr>
        <w:spacing w:after="0" w:line="236"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unique or more onerous environmental regulations;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fluctuating exchange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tariffs and other barriers;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staffing and managing foreign sales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import and export restrictions;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difficulties in accounts receivable collection and longer payment cycles;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hostilities and changes in diplomatic and trade relationships; and</w:t>
      </w:r>
    </w:p>
    <w:p>
      <w:pPr>
        <w:spacing w:after="0" w:line="117"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disruption in services due to natural disaster, economic or political difficulties, transportation, quarantines or other restrictions associated with infectious diseases.</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0000FF"/>
        </w:rPr>
        <w:t>We may not be able to hire and retain qualified key and highly-skilled technical employees, which could affect our ability to compete effectively and may cause our revenue and profitability to decline.</w:t>
      </w:r>
    </w:p>
    <w:p>
      <w:pPr>
        <w:spacing w:after="0" w:line="6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depend on our ability to hire and retain qualified key and highly skilled employees to manage, research and develop, market, and service new and existing products. Competition for such key and highly-skilled employees is intense, and we may not be successful in attracting or retaining such personnel. To succeed, we must hire and retain employees who are highly skilled in the rapidly changing communications and Internet technologies. Individuals who have the skills and can perform the services we need to provide our products and services are in great demand. Because the competition for qualified employees in our industry is intense, hiring and retaining employees with the skills we need is both time-consuming and expensive. We may not be able to hire enough skilled employees or retain the employees we do hire. In addition, provisions of the Sarbanes-Oxley Act of 2002 and related rules of the SEC impose heightened personal liability on some of our key employees. The threat of such liability could make it more difficult to identify, hire and retain qualified key and highly-skilled employees. We have relied on our ability to grant stock options as a means of recruiting and retaining key employees. Accounting regulations requiring the expensing of stock options will impair our future ability to provide these incentives without incurring associated compensation costs. If we are unable to hire and retain employees with the skills we seek, our ability to sell our existing products, systems, or services or to develop new products, systems, or services could be hindered with a consequent adverse effect on our business, results of operations, financial position, or liquidity.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We rely on third-party technology and license agreements, the loss of any of which could negatively impact our business.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licensing agreements with various suppliers for software and hardware incorporated into our products. These third-party licenses may not continue to be available to us on commercially reasonable terms, if at all. The termination or impairment of these licenses could result in delays of current product shipments or delays or reductions in new product introductions until equivalent designs can be developed, licensed, and integrated, if at all possible, which would have a material adverse effect on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We may have difficulty in collecting outstanding receivables.</w:t>
      </w:r>
    </w:p>
    <w:p>
      <w:pPr>
        <w:spacing w:after="0" w:line="117" w:lineRule="exact"/>
        <w:rPr>
          <w:sz w:val="20"/>
          <w:szCs w:val="20"/>
          <w:color w:val="auto"/>
        </w:rPr>
      </w:pPr>
    </w:p>
    <w:p>
      <w:pPr>
        <w:jc w:val="both"/>
        <w:ind w:right="260"/>
        <w:spacing w:after="0" w:line="279" w:lineRule="auto"/>
        <w:rPr>
          <w:sz w:val="20"/>
          <w:szCs w:val="20"/>
          <w:color w:val="auto"/>
        </w:rPr>
      </w:pPr>
      <w:r>
        <w:rPr>
          <w:rFonts w:ascii="Arial" w:cs="Arial" w:eastAsia="Arial" w:hAnsi="Arial"/>
          <w:sz w:val="17"/>
          <w:szCs w:val="17"/>
          <w:color w:val="auto"/>
        </w:rPr>
        <w:t>We grant credit to substantially all of our customers without requiring collateral. In times of economic uncertainty, the risks relating to the granting of such credit will typically increase. Although we monitor and mitigate the risks associated with our credit policies, we cannot ensure that such mitigation will be effective. We have experienced losses due to customers failing to meet their obligations. Future losses could be significant and, if incurred, could harm our business and have a material adverse effect on our operating results and financial position.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Interruptions to our business could adversely affect our operations.</w:t>
      </w:r>
    </w:p>
    <w:p>
      <w:pPr>
        <w:spacing w:after="0" w:line="11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As with any company, our operations are at risk of being interrupted by earthquake, fire, flood, and other natural and human-caused disasters, including disease and terrorist attacks. Our operations are also at risk of power loss, telecommunications failure, human error, physical or electronic security breaches and computer viruses (which could leave us vulnerable to the loss of confidential proprietary information as well as disruption of our business activities) and other infrastructure and technology based problems. To help guard against such risks, we carry business interruption loss insurance to help compensate us for losses that may occur, but we cannot assure that such coverage would protect us from all such possible losses.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ITEM 1A - RISK FACTORS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Changes in our tax rates could adversely affect our future results.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a U.S. based company subject to tax in U.S. and foreign tax jurisdictions. Unanticipated changes in our tax rates could affect our future results of operations. Our future effective tax rates, which are difficult to predict, could be unfavorably affected by changes in, or interpretation of, tax rules and regulations in the jurisdictions in which we do business, by unanticipated decreases in the amount of revenue or earnings in countries with low statutory tax rates, by changes in the valuation of our deferred tax assets and liabilities, or by lapses of the availability of the U.S. research and development tax credit, which occurred for 2012 but was reinstated on January 2, 2013 retroactively for 2012 expiring December 31, 2013, and was again reinstated on December 19, 2014 retroactively for the 2014 tax year only. Further, the accounting for stock compensation expense in accordance with ASC 718 and uncertain tax positions in accordance with ASC 740 could result in more unpredictability and variability to our future effective tax rates.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Share Ownership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Our stock price fluctuates as a result of the conduct of our business and stock market fluctuations.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market price of our common stock has experienced significant fluctuations and may continue to fluctuate significantly. The market price of our common stock may be significantly affected by a variety of factors, including the following:</w:t>
      </w:r>
    </w:p>
    <w:p>
      <w:pPr>
        <w:spacing w:after="0" w:line="170" w:lineRule="exact"/>
        <w:rPr>
          <w:sz w:val="20"/>
          <w:szCs w:val="20"/>
          <w:color w:val="auto"/>
        </w:rPr>
      </w:pPr>
    </w:p>
    <w:p>
      <w:pPr>
        <w:ind w:left="660" w:right="8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statements or changes in opinions, ratings, or earnings estimates made by brokerage firms or industry analysts relating to the market in which we do business or relating to us specifically;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disparity between our reported results and the projections of analysts;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shift in sales mix of products that we currently sell to a sales mix of lower-gross profit product offerings;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level and mix of inventory held by our distributors;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technological innovations by us or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 in meeting targeted availability dates for new or redesigned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to profitably and efficiently manage our supply of products and key components;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to maintain profitable relationships with our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to maintain an appropriate cost structure;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quarterly variations in our results of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consumer confidence or market conditions, or market conditions specific to technology industry;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domestic and international economic conditions;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unexpected changes in regulatory requirements and tariffs;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report financial information in a timely manner;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markets in which our stock is traded;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integrate the companies we have acquired;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successfully utilize our cash reserves resulting from the settlement of litigation and arbitration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Rights to acquire our common stock could result in dilution to other holders of our common stock.</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of December 31, 2014, there were outstanding options to acquire approximately 1.0 million shares of our common stock at a weighted average exercise price of $5.65 per share. An additional 95,915 shares remain available for grant under our 2007 Equity Incentive Plan. During the terms of these options, the holders thereof will have the opportunity to profit from an increase in the market price of the common stock. The existence of these options may adversely affect the terms on which we can obtain additional financing, and the holders of these options can be expected to exercise such options at a time when we, in all likelihood, would be able to obtain additional capital by offering shares of our common stock on terms more favorable to us than those provided by the exercise of these options.</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400"/>
          </w:cols>
          <w:pgMar w:left="240" w:top="122" w:right="25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1A - RISK FACTORS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The sale of additional shares of our common stock could have a negative effect on the market price of our common stock.</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sale of substantial amounts of our common stock in the public market could adversely affect prevailing market prices and could impair our ability to raise capital through the sale of our equity securities. Most shares of common stock currently outstanding are eligible for sale in the public market, subject in certain cases to compliance with the requirements of Rule 144 under the securities laws. Shares issued upon the exercise of stock options granted under our stock option plan generally will be eligible for sale in the public market. We also have the authority to issue additional shares of common stock and shares of one or more series of preferred stock. The issuance of such shares could dilute the voting power of the currently outstanding shares of our common stock and could dilute earnings per share.</w:t>
      </w:r>
    </w:p>
    <w:p>
      <w:pPr>
        <w:spacing w:after="0" w:line="193"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i w:val="1"/>
          <w:iCs w:val="1"/>
          <w:color w:val="0000FF"/>
        </w:rPr>
        <w:t>We are required to evaluate our internal control over financial reporting under Section 404 of the Sarbanes-Oxley Act of 2002 and any adverse results from such evaluation could result in a loss of investor confidence in our financial reports and have an adverse effect on our stock price.</w:t>
      </w:r>
    </w:p>
    <w:p>
      <w:pPr>
        <w:spacing w:after="0" w:line="14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Pursuant to Section 404 of the Sarbanes-Oxley Act of 2002 (“Section 404”), we are required to furnish a report by our management on our internal control over financial reporting. Such report contains, among other matters,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 Further, we must continue to monitor and assess our internal control over financial reporting. Any future failure of our own internal controls or the internal controls at any of our outsourced manufacturers or partners could result in reported material weaknesses. In addition, our control framework may suffer if we are unable to adapt our control framework appropriately as we continue to grow our business. If we are unable to assert in any future reporting period that our internal control over financial reporting is effective, we could lose investor confidence in the accuracy and completeness of our financial reports, which would have an adverse effect on our stock price, market capitalization, results of operations or financial position or other adverse consequences.</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400"/>
          </w:cols>
          <w:pgMar w:left="240" w:top="122" w:right="25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currently occupy a 31,000 square-foot facility in Salt Lake City, Utah under the terms of an operating lease expiring in May 2016 which supports our principal administrative, sales, marketing, customer support, and research and product development activities.</w:t>
      </w:r>
    </w:p>
    <w:p>
      <w:pPr>
        <w:spacing w:after="0" w:line="170" w:lineRule="exact"/>
        <w:rPr>
          <w:sz w:val="20"/>
          <w:szCs w:val="20"/>
          <w:color w:val="auto"/>
        </w:rPr>
      </w:pPr>
    </w:p>
    <w:p>
      <w:pPr>
        <w:jc w:val="both"/>
        <w:ind w:right="240"/>
        <w:spacing w:after="0" w:line="342" w:lineRule="auto"/>
        <w:rPr>
          <w:sz w:val="20"/>
          <w:szCs w:val="20"/>
          <w:color w:val="auto"/>
        </w:rPr>
      </w:pPr>
      <w:r>
        <w:rPr>
          <w:rFonts w:ascii="Arial" w:cs="Arial" w:eastAsia="Arial" w:hAnsi="Arial"/>
          <w:sz w:val="16"/>
          <w:szCs w:val="16"/>
          <w:color w:val="auto"/>
        </w:rPr>
        <w:t>We occupy a 46,000 square-foot manufacturing facility in Alachua, Florida under the terms of an operation lease expiring in March 2016 with an option to extend the lease by two years. The Alachua facility is used primarily to manufacture our wireless microphone products and to support this line of business.</w:t>
      </w:r>
    </w:p>
    <w:p>
      <w:pPr>
        <w:spacing w:after="0" w:line="124"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We occupy a 40,000 square-foot warehouse in Salt Lake City, Utah under the terms of an operating lease expiring in December 2017, which serves as our primary inventory fulfillment and repair center. This facility also serves as our assembly workshop for digital signage products.</w:t>
      </w:r>
    </w:p>
    <w:p>
      <w:pPr>
        <w:spacing w:after="0" w:line="14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occupy a 7,070 square-foot facility in Austin, Texas under the terms of an operating lease expiring in October 2019 which serves as an additional facility to support our administrative, sales, marketing, customer support, and research and development activities. Our lease for a 11,100 square-foot facility in Austin, Texas under the terms of an operating lease expiring in August 2016 is still in place while we search for a sub-lease arrangement.</w:t>
      </w:r>
    </w:p>
    <w:p>
      <w:pPr>
        <w:spacing w:after="0" w:line="16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leased approximately 5,600 square-feet of warehouse space in Hong Kong to support our partners and customers located in the Asia-Pacific region. This operating lease expired in February 2014 and has not been renewed.</w:t>
      </w:r>
    </w:p>
    <w:p>
      <w:pPr>
        <w:spacing w:after="0" w:line="17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lease a 4,700 square-foot office facility in Hod Hasharon, Israel under the terms of an operating lease expiring in December 2015 which serves to support our research and development activities. Upon expiration, we will have the option to extend the lease for two to four additional years. The prior 1,000 square-foot warehouse lease expired in August 2013 and was not renewed.</w:t>
      </w:r>
    </w:p>
    <w:p>
      <w:pPr>
        <w:spacing w:after="0" w:line="181"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We also occupy a 310 square-foot office space in Corvallis, Oregon under an initial lease that expired in July 2014 and is currently leased on a month-to-month basis. This space is leased to support our digital signage business operations and research and development activities.</w:t>
      </w:r>
    </w:p>
    <w:p>
      <w:pPr>
        <w:spacing w:after="0" w:line="14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believe our current facilities are adequate to meet our needs for the foreseeable future and that suitable additional or alternative space will be available in the future on commercially reasonable terms as needed.</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See </w:t>
      </w:r>
      <w:hyperlink w:anchor="page52">
        <w:r>
          <w:rPr>
            <w:rFonts w:ascii="Arial" w:cs="Arial" w:eastAsia="Arial" w:hAnsi="Arial"/>
            <w:sz w:val="18"/>
            <w:szCs w:val="18"/>
            <w:u w:val="single" w:color="auto"/>
            <w:color w:val="0000EE"/>
          </w:rPr>
          <w:t>Note 8 – Commitments and Contingencies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Consolidated Financial Statements (Part II, Item 8) for information regarding legal proceedings in which we are involved, which is incorporated in this Item 3 by reference.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400"/>
          </w:cols>
          <w:pgMar w:left="240" w:top="122" w:right="25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Our common stock has traded on the NASDAQ Capital Market under the symbol CLRO since August 14, 2007. The following table sets forth high and low sale prices (or high and low bid quotations) of our common stock for each fiscal quarter indicated as reported on the NASDAQ Capital Market.</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0" w:type="dxa"/>
            <w:vAlign w:val="bottom"/>
            <w:gridSpan w:val="4"/>
          </w:tcPr>
          <w:p>
            <w:pPr>
              <w:jc w:val="right"/>
              <w:ind w:right="474"/>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2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28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w w:val="84"/>
              </w:rPr>
              <w:t>2014</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w w:val="84"/>
              </w:rPr>
              <w:t>2013</w:t>
            </w:r>
          </w:p>
        </w:tc>
        <w:tc>
          <w:tcPr>
            <w:tcW w:w="1120" w:type="dxa"/>
            <w:vAlign w:val="bottom"/>
          </w:tcPr>
          <w:p>
            <w:pPr>
              <w:spacing w:after="0"/>
              <w:rPr>
                <w:sz w:val="20"/>
                <w:szCs w:val="20"/>
                <w:color w:val="auto"/>
              </w:rPr>
            </w:pPr>
          </w:p>
        </w:tc>
      </w:tr>
      <w:tr>
        <w:trPr>
          <w:trHeight w:val="33"/>
        </w:trPr>
        <w:tc>
          <w:tcPr>
            <w:tcW w:w="280" w:type="dxa"/>
            <w:vAlign w:val="bottom"/>
            <w:tcBorders>
              <w:bottom w:val="single" w:sz="8" w:color="CCEEFF"/>
            </w:tcBorders>
          </w:tcPr>
          <w:p>
            <w:pPr>
              <w:spacing w:after="0"/>
              <w:rPr>
                <w:sz w:val="2"/>
                <w:szCs w:val="2"/>
                <w:color w:val="auto"/>
              </w:rPr>
            </w:pPr>
          </w:p>
        </w:tc>
        <w:tc>
          <w:tcPr>
            <w:tcW w:w="4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8"/>
        </w:trPr>
        <w:tc>
          <w:tcPr>
            <w:tcW w:w="280" w:type="dxa"/>
            <w:vAlign w:val="bottom"/>
            <w:shd w:val="clear" w:color="auto" w:fill="CCEEFF"/>
          </w:tcPr>
          <w:p>
            <w:pPr>
              <w:spacing w:after="0"/>
              <w:rPr>
                <w:sz w:val="22"/>
                <w:szCs w:val="22"/>
                <w:color w:val="auto"/>
              </w:rPr>
            </w:pPr>
          </w:p>
        </w:tc>
        <w:tc>
          <w:tcPr>
            <w:tcW w:w="486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14"/>
              <w:spacing w:after="0"/>
              <w:rPr>
                <w:sz w:val="20"/>
                <w:szCs w:val="20"/>
                <w:color w:val="auto"/>
              </w:rPr>
            </w:pPr>
            <w:r>
              <w:rPr>
                <w:rFonts w:ascii="Arial" w:cs="Arial" w:eastAsia="Arial" w:hAnsi="Arial"/>
                <w:sz w:val="14"/>
                <w:szCs w:val="14"/>
                <w:b w:val="1"/>
                <w:bCs w:val="1"/>
                <w:color w:val="auto"/>
              </w:rPr>
              <w:t>High</w:t>
            </w:r>
          </w:p>
        </w:tc>
        <w:tc>
          <w:tcPr>
            <w:tcW w:w="1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4"/>
                <w:szCs w:val="14"/>
                <w:b w:val="1"/>
                <w:bCs w:val="1"/>
                <w:color w:val="auto"/>
              </w:rPr>
              <w:t>Low</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414"/>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4"/>
                <w:szCs w:val="14"/>
                <w:b w:val="1"/>
                <w:bCs w:val="1"/>
                <w:color w:val="auto"/>
              </w:rPr>
              <w:t>Low</w:t>
            </w:r>
          </w:p>
        </w:tc>
      </w:tr>
      <w:tr>
        <w:trPr>
          <w:trHeight w:val="243"/>
        </w:trPr>
        <w:tc>
          <w:tcPr>
            <w:tcW w:w="280" w:type="dxa"/>
            <w:vAlign w:val="bottom"/>
          </w:tcPr>
          <w:p>
            <w:pPr>
              <w:ind w:left="40"/>
              <w:spacing w:after="0"/>
              <w:rPr>
                <w:sz w:val="20"/>
                <w:szCs w:val="20"/>
                <w:color w:val="auto"/>
              </w:rPr>
            </w:pPr>
            <w:r>
              <w:rPr>
                <w:rFonts w:ascii="Arial" w:cs="Arial" w:eastAsia="Arial" w:hAnsi="Arial"/>
                <w:sz w:val="18"/>
                <w:szCs w:val="18"/>
                <w:color w:val="auto"/>
                <w:w w:val="91"/>
              </w:rPr>
              <w:t>Q1</w:t>
            </w:r>
          </w:p>
        </w:tc>
        <w:tc>
          <w:tcPr>
            <w:tcW w:w="4860" w:type="dxa"/>
            <w:vAlign w:val="bottom"/>
          </w:tcPr>
          <w:p>
            <w:pPr>
              <w:ind w:left="20"/>
              <w:spacing w:after="0"/>
              <w:rPr>
                <w:sz w:val="20"/>
                <w:szCs w:val="20"/>
                <w:color w:val="auto"/>
              </w:rPr>
            </w:pPr>
            <w:r>
              <w:rPr>
                <w:rFonts w:ascii="Arial" w:cs="Arial" w:eastAsia="Arial" w:hAnsi="Arial"/>
                <w:sz w:val="18"/>
                <w:szCs w:val="18"/>
                <w:color w:val="auto"/>
              </w:rPr>
              <w:t>- Jan 1 to Mar 31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14.30</w:t>
            </w:r>
          </w:p>
        </w:tc>
        <w:tc>
          <w:tcPr>
            <w:tcW w:w="5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8.95</w:t>
            </w:r>
          </w:p>
        </w:tc>
        <w:tc>
          <w:tcPr>
            <w:tcW w:w="5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4.03</w:t>
            </w:r>
          </w:p>
        </w:tc>
      </w:tr>
      <w:tr>
        <w:trPr>
          <w:trHeight w:val="27"/>
        </w:trPr>
        <w:tc>
          <w:tcPr>
            <w:tcW w:w="2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Q2</w:t>
            </w:r>
          </w:p>
        </w:tc>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Apr 1 to Jun 30</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8.00</w:t>
            </w:r>
          </w:p>
        </w:tc>
      </w:tr>
      <w:tr>
        <w:trPr>
          <w:trHeight w:val="243"/>
        </w:trPr>
        <w:tc>
          <w:tcPr>
            <w:tcW w:w="280" w:type="dxa"/>
            <w:vAlign w:val="bottom"/>
          </w:tcPr>
          <w:p>
            <w:pPr>
              <w:ind w:left="40"/>
              <w:spacing w:after="0"/>
              <w:rPr>
                <w:sz w:val="20"/>
                <w:szCs w:val="20"/>
                <w:color w:val="auto"/>
              </w:rPr>
            </w:pPr>
            <w:r>
              <w:rPr>
                <w:rFonts w:ascii="Arial" w:cs="Arial" w:eastAsia="Arial" w:hAnsi="Arial"/>
                <w:sz w:val="18"/>
                <w:szCs w:val="18"/>
                <w:color w:val="auto"/>
                <w:w w:val="91"/>
              </w:rPr>
              <w:t>Q3</w:t>
            </w:r>
          </w:p>
        </w:tc>
        <w:tc>
          <w:tcPr>
            <w:tcW w:w="4860" w:type="dxa"/>
            <w:vAlign w:val="bottom"/>
          </w:tcPr>
          <w:p>
            <w:pPr>
              <w:ind w:left="20"/>
              <w:spacing w:after="0"/>
              <w:rPr>
                <w:sz w:val="20"/>
                <w:szCs w:val="20"/>
                <w:color w:val="auto"/>
              </w:rPr>
            </w:pPr>
            <w:r>
              <w:rPr>
                <w:rFonts w:ascii="Arial" w:cs="Arial" w:eastAsia="Arial" w:hAnsi="Arial"/>
                <w:sz w:val="18"/>
                <w:szCs w:val="18"/>
                <w:color w:val="auto"/>
              </w:rPr>
              <w:t>- Jul 1 to Sep 30</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7.38</w:t>
            </w:r>
          </w:p>
        </w:tc>
      </w:tr>
      <w:tr>
        <w:trPr>
          <w:trHeight w:val="27"/>
        </w:trPr>
        <w:tc>
          <w:tcPr>
            <w:tcW w:w="2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Q4</w:t>
            </w:r>
          </w:p>
        </w:tc>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Oct 1 to Dec 31</w:t>
            </w:r>
          </w:p>
        </w:tc>
        <w:tc>
          <w:tcPr>
            <w:tcW w:w="3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7.47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8.02</w:t>
            </w:r>
          </w:p>
        </w:tc>
      </w:tr>
      <w:tr>
        <w:trPr>
          <w:trHeight w:val="27"/>
        </w:trPr>
        <w:tc>
          <w:tcPr>
            <w:tcW w:w="280" w:type="dxa"/>
            <w:vAlign w:val="bottom"/>
            <w:shd w:val="clear" w:color="auto" w:fill="CCEEFF"/>
          </w:tcPr>
          <w:p>
            <w:pPr>
              <w:spacing w:after="0"/>
              <w:rPr>
                <w:sz w:val="2"/>
                <w:szCs w:val="2"/>
                <w:color w:val="auto"/>
              </w:rPr>
            </w:pPr>
          </w:p>
        </w:tc>
        <w:tc>
          <w:tcPr>
            <w:tcW w:w="48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On March 20, 2015, the closing price for our common stock as reported on the NASDAQ Capital Market was $10.99.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w:t>
      </w:r>
    </w:p>
    <w:p>
      <w:pPr>
        <w:spacing w:after="0" w:line="121" w:lineRule="exact"/>
        <w:rPr>
          <w:sz w:val="20"/>
          <w:szCs w:val="20"/>
          <w:color w:val="auto"/>
        </w:rPr>
      </w:pPr>
    </w:p>
    <w:p>
      <w:pPr>
        <w:jc w:val="both"/>
        <w:ind w:right="120"/>
        <w:spacing w:after="0" w:line="308" w:lineRule="auto"/>
        <w:rPr>
          <w:sz w:val="20"/>
          <w:szCs w:val="20"/>
          <w:color w:val="auto"/>
        </w:rPr>
      </w:pPr>
      <w:r>
        <w:rPr>
          <w:rFonts w:ascii="Arial" w:cs="Arial" w:eastAsia="Arial" w:hAnsi="Arial"/>
          <w:sz w:val="17"/>
          <w:szCs w:val="17"/>
          <w:color w:val="auto"/>
        </w:rPr>
        <w:t>As of March 20, 2015, there were 9,111,790 shares of our common stock issued and outstanding and held by approximately 329 shareholders of record. This number includes each broker dealer and clearing corporation that holds shares for customers as a single shareholder.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On December 2, 2014, ClearOne, Inc. issued a press release announcing the declaration of future cash dividends by the company's Board of Directors and reported the discontinuance of the stock repurchase program. The first of such dividends was at $0.10 per share of ClearOne common stock, payable on January 5, 2015, to stockholders of record on December 12,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table below summarizes information about our final purchases of our equity securities registered pursuant to Section 12 of the Exchange Act of 1934, as amended, during the quarterly period ended December 31, 2014.</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(c)</w:t>
            </w:r>
          </w:p>
        </w:tc>
        <w:tc>
          <w:tcPr>
            <w:tcW w:w="160" w:type="dxa"/>
            <w:vAlign w:val="bottom"/>
          </w:tcPr>
          <w:p>
            <w:pPr>
              <w:spacing w:after="0"/>
              <w:rPr>
                <w:sz w:val="14"/>
                <w:szCs w:val="14"/>
                <w:color w:val="auto"/>
              </w:rPr>
            </w:pPr>
          </w:p>
        </w:tc>
        <w:tc>
          <w:tcPr>
            <w:tcW w:w="1440" w:type="dxa"/>
            <w:vAlign w:val="bottom"/>
          </w:tcPr>
          <w:p>
            <w:pPr>
              <w:jc w:val="center"/>
              <w:ind w:right="60"/>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(a)</w:t>
            </w:r>
          </w:p>
        </w:tc>
        <w:tc>
          <w:tcPr>
            <w:tcW w:w="300" w:type="dxa"/>
            <w:vAlign w:val="bottom"/>
          </w:tcPr>
          <w:p>
            <w:pPr>
              <w:spacing w:after="0"/>
              <w:rPr>
                <w:sz w:val="12"/>
                <w:szCs w:val="12"/>
                <w:color w:val="auto"/>
              </w:rPr>
            </w:pPr>
          </w:p>
        </w:tc>
        <w:tc>
          <w:tcPr>
            <w:tcW w:w="13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(b)</w:t>
            </w: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Total Number of Shares</w:t>
            </w:r>
          </w:p>
        </w:tc>
        <w:tc>
          <w:tcPr>
            <w:tcW w:w="160" w:type="dxa"/>
            <w:vAlign w:val="bottom"/>
          </w:tcPr>
          <w:p>
            <w:pPr>
              <w:spacing w:after="0"/>
              <w:rPr>
                <w:sz w:val="12"/>
                <w:szCs w:val="12"/>
                <w:color w:val="auto"/>
              </w:rPr>
            </w:pPr>
          </w:p>
        </w:tc>
        <w:tc>
          <w:tcPr>
            <w:tcW w:w="144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Value of Shares that</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1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May Yet be Purchased</w:t>
            </w:r>
          </w:p>
        </w:tc>
        <w:tc>
          <w:tcPr>
            <w:tcW w:w="0" w:type="dxa"/>
            <w:vAlign w:val="bottom"/>
          </w:tcPr>
          <w:p>
            <w:pPr>
              <w:spacing w:after="0"/>
              <w:rPr>
                <w:sz w:val="1"/>
                <w:szCs w:val="1"/>
                <w:color w:val="auto"/>
              </w:rPr>
            </w:pPr>
          </w:p>
        </w:tc>
      </w:tr>
      <w:tr>
        <w:trPr>
          <w:trHeight w:val="149"/>
        </w:trPr>
        <w:tc>
          <w:tcPr>
            <w:tcW w:w="4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Total Number of Shares</w:t>
            </w:r>
          </w:p>
        </w:tc>
        <w:tc>
          <w:tcPr>
            <w:tcW w:w="16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Average Price Paid per</w:t>
            </w: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Publicly Announced</w:t>
            </w:r>
          </w:p>
        </w:tc>
        <w:tc>
          <w:tcPr>
            <w:tcW w:w="160" w:type="dxa"/>
            <w:vAlign w:val="bottom"/>
          </w:tcPr>
          <w:p>
            <w:pPr>
              <w:spacing w:after="0"/>
              <w:rPr>
                <w:sz w:val="12"/>
                <w:szCs w:val="12"/>
                <w:color w:val="auto"/>
              </w:rPr>
            </w:pPr>
          </w:p>
        </w:tc>
        <w:tc>
          <w:tcPr>
            <w:tcW w:w="144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92"/>
        </w:trPr>
        <w:tc>
          <w:tcPr>
            <w:tcW w:w="4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Purchased (1)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Share (2)</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Plans or Programs (1)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7"/>
              </w:rPr>
              <w:t>Program</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1, 2014 through October 31, 2014</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34,457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8.51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34,457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4,977,529</w:t>
            </w: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November 1, 2014 through November 30, 2014</w:t>
            </w:r>
          </w:p>
        </w:tc>
        <w:tc>
          <w:tcPr>
            <w:tcW w:w="1840" w:type="dxa"/>
            <w:vAlign w:val="bottom"/>
          </w:tcPr>
          <w:p>
            <w:pPr>
              <w:jc w:val="right"/>
              <w:ind w:right="38"/>
              <w:spacing w:after="0"/>
              <w:rPr>
                <w:sz w:val="20"/>
                <w:szCs w:val="20"/>
                <w:color w:val="auto"/>
              </w:rPr>
            </w:pPr>
            <w:r>
              <w:rPr>
                <w:rFonts w:ascii="Arial" w:cs="Arial" w:eastAsia="Arial" w:hAnsi="Arial"/>
                <w:sz w:val="18"/>
                <w:szCs w:val="18"/>
                <w:color w:val="auto"/>
              </w:rPr>
              <w:t>37,105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9.72</w:t>
            </w:r>
          </w:p>
        </w:tc>
        <w:tc>
          <w:tcPr>
            <w:tcW w:w="100" w:type="dxa"/>
            <w:vAlign w:val="bottom"/>
          </w:tcPr>
          <w:p>
            <w:pPr>
              <w:spacing w:after="0"/>
              <w:rPr>
                <w:sz w:val="21"/>
                <w:szCs w:val="21"/>
                <w:color w:val="auto"/>
              </w:rPr>
            </w:pPr>
          </w:p>
        </w:tc>
        <w:tc>
          <w:tcPr>
            <w:tcW w:w="1580" w:type="dxa"/>
            <w:vAlign w:val="bottom"/>
          </w:tcPr>
          <w:p>
            <w:pPr>
              <w:jc w:val="right"/>
              <w:ind w:right="20"/>
              <w:spacing w:after="0"/>
              <w:rPr>
                <w:sz w:val="20"/>
                <w:szCs w:val="20"/>
                <w:color w:val="auto"/>
              </w:rPr>
            </w:pPr>
            <w:r>
              <w:rPr>
                <w:rFonts w:ascii="Arial" w:cs="Arial" w:eastAsia="Arial" w:hAnsi="Arial"/>
                <w:sz w:val="18"/>
                <w:szCs w:val="18"/>
                <w:color w:val="auto"/>
              </w:rPr>
              <w:t>37,105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20"/>
              <w:spacing w:after="0"/>
              <w:rPr>
                <w:sz w:val="20"/>
                <w:szCs w:val="20"/>
                <w:color w:val="auto"/>
              </w:rPr>
            </w:pPr>
            <w:r>
              <w:rPr>
                <w:rFonts w:ascii="Arial" w:cs="Arial" w:eastAsia="Arial" w:hAnsi="Arial"/>
                <w:sz w:val="18"/>
                <w:szCs w:val="18"/>
                <w:color w:val="auto"/>
              </w:rPr>
              <w:t>4,616,870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1, 2014 through December 31, 2014</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1,827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9.36</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1,827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4,599,761</w:t>
            </w:r>
          </w:p>
        </w:tc>
        <w:tc>
          <w:tcPr>
            <w:tcW w:w="0" w:type="dxa"/>
            <w:vAlign w:val="bottom"/>
          </w:tcPr>
          <w:p>
            <w:pPr>
              <w:spacing w:after="0"/>
              <w:rPr>
                <w:sz w:val="1"/>
                <w:szCs w:val="1"/>
                <w:color w:val="auto"/>
              </w:rPr>
            </w:pPr>
          </w:p>
        </w:tc>
      </w:tr>
      <w:tr>
        <w:trPr>
          <w:trHeight w:val="237"/>
        </w:trPr>
        <w:tc>
          <w:tcPr>
            <w:tcW w:w="4460" w:type="dxa"/>
            <w:vAlign w:val="bottom"/>
            <w:tcBorders>
              <w:top w:val="single" w:sz="8" w:color="auto"/>
            </w:tcBorders>
          </w:tcPr>
          <w:p>
            <w:pPr>
              <w:ind w:left="204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84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73,389</w:t>
            </w:r>
          </w:p>
        </w:tc>
        <w:tc>
          <w:tcPr>
            <w:tcW w:w="120" w:type="dxa"/>
            <w:vAlign w:val="bottom"/>
          </w:tcPr>
          <w:p>
            <w:pPr>
              <w:spacing w:after="0"/>
              <w:rPr>
                <w:sz w:val="20"/>
                <w:szCs w:val="20"/>
                <w:color w:val="auto"/>
              </w:rPr>
            </w:pPr>
          </w:p>
        </w:tc>
        <w:tc>
          <w:tcPr>
            <w:tcW w:w="3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9.14</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b w:val="1"/>
                <w:bCs w:val="1"/>
                <w:color w:val="auto"/>
              </w:rPr>
              <w:t>73,389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b w:val="1"/>
                <w:bCs w:val="1"/>
                <w:color w:val="auto"/>
              </w:rPr>
              <w:t>4,599,761</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76"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May 2012, our Board of Directors authorized a stock repurchase program. Under the program, we were originally authorized to repurchase up to $2 million of our outstanding common stock from time to time over the following 12 months. Any stock repurchases may be made through open market and privately negotiated transactions, at times and in such amounts as management deems appropriate, including pursuant to one or more Rule 10b5-1 trading plans. Rule 10b5-1 permits us to establish, while not in possession of material nonpublic information, prearranged plans to buy stock at a specific price in the future, regardless of any subsequent possession of material nonpublic information. The timing and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0" w:right="260"/>
        <w:spacing w:after="0" w:line="329" w:lineRule="auto"/>
        <w:rPr>
          <w:sz w:val="20"/>
          <w:szCs w:val="20"/>
          <w:color w:val="auto"/>
        </w:rPr>
      </w:pPr>
      <w:r>
        <w:rPr>
          <w:rFonts w:ascii="Arial" w:cs="Arial" w:eastAsia="Arial" w:hAnsi="Arial"/>
          <w:sz w:val="17"/>
          <w:szCs w:val="17"/>
          <w:color w:val="auto"/>
        </w:rPr>
        <w:t>actual number of shares repurchased will depend on a variety of factors, including market conditions and other factors. On July 30, 2012, the Board of Directors increased the repurchase amount to $3 million from the original $2 million. On February 20, 2013, the Board of Directors increased the repurchase amount to $10 million from $3 million. On December 2, 2014 Board of Directors discontinued the repurchase of the company's stock in conjunction with approving a plan to initiate the payment of a regular cash dividend beginning in the first quarter of 2015.</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(2) The price paid per share of common stock includes the related transaction costs.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currently have one equity compensation plan, our 2007 Equity Incentive Plan (the “2007 Plan”). Our 1998 stock option plan terminated in June 2008 and no further awards may be issued under this plan.</w:t>
      </w:r>
    </w:p>
    <w:p>
      <w:pPr>
        <w:spacing w:after="0" w:line="17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following table sets forth information as of December 31, 2014 with respect to compensation plans under which equity securities of ClearOne are authorized for issuance.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Number of securities to be</w:t>
            </w:r>
          </w:p>
        </w:tc>
        <w:tc>
          <w:tcPr>
            <w:tcW w:w="20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9"/>
              </w:rPr>
              <w:t>Weighted-average exercise</w:t>
            </w: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 remaining available</w:t>
            </w: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20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issued upon exercise of</w:t>
            </w:r>
          </w:p>
        </w:tc>
        <w:tc>
          <w:tcPr>
            <w:tcW w:w="2040" w:type="dxa"/>
            <w:vAlign w:val="bottom"/>
            <w:gridSpan w:val="3"/>
            <w:vMerge w:val="continue"/>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for future issuance under equity</w:t>
            </w: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20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outstanding options, warrants</w:t>
            </w:r>
          </w:p>
        </w:tc>
        <w:tc>
          <w:tcPr>
            <w:tcW w:w="20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price of outstanding options,</w:t>
            </w: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compensation plans (excluding securities</w:t>
            </w:r>
          </w:p>
        </w:tc>
        <w:tc>
          <w:tcPr>
            <w:tcW w:w="0" w:type="dxa"/>
            <w:vAlign w:val="bottom"/>
          </w:tcPr>
          <w:p>
            <w:pPr>
              <w:spacing w:after="0"/>
              <w:rPr>
                <w:sz w:val="1"/>
                <w:szCs w:val="1"/>
                <w:color w:val="auto"/>
              </w:rPr>
            </w:pPr>
          </w:p>
        </w:tc>
      </w:tr>
      <w:tr>
        <w:trPr>
          <w:trHeight w:val="153"/>
        </w:trPr>
        <w:tc>
          <w:tcPr>
            <w:tcW w:w="4620" w:type="dxa"/>
            <w:vAlign w:val="bottom"/>
          </w:tcPr>
          <w:p>
            <w:pPr>
              <w:spacing w:after="0"/>
              <w:rPr>
                <w:sz w:val="13"/>
                <w:szCs w:val="13"/>
                <w:color w:val="auto"/>
              </w:rPr>
            </w:pPr>
          </w:p>
        </w:tc>
        <w:tc>
          <w:tcPr>
            <w:tcW w:w="20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and rights</w:t>
            </w:r>
          </w:p>
        </w:tc>
        <w:tc>
          <w:tcPr>
            <w:tcW w:w="300" w:type="dxa"/>
            <w:vAlign w:val="bottom"/>
          </w:tcPr>
          <w:p>
            <w:pPr>
              <w:spacing w:after="0"/>
              <w:rPr>
                <w:sz w:val="13"/>
                <w:szCs w:val="13"/>
                <w:color w:val="auto"/>
              </w:rPr>
            </w:pPr>
          </w:p>
        </w:tc>
        <w:tc>
          <w:tcPr>
            <w:tcW w:w="174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3"/>
              </w:rPr>
              <w:t>warrants and rights</w:t>
            </w:r>
          </w:p>
        </w:tc>
        <w:tc>
          <w:tcPr>
            <w:tcW w:w="27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reflected in column (a))</w:t>
            </w:r>
          </w:p>
        </w:tc>
        <w:tc>
          <w:tcPr>
            <w:tcW w:w="0" w:type="dxa"/>
            <w:vAlign w:val="bottom"/>
          </w:tcPr>
          <w:p>
            <w:pPr>
              <w:spacing w:after="0"/>
              <w:rPr>
                <w:sz w:val="1"/>
                <w:szCs w:val="1"/>
                <w:color w:val="auto"/>
              </w:rPr>
            </w:pPr>
          </w:p>
        </w:tc>
      </w:tr>
      <w:tr>
        <w:trPr>
          <w:trHeight w:val="188"/>
        </w:trPr>
        <w:tc>
          <w:tcPr>
            <w:tcW w:w="4620" w:type="dxa"/>
            <w:vAlign w:val="bottom"/>
          </w:tcPr>
          <w:p>
            <w:pPr>
              <w:spacing w:after="0"/>
              <w:rPr>
                <w:sz w:val="16"/>
                <w:szCs w:val="16"/>
                <w:color w:val="auto"/>
              </w:rPr>
            </w:pPr>
          </w:p>
        </w:tc>
        <w:tc>
          <w:tcPr>
            <w:tcW w:w="204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(a)</w:t>
            </w:r>
          </w:p>
        </w:tc>
        <w:tc>
          <w:tcPr>
            <w:tcW w:w="300" w:type="dxa"/>
            <w:vAlign w:val="bottom"/>
          </w:tcPr>
          <w:p>
            <w:pPr>
              <w:spacing w:after="0"/>
              <w:rPr>
                <w:sz w:val="16"/>
                <w:szCs w:val="16"/>
                <w:color w:val="auto"/>
              </w:rPr>
            </w:pPr>
          </w:p>
        </w:tc>
        <w:tc>
          <w:tcPr>
            <w:tcW w:w="1740" w:type="dxa"/>
            <w:vAlign w:val="bottom"/>
            <w:gridSpan w:val="2"/>
          </w:tcPr>
          <w:p>
            <w:pPr>
              <w:jc w:val="center"/>
              <w:ind w:right="400"/>
              <w:spacing w:after="0"/>
              <w:rPr>
                <w:sz w:val="20"/>
                <w:szCs w:val="20"/>
                <w:color w:val="auto"/>
              </w:rPr>
            </w:pPr>
            <w:r>
              <w:rPr>
                <w:rFonts w:ascii="Arial" w:cs="Arial" w:eastAsia="Arial" w:hAnsi="Arial"/>
                <w:sz w:val="14"/>
                <w:szCs w:val="14"/>
                <w:color w:val="auto"/>
              </w:rPr>
              <w:t>(b)</w:t>
            </w:r>
          </w:p>
        </w:tc>
        <w:tc>
          <w:tcPr>
            <w:tcW w:w="2720" w:type="dxa"/>
            <w:vAlign w:val="bottom"/>
          </w:tcPr>
          <w:p>
            <w:pPr>
              <w:jc w:val="center"/>
              <w:spacing w:after="0"/>
              <w:rPr>
                <w:sz w:val="20"/>
                <w:szCs w:val="20"/>
                <w:color w:val="auto"/>
              </w:rPr>
            </w:pPr>
            <w:r>
              <w:rPr>
                <w:rFonts w:ascii="Arial" w:cs="Arial" w:eastAsia="Arial" w:hAnsi="Arial"/>
                <w:sz w:val="14"/>
                <w:szCs w:val="14"/>
                <w:color w:val="auto"/>
                <w:w w:val="97"/>
              </w:rPr>
              <w:t>(c)</w:t>
            </w:r>
          </w:p>
        </w:tc>
        <w:tc>
          <w:tcPr>
            <w:tcW w:w="0" w:type="dxa"/>
            <w:vAlign w:val="bottom"/>
          </w:tcPr>
          <w:p>
            <w:pPr>
              <w:spacing w:after="0"/>
              <w:rPr>
                <w:sz w:val="1"/>
                <w:szCs w:val="1"/>
                <w:color w:val="auto"/>
              </w:rPr>
            </w:pPr>
          </w:p>
        </w:tc>
      </w:tr>
      <w:tr>
        <w:trPr>
          <w:trHeight w:val="236"/>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compensation plans approved by shareholders</w:t>
            </w:r>
          </w:p>
        </w:tc>
        <w:tc>
          <w:tcPr>
            <w:tcW w:w="1940" w:type="dxa"/>
            <w:vAlign w:val="bottom"/>
            <w:tcBorders>
              <w:top w:val="single" w:sz="8" w:color="auto"/>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1,040,081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720" w:type="dxa"/>
            <w:vAlign w:val="bottom"/>
            <w:tcBorders>
              <w:top w:val="single" w:sz="8" w:color="auto"/>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95,915</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Equity compensation plans not approved by shareholders</w:t>
            </w:r>
          </w:p>
        </w:tc>
        <w:tc>
          <w:tcPr>
            <w:tcW w:w="2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720" w:type="dxa"/>
            <w:vAlign w:val="bottom"/>
          </w:tcPr>
          <w:p>
            <w:pPr>
              <w:jc w:val="right"/>
              <w:ind w:right="2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62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9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1,040,081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5.65</w:t>
            </w:r>
          </w:p>
        </w:tc>
        <w:tc>
          <w:tcPr>
            <w:tcW w:w="100" w:type="dxa"/>
            <w:vAlign w:val="bottom"/>
            <w:tcBorders>
              <w:bottom w:val="single" w:sz="8" w:color="CCEEFF"/>
            </w:tcBorders>
            <w:shd w:val="clear" w:color="auto" w:fill="CCEEFF"/>
          </w:tcPr>
          <w:p>
            <w:pPr>
              <w:spacing w:after="0"/>
              <w:rPr>
                <w:sz w:val="20"/>
                <w:szCs w:val="20"/>
                <w:color w:val="auto"/>
              </w:rPr>
            </w:pPr>
          </w:p>
        </w:tc>
        <w:tc>
          <w:tcPr>
            <w:tcW w:w="27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95,915</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following discussion should be read in conjunction with our consolidated financial statements and related notes included in this report, as well as our other filings with the SEC. This discussion contains forward-looking statements based on current expectations that involve risks and uncertainties, such as our plans, objectives, expectations, and intentions, as set forth under “Disclosure Regarding Forward-Looking Statements.” Our actual results and the timing of events could differ materially from those anticipated in these forward-looking statements as a result of various factors, including those set forth in the following discussion and under the caption “Risk Factors” in Item 1A and elsewhere in this report.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Throughout this discussion, we compare results of operations for the year ended December 31, 2014 ("2014") to the year ended December 31, 2013 (“2013” or "the comparable period").</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continued in our path of growth recording our fifth consecutive year of revenue growth. Sales of internally developed products, combined with revenues from acquisitions completed in 2014, contributed to our strong top line performance and improved gross margin.</w:t>
      </w:r>
    </w:p>
    <w:p>
      <w:pPr>
        <w:spacing w:after="0" w:line="13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On March 7, 2014, we completed the acquisition of Sabine, Inc. ("Sabine") through a stock purchase agreement ("SPA"). Sabine manufactured, designed and sold Sacom professional wireless microphone systems for live and installed audio. It also manufactured the FBX Feedback Exterminator for reliable automatic feedback control. With the addition of Sabine, we have reliable and exclusive access to the wireless microphones that are a critical component of our complete microphone portfolio. Pursuant to the SPA, we (i) paid initial consideration of ClearOne paid approximately $6.89 million in cash and (ii) approximately $1.68 million in ClearOne shares. In addition, we paid off Sabine debt of $1.25 million and may be required to</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MANAGEMENT'S DISCUSSION AND ANALYSIS OF FINANCIAL CONDITION AND RESULTS OF OPERATIONS</w:t>
      </w:r>
    </w:p>
    <w:p>
      <w:pPr>
        <w:spacing w:after="0" w:line="200" w:lineRule="exact"/>
        <w:rPr>
          <w:sz w:val="20"/>
          <w:szCs w:val="20"/>
          <w:color w:val="auto"/>
        </w:rPr>
      </w:pPr>
    </w:p>
    <w:p>
      <w:pPr>
        <w:spacing w:after="0" w:line="26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make earn-out payments over a three year period from the acquisition date based on achievement of certain performance criteria. We continue to maintain operations at the former Sabine location in Alachua, Florida.</w:t>
      </w:r>
    </w:p>
    <w:p>
      <w:pPr>
        <w:spacing w:after="0" w:line="170"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On April 1, 2014, we completed the acquisition of Spontania from Spain-based Dialcom Networks, S.L. in an all-cash deal for €3.66 million (approximately US $5.1 million). Spontania, a software-based cloud collaboration solution, combines the benefits of video conferencing and web conferencing into an enterprise solution that can scale to tens of thousands of users. The addition of Spontania was made with the intent to make us the only company offering an entirely software-based video conferencing product line and to provide on-premise cloud-based Software-as-a-Service (SaaS) and Platform-as-a-Service (PaaS) solutions complementing our existing premise-based, enterprise video conferencing offering, COLLABORATE ®.</w:t>
      </w:r>
    </w:p>
    <w:p>
      <w:pPr>
        <w:spacing w:after="0" w:line="158" w:lineRule="exact"/>
        <w:rPr>
          <w:sz w:val="20"/>
          <w:szCs w:val="20"/>
          <w:color w:val="auto"/>
        </w:rPr>
      </w:pPr>
    </w:p>
    <w:p>
      <w:pPr>
        <w:ind w:right="620"/>
        <w:spacing w:after="0" w:line="302" w:lineRule="auto"/>
        <w:rPr>
          <w:sz w:val="20"/>
          <w:szCs w:val="20"/>
          <w:color w:val="auto"/>
        </w:rPr>
      </w:pPr>
      <w:r>
        <w:rPr>
          <w:rFonts w:ascii="Arial" w:cs="Arial" w:eastAsia="Arial" w:hAnsi="Arial"/>
          <w:sz w:val="16"/>
          <w:szCs w:val="16"/>
          <w:color w:val="auto"/>
        </w:rPr>
        <w:t>Overall revenue increased in 2014 due to significant growth in revenue from professional audio conferencing products. Revenue from unified communications products and video products declined during the year. Our gross profit during 2014 increased at a higher rate than the increase in our revenue. Net income increased to $5.6 million from $5.2 million in 2013. Net income in 2014 increased primarily as a result of increased revenue and increased gross margin. Without considering litigation proceeds, net income before taxes would be $8.2 million in 2014 and $7.1 million in 2013.</w:t>
      </w:r>
    </w:p>
    <w:p>
      <w:pPr>
        <w:spacing w:after="0" w:line="11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derive a major portion (approximately 70%) of our revenue from the Americas, which include North America and Latin America. Our share of revenue from foreign markets outside the Americas was slightly lower in 2014 when compared to 2013.</w:t>
      </w:r>
    </w:p>
    <w:p>
      <w:pPr>
        <w:spacing w:after="0" w:line="13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audio visual products market is characterized by intense competition and rapidly evolving technology. Our competitors vary within each product category. Our professional audio communication products, which contribute the most to our revenue, continues to perform strongly largely due to professional conferencing and professional microphone products. Despite our strong leadership position in the professional audio communications products market, we face challenges to revenue growth due to limited size of the market and pricing pressures from new competitors. Continuing popularity of mid-tier premium conferencing products within the product mix in opposition to higher cost professional conferencing products also poses a challenge to our revenue growth.</w:t>
      </w:r>
    </w:p>
    <w:p>
      <w:pPr>
        <w:spacing w:after="0" w:line="118"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We expect the acquisition of Sabine in March 2014 will further drive our growth in revenue from professional microphone products. As professional microphones complement our professional conferencing products, we expect this acquisition to drive our overall revenue growth. We continue to focus on deepening and expanding our partnerships with large IT distributors to increase our penetration of the unified communications audio end points market through. We believe we are also well positioned to capitalize on the continuing migration away from the traditional hardware based video conferencing to software based video conferencing.</w:t>
      </w:r>
    </w:p>
    <w:p>
      <w:pPr>
        <w:spacing w:after="0" w:line="14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believe that we will continue our progress if current economic conditions continue or improve. Even though our cash position continues to be strong, our announced acquisitions will increase our operating costs. We will continue to exercise fiscal discipline and balance the need to invest in the growth of our product offerings against the need to maintain the profitability of the company.</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MANAGEMENT'S DISCUSSION AND ANALYSIS OF FINANCIAL CONDITION AND RESULTS OF OPERATIONS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DISCUSSION OF RESULTS OF OPERATIONS - YEAR ENDED DECEMBER 31, 2014 COMPARED TO YEAR ENDED DECEMBER 31, 2013</w:t>
      </w:r>
    </w:p>
    <w:p>
      <w:pPr>
        <w:spacing w:after="0" w:line="24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sets forth certain items from our consolidated statements of operations for the years ended December 31, 2014 and 2013, together with the percentage of total revenue which each item represents.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3"/>
          </w:tcPr>
          <w:p>
            <w:pPr>
              <w:ind w:left="760"/>
              <w:spacing w:after="0"/>
              <w:rPr>
                <w:sz w:val="20"/>
                <w:szCs w:val="20"/>
                <w:color w:val="auto"/>
              </w:rPr>
            </w:pPr>
            <w:r>
              <w:rPr>
                <w:rFonts w:ascii="Arial" w:cs="Arial" w:eastAsia="Arial" w:hAnsi="Arial"/>
                <w:sz w:val="14"/>
                <w:szCs w:val="14"/>
                <w:b w:val="1"/>
                <w:bCs w:val="1"/>
                <w:color w:val="auto"/>
              </w:rPr>
              <w:t>Variance</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6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2014</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2013</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Favorable (Unfavorable)</w:t>
            </w: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Amount (in</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of Revenue</w:t>
            </w:r>
          </w:p>
        </w:tc>
        <w:tc>
          <w:tcPr>
            <w:tcW w:w="220" w:type="dxa"/>
            <w:vAlign w:val="bottom"/>
          </w:tcPr>
          <w:p>
            <w:pPr>
              <w:spacing w:after="0"/>
              <w:rPr>
                <w:sz w:val="13"/>
                <w:szCs w:val="13"/>
                <w:color w:val="auto"/>
              </w:rPr>
            </w:pPr>
          </w:p>
        </w:tc>
        <w:tc>
          <w:tcPr>
            <w:tcW w:w="12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Amount (in</w:t>
            </w: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 of Revenue</w:t>
            </w:r>
          </w:p>
        </w:tc>
        <w:tc>
          <w:tcPr>
            <w:tcW w:w="240" w:type="dxa"/>
            <w:vAlign w:val="bottom"/>
          </w:tcPr>
          <w:p>
            <w:pPr>
              <w:spacing w:after="0"/>
              <w:rPr>
                <w:sz w:val="13"/>
                <w:szCs w:val="13"/>
                <w:color w:val="auto"/>
              </w:rPr>
            </w:pPr>
          </w:p>
        </w:tc>
        <w:tc>
          <w:tcPr>
            <w:tcW w:w="1420" w:type="dxa"/>
            <w:vAlign w:val="bottom"/>
            <w:gridSpan w:val="3"/>
          </w:tcPr>
          <w:p>
            <w:pPr>
              <w:ind w:left="80"/>
              <w:spacing w:after="0" w:line="153" w:lineRule="exact"/>
              <w:rPr>
                <w:sz w:val="20"/>
                <w:szCs w:val="20"/>
                <w:color w:val="auto"/>
              </w:rPr>
            </w:pPr>
            <w:r>
              <w:rPr>
                <w:rFonts w:ascii="Arial" w:cs="Arial" w:eastAsia="Arial" w:hAnsi="Arial"/>
                <w:sz w:val="14"/>
                <w:szCs w:val="14"/>
                <w:b w:val="1"/>
                <w:bCs w:val="1"/>
                <w:color w:val="auto"/>
              </w:rPr>
              <w:t>Amount (in</w:t>
            </w:r>
          </w:p>
        </w:tc>
        <w:tc>
          <w:tcPr>
            <w:tcW w:w="84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thousands)</w:t>
            </w: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thousands)</w:t>
            </w:r>
          </w:p>
        </w:tc>
        <w:tc>
          <w:tcPr>
            <w:tcW w:w="11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3"/>
          </w:tcPr>
          <w:p>
            <w:pPr>
              <w:ind w:left="100"/>
              <w:spacing w:after="0"/>
              <w:rPr>
                <w:sz w:val="20"/>
                <w:szCs w:val="20"/>
                <w:color w:val="auto"/>
              </w:rPr>
            </w:pPr>
            <w:r>
              <w:rPr>
                <w:rFonts w:ascii="Arial" w:cs="Arial" w:eastAsia="Arial" w:hAnsi="Arial"/>
                <w:sz w:val="14"/>
                <w:szCs w:val="14"/>
                <w:b w:val="1"/>
                <w:bCs w:val="1"/>
                <w:color w:val="auto"/>
              </w:rPr>
              <w:t>thousands)</w:t>
            </w: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57,909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49,592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16.8 %</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22,586</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39.0 %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19,735</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39.8 %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35,323</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29,857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18.3 %</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11,227</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19.4 %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8,896</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product development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8,969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7,562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7,152</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6,416</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litigation</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7,975</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13.8 %</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7,622</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15.4 %</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72.8 %</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8,229</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14.2 %</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7,769</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15.7 %</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57"/>
        </w:trPr>
        <w:tc>
          <w:tcPr>
            <w:tcW w:w="36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5,596</w:t>
            </w:r>
          </w:p>
        </w:tc>
        <w:tc>
          <w:tcPr>
            <w:tcW w:w="10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9.7 %</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5,179</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10.4 %</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Our revenue was $57.9 million for the year ended December 31, 2014 compared to $49.6 million for the comparable period in 2013. Revenue during 2014 increased by approximately $8.3 million, or 17%, from the comparable period in 2013. Revenue increased primarily due to a 28% increase in revenue from professional audio conferencing products. Revenue from unified communications audio end points declined by 11% and revenue from video products declined by 4%. The share of professional audio communications products in our mix increased to approximately 77% in 2014 from approximately 70% in 2013. During 2014, revenue from Europe, Middle East and Africa grew by 12%, revenue from Asia Pacific grew by 15%, and revenue from the Americas grew by 18%.</w:t>
      </w:r>
    </w:p>
    <w:p>
      <w:pPr>
        <w:spacing w:after="0" w:line="193"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At each quarter end, we evaluate the inventory in the distribution channel through information provided by certain of our distributors. The level of inventory in the channel fluctuates up or down each quarter based upon our distributors’ individual operations. Accordingly, each quarter-end revenue deferral is calculated and recorded based upon the underlying channel inventory at quarter-end. During 2014 and 2013, the change in deferred revenue based on the movement of inventory in the channel was an increase of $846 thousand and an increase of $565 thousand,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 and Gross Profit</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Cost of goods sold (“COGS”) includes expenses associated with finished goods purchased from outsourced manufacturers, the manufacture of our products (including material and direct labor), our manufacturing and operations organization, property and equipment depreciation, warranty expense, freight expense, royalty payments, and the allocation of overhead expenses.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Our gross profit during 2014 was approximately $35.3 million compared to approximately $29.9 million in the comparable period in 2013, an increase of</w:t>
      </w:r>
    </w:p>
    <w:p>
      <w:pPr>
        <w:spacing w:after="0" w:line="3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18.3%. The increase in gross profit was primarily due to increased revenues with a lower increase in our cost of goods sold. Gross profit margins (“GPM”), or gross profit as a percentage of sales, increased to 61% in 2014 from 60% in 2013.</w:t>
      </w:r>
    </w:p>
    <w:p>
      <w:pPr>
        <w:spacing w:after="0" w:line="184"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Our profitability in the near-term continues to depend significantly on our revenues from professional audio communications products. We hold long-term inventory and if we are unable to sell our long-term inventory, profitability might be affected by inventory write-offs and price mark-downs.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Profits (Losses)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Operating profits (losses), or income from operations, is the surplus after operating expenses are deducted from gross profits. Operating expenses include sales and marketing (“S&amp;M”) expenses, research and product development (“R&amp;D”) expenses and general and administrative (“G&amp;A”) expenses. Total operating expenses excluding net litigation proceeds were $27.3 million in 2014 compared to $22.9 million during 2013. There were no net litigation proceeds in 2014 compared to $639 thousand in 2013. The following contains a more detailed discussion of expenses related to sales and marketing, research and product development, general and administrative, and other items.</w:t>
      </w:r>
    </w:p>
    <w:p>
      <w:pPr>
        <w:spacing w:after="0" w:line="184"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u w:val="single" w:color="auto"/>
          <w:color w:val="auto"/>
        </w:rPr>
        <w:t>Sales and Marketing</w:t>
      </w:r>
      <w:r>
        <w:rPr>
          <w:rFonts w:ascii="Arial" w:cs="Arial" w:eastAsia="Arial" w:hAnsi="Arial"/>
          <w:sz w:val="18"/>
          <w:szCs w:val="18"/>
          <w:b w:val="1"/>
          <w:bCs w:val="1"/>
          <w:color w:val="auto"/>
        </w:rPr>
        <w:t xml:space="preserve">. </w:t>
      </w:r>
      <w:r>
        <w:rPr>
          <w:rFonts w:ascii="Arial" w:cs="Arial" w:eastAsia="Arial" w:hAnsi="Arial"/>
          <w:sz w:val="18"/>
          <w:szCs w:val="18"/>
          <w:color w:val="auto"/>
        </w:rPr>
        <w:t>S&amp;M expenses include sales, customer service, and marketing expenses such as employee-related costs, allocations of overhead</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trade shows, and other advertising and selling expenses. Total S&amp;M expenses were approximately $11.2 million in 2014 compared to $8.9 million in 2013. S&amp;M expenses as a percentage of revenue were 19.4% and 17.9% in 2014 and 2013, respectively. The increase in S&amp;M expenses is due to an increase in associate commissions as a result of increased sales in 2014, and due to the headcount increase in our sales team including the establishment of the media collaboration team in 2014.</w:t>
      </w:r>
    </w:p>
    <w:p>
      <w:pPr>
        <w:spacing w:after="0" w:line="184" w:lineRule="exact"/>
        <w:rPr>
          <w:sz w:val="20"/>
          <w:szCs w:val="20"/>
          <w:color w:val="auto"/>
        </w:rPr>
      </w:pPr>
    </w:p>
    <w:p>
      <w:pPr>
        <w:ind w:right="60"/>
        <w:spacing w:after="0" w:line="303" w:lineRule="auto"/>
        <w:rPr>
          <w:sz w:val="20"/>
          <w:szCs w:val="20"/>
          <w:color w:val="auto"/>
        </w:rPr>
      </w:pPr>
      <w:r>
        <w:rPr>
          <w:rFonts w:ascii="Arial" w:cs="Arial" w:eastAsia="Arial" w:hAnsi="Arial"/>
          <w:sz w:val="16"/>
          <w:szCs w:val="16"/>
          <w:b w:val="1"/>
          <w:bCs w:val="1"/>
          <w:u w:val="single" w:color="auto"/>
          <w:color w:val="auto"/>
        </w:rPr>
        <w:t>Research and Product Development</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R&amp;D expenses include research and development, product line management, engineering services, and test and</w:t>
      </w:r>
      <w:r>
        <w:rPr>
          <w:rFonts w:ascii="Arial" w:cs="Arial" w:eastAsia="Arial" w:hAnsi="Arial"/>
          <w:sz w:val="16"/>
          <w:szCs w:val="16"/>
          <w:b w:val="1"/>
          <w:bCs w:val="1"/>
          <w:color w:val="auto"/>
        </w:rPr>
        <w:t xml:space="preserve"> </w:t>
      </w:r>
      <w:r>
        <w:rPr>
          <w:rFonts w:ascii="Arial" w:cs="Arial" w:eastAsia="Arial" w:hAnsi="Arial"/>
          <w:sz w:val="16"/>
          <w:szCs w:val="16"/>
          <w:color w:val="auto"/>
        </w:rPr>
        <w:t>application expenses, including employee-related costs, outside services, expensed materials, depreciation, and an allocation of overhead expenses. Total R&amp;D expenses were $9.0 million in 2014 compared to $7.6 million during the comparable period. As a percentage of revenue, R&amp;D expenses were 15.5% in 2014 compared to 15.2% in 2013. The increase was due to increased employee costs as a result of our acquisitions and increased R&amp;D project costs.</w:t>
      </w:r>
    </w:p>
    <w:p>
      <w:pPr>
        <w:spacing w:after="0" w:line="151"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u w:val="single" w:color="auto"/>
          <w:color w:val="auto"/>
        </w:rPr>
        <w:t>General and Administrative</w:t>
      </w:r>
      <w:r>
        <w:rPr>
          <w:rFonts w:ascii="Arial" w:cs="Arial" w:eastAsia="Arial" w:hAnsi="Arial"/>
          <w:sz w:val="18"/>
          <w:szCs w:val="18"/>
          <w:b w:val="1"/>
          <w:bCs w:val="1"/>
          <w:color w:val="auto"/>
        </w:rPr>
        <w:t xml:space="preserve">. </w:t>
      </w:r>
      <w:r>
        <w:rPr>
          <w:rFonts w:ascii="Arial" w:cs="Arial" w:eastAsia="Arial" w:hAnsi="Arial"/>
          <w:sz w:val="18"/>
          <w:szCs w:val="18"/>
          <w:color w:val="auto"/>
        </w:rPr>
        <w:t>G&amp;A expenses include employee-related costs, professional service fees, allocations of overhead expenses, litigation costs and</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administrative costs, including costs related to finance and human resources. Total G&amp;A expenses were approximately $7.2 million in 2014 compared with approximately $6.4 million in 2013. The increase in G&amp;A expenses was due to increased amortization expense on acquired intangible assets from acquisitions, expenses on acquired operations, and acquisition related expenses. These increases were partially offset by decreases in legal costs, recruitment services, and bad debts.</w:t>
      </w:r>
    </w:p>
    <w:p>
      <w:pPr>
        <w:spacing w:after="0" w:line="184" w:lineRule="exact"/>
        <w:rPr>
          <w:sz w:val="20"/>
          <w:szCs w:val="20"/>
          <w:color w:val="auto"/>
        </w:rPr>
      </w:pPr>
    </w:p>
    <w:p>
      <w:pPr>
        <w:ind w:right="80"/>
        <w:spacing w:after="0" w:line="303" w:lineRule="auto"/>
        <w:rPr>
          <w:rFonts w:ascii="Arial" w:cs="Arial" w:eastAsia="Arial" w:hAnsi="Arial"/>
          <w:sz w:val="16"/>
          <w:szCs w:val="16"/>
          <w:color w:val="auto"/>
        </w:rPr>
      </w:pPr>
      <w:r>
        <w:rPr>
          <w:rFonts w:ascii="Arial" w:cs="Arial" w:eastAsia="Arial" w:hAnsi="Arial"/>
          <w:sz w:val="16"/>
          <w:szCs w:val="16"/>
          <w:b w:val="1"/>
          <w:bCs w:val="1"/>
          <w:u w:val="single" w:color="auto"/>
          <w:color w:val="auto"/>
        </w:rPr>
        <w:t>Proceeds from litigation</w:t>
      </w:r>
      <w:r>
        <w:rPr>
          <w:rFonts w:ascii="Arial" w:cs="Arial" w:eastAsia="Arial" w:hAnsi="Arial"/>
          <w:sz w:val="16"/>
          <w:szCs w:val="16"/>
          <w:b w:val="1"/>
          <w:bCs w:val="1"/>
          <w:color w:val="auto"/>
        </w:rPr>
        <w:t xml:space="preserve">. </w:t>
      </w:r>
      <w:r>
        <w:rPr>
          <w:rFonts w:ascii="Arial" w:cs="Arial" w:eastAsia="Arial" w:hAnsi="Arial"/>
          <w:sz w:val="16"/>
          <w:szCs w:val="16"/>
          <w:color w:val="auto"/>
        </w:rPr>
        <w:t>In 2013, we received $639 thousand in litigation proceeds primarily consisting of the receipt of a net refund amount of $364</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thousand for the bail bond amount we were initially required to pay in the Strohm case (see "Strohm" under Note 8 - Commitments and Contingencies to our Consolidated Financial Statements), and $272 thousand for the recovery of money held in escrow related to the VCON acquisition completed in February 2012 (See section titled "Former Officer Indemnification" under </w:t>
      </w:r>
      <w:hyperlink w:anchor="page52">
        <w:r>
          <w:rPr>
            <w:rFonts w:ascii="Arial" w:cs="Arial" w:eastAsia="Arial" w:hAnsi="Arial"/>
            <w:sz w:val="16"/>
            <w:szCs w:val="16"/>
            <w:u w:val="single" w:color="auto"/>
            <w:color w:val="0000EE"/>
          </w:rPr>
          <w:t>Note 8 - Commitments and Contingencies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our Consolidated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tax expense of $2.6 million during 2014 was primarily the result of tax on current year income. This compared to a tax expense of $2.6 million during 2013, which was also the result of tax on current year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CAPITAL RESOURCES AND FINANCIAL POSITION</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 of December 31, 2014, our cash and cash equivalents were approximately $7.4 million compared to $17.2 million as of December 31, 2013. The decrease in cash and cash equivalents was due to the acquisitions of Sabine and Spontania, which closed in March and April of 2014, respectively. Our working capital was $34.0 million and $39.4 million as of December 31, 2014 and 2013, respectively.</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cash flows provided by operating activities were approximately $6.7 million during 2014, an increase of approximately $16.7 million from $10.0 million used in operating activities in 2013. The change was primarily due to the increase of the 2012 income taxes payable as a result of the UBS dispute settlement, which were paid in 2013, the changes in prepaid expenses and other assets, and the changes in accrued liabilities. These increases were partially offset by changes in inventories and deferred income taxes.</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Net cash flows used in investing activities were $14.4 million during 2014 compared to net cash flows used in investing activities of $26.5 million during 2013. During 2014, the cash outflows on investing activities consisted of the acquisitions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400"/>
          </w:cols>
          <w:pgMar w:left="240" w:top="121" w:right="25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MANAGEMENT'S DISCUSSION AND ANALYSIS OF FINANCIAL CONDITION AND RESULTS OF OPERATIONS</w:t>
      </w:r>
    </w:p>
    <w:p>
      <w:pPr>
        <w:spacing w:after="0" w:line="200" w:lineRule="exact"/>
        <w:rPr>
          <w:sz w:val="20"/>
          <w:szCs w:val="20"/>
          <w:color w:val="auto"/>
        </w:rPr>
      </w:pPr>
    </w:p>
    <w:p>
      <w:pPr>
        <w:spacing w:after="0" w:line="269" w:lineRule="exact"/>
        <w:rPr>
          <w:sz w:val="20"/>
          <w:szCs w:val="20"/>
          <w:color w:val="auto"/>
        </w:rPr>
      </w:pPr>
    </w:p>
    <w:p>
      <w:pPr>
        <w:ind w:right="280"/>
        <w:spacing w:after="0" w:line="279" w:lineRule="auto"/>
        <w:rPr>
          <w:rFonts w:ascii="Arial" w:cs="Arial" w:eastAsia="Arial" w:hAnsi="Arial"/>
          <w:sz w:val="17"/>
          <w:szCs w:val="17"/>
          <w:color w:val="auto"/>
        </w:rPr>
      </w:pPr>
      <w:r>
        <w:rPr>
          <w:rFonts w:ascii="Arial" w:cs="Arial" w:eastAsia="Arial" w:hAnsi="Arial"/>
          <w:sz w:val="17"/>
          <w:szCs w:val="17"/>
          <w:color w:val="auto"/>
        </w:rPr>
        <w:t xml:space="preserve">Sabine and Spontania, the purchase of marketable securities along with purchases of property and equipment. These outflows were partially offset by proceeds from maturities and sales of marketable investment securities. During 2013, the cash outflows on investing activities consisted of the purchase of marketable securities and purchases of property and equipment. Please refer to </w:t>
      </w:r>
      <w:hyperlink w:anchor="page47">
        <w:r>
          <w:rPr>
            <w:rFonts w:ascii="Arial" w:cs="Arial" w:eastAsia="Arial" w:hAnsi="Arial"/>
            <w:sz w:val="17"/>
            <w:szCs w:val="17"/>
            <w:u w:val="single" w:color="auto"/>
            <w:color w:val="0000EE"/>
          </w:rPr>
          <w:t>Note 3 - Business Combinations, Goodwill and Intangibles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in the Notes to Consolidated Financial Statements (Part IV) for details on the company's acquisitions.</w:t>
      </w:r>
    </w:p>
    <w:p>
      <w:pPr>
        <w:spacing w:after="0" w:line="17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Net cash used in financing activities in 2014 consisted of proceeds received from the exercise of stock options amounting to $1,337 thousand and associated tax benefits of $211 thousand, offset by the acquisition of outstanding stock totaling $2.6 million under the stock repurchase program, and the declaration of cash dividends of $914 thousand. Net cash used in financing activities in 2013 consisted of proceeds from the exercise of stock options totaling $489 thousand and associated tax benefits totaling $104 thousand, offset by the acquisition of outstanding stock totaling $2.4 million under the stock repurchase program.</w:t>
      </w:r>
    </w:p>
    <w:p>
      <w:pPr>
        <w:spacing w:after="0" w:line="18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believe that future income from operations and effective management of working capital will provide the liquidity needed to meet our short-term and long-term operating requirements and finance our growth plans. We also believe that our strong financial position and sound business structure will enable us to raise additional capital when needed to meet our short and long-term financing needs. In addition to capital expenditures, we may use cash in the near future for selective infusions of technology, sales &amp; marketing, infrastructure, and other investments to fuel our growth, as well as acquisitions that may strategically fit our business and are accretive to our performance. We may also use cash to pay additional cash dividends.</w:t>
      </w:r>
    </w:p>
    <w:p>
      <w:pPr>
        <w:spacing w:after="0" w:line="173"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At December 31, 2014, we had open purchase orders related to our electronics manufacturing service providers and other contractual obligations of approximately $3.8 million, primarily related to inventory purchases.</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At December 31, 2014, we had inventory totaling $15.3 million, of which non-current inventory accounted for $0.9 million. This compares to total inventories of $12.8 million and non-current inventory of $0.6 million as of December 31, 2013. As our business prospects continue to improve, we expect to continue to reduce our non-current inventory and convert it into cash.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We have no off-balance-sheet arrangements that have or are reasonably likely to have a current or future material effect on our financial condition, changes in financial conditions, revenues or expenses, results of operations, liquidity, capital expenditures or capital resources, results of operations or liquidity.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line="270" w:lineRule="auto"/>
        <w:rPr>
          <w:rFonts w:ascii="Arial" w:cs="Arial" w:eastAsia="Arial" w:hAnsi="Arial"/>
          <w:sz w:val="17"/>
          <w:szCs w:val="17"/>
          <w:color w:val="0000EE"/>
        </w:rPr>
      </w:pPr>
      <w:r>
        <w:rPr>
          <w:rFonts w:ascii="Arial" w:cs="Arial" w:eastAsia="Arial" w:hAnsi="Arial"/>
          <w:sz w:val="17"/>
          <w:szCs w:val="17"/>
          <w:color w:val="auto"/>
        </w:rPr>
        <w:t xml:space="preserve">Our discussion and analysis of our results of operations and financial position are based upon our consolidated financial statements, which have been prepared in conformity with U.S. generally accepted accounting principles. We review the accounting policies used in reporting our financial results on a regular basis. The preparation of these financial statements requires us to make estimates and assumptions that affect the reported amounts of assets and liabilities and the disclosure of contingent assets and liabilities at the date of the financial statements and the reported amounts of revenue and expenses during the reporting period. We evaluate our assumptions and estimates on an ongoing basis and may employ outside experts to assist in our evaluations. We believe that the </w:t>
      </w:r>
      <w:hyperlink w:anchor="page41">
        <w:r>
          <w:rPr>
            <w:rFonts w:ascii="Arial" w:cs="Arial" w:eastAsia="Arial" w:hAnsi="Arial"/>
            <w:sz w:val="17"/>
            <w:szCs w:val="17"/>
            <w:color w:val="auto"/>
          </w:rPr>
          <w:t xml:space="preserve">estimates we use are reasonable; however, actual results could differ from those estimates. Our significant accounting policies are described in </w:t>
        </w:r>
        <w:r>
          <w:rPr>
            <w:rFonts w:ascii="Arial" w:cs="Arial" w:eastAsia="Arial" w:hAnsi="Arial"/>
            <w:sz w:val="17"/>
            <w:szCs w:val="17"/>
            <w:u w:val="single" w:color="auto"/>
            <w:color w:val="0000EE"/>
          </w:rPr>
          <w:t>Note 1 -</w:t>
        </w:r>
      </w:hyperlink>
      <w:r>
        <w:rPr>
          <w:rFonts w:ascii="Arial" w:cs="Arial" w:eastAsia="Arial" w:hAnsi="Arial"/>
          <w:sz w:val="17"/>
          <w:szCs w:val="17"/>
          <w:color w:val="auto"/>
        </w:rPr>
        <w:t xml:space="preserve"> </w:t>
      </w:r>
      <w:hyperlink w:anchor="page41">
        <w:r>
          <w:rPr>
            <w:rFonts w:ascii="Arial" w:cs="Arial" w:eastAsia="Arial" w:hAnsi="Arial"/>
            <w:sz w:val="17"/>
            <w:szCs w:val="17"/>
            <w:u w:val="single" w:color="auto"/>
            <w:color w:val="0000EE"/>
          </w:rPr>
          <w:t>Business Description, Basis of Presentation and Significant Accounting Policies</w:t>
        </w:r>
        <w:r>
          <w:rPr>
            <w:rFonts w:ascii="Arial" w:cs="Arial" w:eastAsia="Arial" w:hAnsi="Arial"/>
            <w:sz w:val="17"/>
            <w:szCs w:val="17"/>
            <w:color w:val="0000EE"/>
          </w:rPr>
          <w:t xml:space="preserve"> </w:t>
        </w:r>
        <w:r>
          <w:rPr>
            <w:rFonts w:ascii="Arial" w:cs="Arial" w:eastAsia="Arial" w:hAnsi="Arial"/>
            <w:sz w:val="17"/>
            <w:szCs w:val="17"/>
            <w:color w:val="000000"/>
          </w:rPr>
          <w:t xml:space="preserve">to the Consolidated Financial Statements included in Part IV of this </w:t>
        </w:r>
      </w:hyperlink>
      <w:r>
        <w:rPr>
          <w:rFonts w:ascii="Arial" w:cs="Arial" w:eastAsia="Arial" w:hAnsi="Arial"/>
          <w:sz w:val="17"/>
          <w:szCs w:val="17"/>
          <w:color w:val="0000EE"/>
        </w:rPr>
        <w:t xml:space="preserve">report. </w:t>
      </w:r>
      <w:r>
        <w:rPr>
          <w:rFonts w:ascii="Arial" w:cs="Arial" w:eastAsia="Arial" w:hAnsi="Arial"/>
          <w:sz w:val="17"/>
          <w:szCs w:val="17"/>
          <w:color w:val="000000"/>
        </w:rPr>
        <w:t>We believe the following critical accounting policies identify our most critical accounting policies, which are the policies that are both important to the representation of our financial condition and results and require our most difficult, subjective or complex judgments, often as a result of the need to make estimates about the effect of matters that are inherently uncertain.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Associated Allowances for Revenue Adjustments and Doubtful Accounts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Included in continuing operations is product revenue, primarily from product sales to distributors, dealers, and end-users. Product revenue is recognized when</w:t>
      </w:r>
    </w:p>
    <w:p>
      <w:pPr>
        <w:spacing w:after="0" w:line="46" w:lineRule="exact"/>
        <w:rPr>
          <w:sz w:val="20"/>
          <w:szCs w:val="20"/>
          <w:color w:val="auto"/>
        </w:rPr>
      </w:pPr>
    </w:p>
    <w:p>
      <w:pPr>
        <w:ind w:right="60" w:firstLine="8"/>
        <w:spacing w:after="0" w:line="261" w:lineRule="auto"/>
        <w:tabs>
          <w:tab w:leader="none" w:pos="2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products are shipped and any right of return expires, (ii) persuasive evidence of an arrangement exists, (iii) the price is fixed and determinable, and (iv) collection is reasonably assured.</w:t>
      </w:r>
    </w:p>
    <w:p>
      <w:pPr>
        <w:spacing w:after="0" w:line="184"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We provide a right of return on product sales to certain distributors under a product rotation program. Under this seldom-used program, once a quarter, a distributor is allowed to return products purchased during the prior quarter for a total value generally not exceeding 15% of the distributor’s net purchases during the preceding quarter. The distributor is, however, required to place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MANAGEMENT'S DISCUSSION AND ANALYSIS OF FINANCIAL CONDITION AND RESULTS OF OPERATIONS</w:t>
      </w:r>
    </w:p>
    <w:p>
      <w:pPr>
        <w:spacing w:after="0" w:line="200" w:lineRule="exact"/>
        <w:rPr>
          <w:sz w:val="20"/>
          <w:szCs w:val="20"/>
          <w:color w:val="auto"/>
        </w:rPr>
      </w:pPr>
    </w:p>
    <w:p>
      <w:pPr>
        <w:spacing w:after="0" w:line="26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 new purchase order for an amount not less than the value of products returned under the stock rotation program. When products are returned, the associated revenue, cost of goods sold, inventory and accounts receivable originally recorded are reversed. When the new order is placed, the revenue, associated cost of goods sold, inventory and accounts receivable are recorded and the product revenue is subject to the deferral analysis described below. In a small number of cases, the distributors are also permitted to return the products for other business reasons.</w:t>
      </w:r>
    </w:p>
    <w:p>
      <w:pPr>
        <w:spacing w:after="0" w:line="1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Revenue from product sales to distributors is not recognized until the return privilege has expired or until it can be determined with reasonable certainty that the return privilege has expired, which approximates when the product is sold-through to customers of our distributors (dealers, system integrators, value-added resellers, and end-users), rather than when the product is initially shipped to a distributor. At each quarter-end, we evaluate the inventory in the distribution channel through information provided by our distributors. The level of inventory in the channel will fluctuate up-ward or down-ward each quarter based upon our distributors’ individual operations. Accordingly, each quarter-end deferral of revenue and associated cost of goods sold are calculated and recorded based upon the actual channel inventory reported at quarter-end. Further, with respect to distributors and other channel partners not reporting the channel inventory, the revenue and associated cost of goods sold are deferred until we receive payment for the product sales made to such distributors or channel partners.</w:t>
      </w:r>
    </w:p>
    <w:p>
      <w:pPr>
        <w:spacing w:after="0" w:line="19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accuracy of the deferred revenue and costs depend to a large extent on the accuracy of the inventory reports provided by our distributors and other resellers, and any material error in those reports would affect our revenue deferral. However, we believe that the controls we have in place, including periodic physical inventory verifications and analytical reviews, would help us identify and prevent any material errors in such reports. As part of these controls, we sample test the inventory of a limited number of distributors on an annual basis, most recently in the fourth quarter of 2014, to verify inventory levels reported.</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amount of deferred cost of goods sold was included in distributor channel inventories. The following table details the amount of deferred revenue, cost of goods sold, and gross profit: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40" w:type="dxa"/>
            <w:vAlign w:val="bottom"/>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As of December 31,</w:t>
            </w:r>
          </w:p>
        </w:tc>
        <w:tc>
          <w:tcPr>
            <w:tcW w:w="1660" w:type="dxa"/>
            <w:vAlign w:val="bottom"/>
            <w:tcBorders>
              <w:bottom w:val="single" w:sz="8" w:color="auto"/>
            </w:tcBorders>
          </w:tcPr>
          <w:p>
            <w:pPr>
              <w:spacing w:after="0"/>
              <w:rPr>
                <w:sz w:val="16"/>
                <w:szCs w:val="16"/>
                <w:color w:val="auto"/>
              </w:rPr>
            </w:pPr>
          </w:p>
        </w:tc>
      </w:tr>
      <w:tr>
        <w:trPr>
          <w:trHeight w:val="264"/>
        </w:trPr>
        <w:tc>
          <w:tcPr>
            <w:tcW w:w="6240" w:type="dxa"/>
            <w:vAlign w:val="bottom"/>
            <w:tcBorders>
              <w:bottom w:val="single" w:sz="8" w:color="CCEEFF"/>
            </w:tcBorders>
          </w:tcPr>
          <w:p>
            <w:pPr>
              <w:spacing w:after="0"/>
              <w:rPr>
                <w:sz w:val="22"/>
                <w:szCs w:val="22"/>
                <w:color w:val="auto"/>
              </w:rPr>
            </w:pPr>
          </w:p>
        </w:tc>
        <w:tc>
          <w:tcPr>
            <w:tcW w:w="17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2014</w:t>
            </w:r>
          </w:p>
        </w:tc>
        <w:tc>
          <w:tcPr>
            <w:tcW w:w="9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954"/>
              <w:spacing w:after="0"/>
              <w:rPr>
                <w:sz w:val="20"/>
                <w:szCs w:val="20"/>
                <w:color w:val="auto"/>
              </w:rPr>
            </w:pPr>
            <w:r>
              <w:rPr>
                <w:rFonts w:ascii="Arial" w:cs="Arial" w:eastAsia="Arial" w:hAnsi="Arial"/>
                <w:sz w:val="14"/>
                <w:szCs w:val="14"/>
                <w:b w:val="1"/>
                <w:bCs w:val="1"/>
                <w:color w:val="auto"/>
              </w:rPr>
              <w:t>2013</w:t>
            </w: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1740" w:type="dxa"/>
            <w:vAlign w:val="bottom"/>
            <w:tcBorders>
              <w:bottom w:val="single" w:sz="8" w:color="CCEEFF"/>
            </w:tcBorders>
            <w:shd w:val="clear" w:color="auto" w:fill="CCEEFF"/>
          </w:tcPr>
          <w:p>
            <w:pPr>
              <w:jc w:val="right"/>
              <w:ind w:right="1416"/>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5,004</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4,158</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Deferred cost of goods sold</w:t>
            </w:r>
          </w:p>
        </w:tc>
        <w:tc>
          <w:tcPr>
            <w:tcW w:w="174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1,698</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1,520</w:t>
            </w:r>
          </w:p>
        </w:tc>
      </w:tr>
      <w:tr>
        <w:trPr>
          <w:trHeight w:val="27"/>
        </w:trPr>
        <w:tc>
          <w:tcPr>
            <w:tcW w:w="624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gross profit</w:t>
            </w:r>
          </w:p>
        </w:tc>
        <w:tc>
          <w:tcPr>
            <w:tcW w:w="1740" w:type="dxa"/>
            <w:vAlign w:val="bottom"/>
            <w:tcBorders>
              <w:bottom w:val="single" w:sz="8" w:color="auto"/>
            </w:tcBorders>
            <w:shd w:val="clear" w:color="auto" w:fill="CCEEFF"/>
          </w:tcPr>
          <w:p>
            <w:pPr>
              <w:jc w:val="right"/>
              <w:ind w:right="153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3,306</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2,638</w:t>
            </w:r>
          </w:p>
        </w:tc>
      </w:tr>
      <w:tr>
        <w:trPr>
          <w:trHeight w:val="20"/>
        </w:trPr>
        <w:tc>
          <w:tcPr>
            <w:tcW w:w="62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offer rebates and market development funds to certain of our distributors, dealers/resellers, and end-users based upon volume of product purchased by them. We record rebates quarterly as a reduction of revenue in accordance with GAAP.</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offer credit terms on the sale of our products to a majority of our channel partners and perform ongoing credit evaluations of our customers’ financial condition. We maintain an allowance for doubtful accounts for estimated losses resulting from the inability or unwillingness of our channel partners to make required payments based upon our historical collection experience and expected collectability of all accounts receivable. Our actual bad debts in future periods may differ from our current estimates and the differences may be material, which may have an adverse impact on our future accounts receivable and cash position.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Goodwill and Intangible Assets</w:t>
      </w:r>
    </w:p>
    <w:p>
      <w:pPr>
        <w:spacing w:after="0" w:line="229"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We allocated the purchase price for the acquisitions of NetStreams in 2009, MagicBox in 2011, VCON in 2012, and Sabine and Spontania in 2014 on the basis of well-established valuation techniques performed by qualified experts. Goodwill is measured as the excess of the cost of acquisition over the sum of the amounts assigned to tangible and identifiable intangible assets acquired less liabilities assumed. We perform impairment tests of goodwill and intangible assets with indefinite useful lives on an annual basis in the fourth fiscal quarter, or sooner if a triggering event occurs suggesting possible impairment of the values of these assets. In association with the acquisition of NetStreams, $726 thousand and $400 thousand were recorded as goodwill and intangible assets with indefinite useful life, respectively. With respect to the MagicBox acquisition, $427 thousand and $159 thousand were recorded as goodwill and intangible assets with indefinite useful life, respectively. Assets, with initial indefinite useful lives, have subsequently received finite life assignments. Goodwill of $2.3 million was recorded in connection with the VCON acquisition. With respect to the Sabine acquisition, we recorded goodwill of $5.5 million and identifiable intangible assets of $4.0 million with finite useful lives. With respect to the Spontania acquisition, we recorded goodwill of $3.7</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MANAGEMENT'S DISCUSSION AND ANALYSIS OF FINANCIAL CONDITION AND RESULTS OF OPERATIONS</w:t>
      </w:r>
    </w:p>
    <w:p>
      <w:pPr>
        <w:spacing w:after="0" w:line="200" w:lineRule="exact"/>
        <w:rPr>
          <w:sz w:val="20"/>
          <w:szCs w:val="20"/>
          <w:color w:val="auto"/>
        </w:rPr>
      </w:pPr>
    </w:p>
    <w:p>
      <w:pPr>
        <w:spacing w:after="0" w:line="26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million and identifiable intangible assets of $1.3 million with finite useful lives. There were no related impairments recorded in 2014 or 2013 as no impairment indicators existed. However, due to uncertainty in the industrial, technological, and competitive environments in which we operate, we might be required to exit or dispose of the assets acquired through the NetStreams, MagicBox, VCON, Sabine, or Spontania acquisitions, which could result in an impairment of goodwill and intangible assets.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assess the impairment of long-lived assets, such as property and equipment and definite-lived intangibles subject to amortization, annually or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 Assets held for sale are reported at the lower of the carrying amount or fair value, less the estimated costs to sell.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22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are subject to income taxes in both the United States and in certain non-U.S. jurisdictions. We estimate our current tax position together with our future tax consequences attributable to temporary differences resulting from differing treatment of items, such as deferred revenue, depreciation, and other reserves for tax and accounting purposes. These temporary differences result in deferred tax assets and liabilities. We must then assess the likelihood that our deferred tax assets will be recovered from future taxable income, prior year carryback, or future reversals of existing taxable temporary differences. To the extent we believe that recovery is not more likely than not, we establish a valuation allowance against these deferred tax assets. Significant judgment is required in determining our provision for income taxes, our deferred tax assets and liabilities, and any valuation allowance recorded against our deferred tax assets.</w:t>
      </w:r>
    </w:p>
    <w:p>
      <w:pPr>
        <w:spacing w:after="0" w:line="165" w:lineRule="exact"/>
        <w:rPr>
          <w:sz w:val="20"/>
          <w:szCs w:val="20"/>
          <w:color w:val="auto"/>
        </w:rPr>
      </w:pPr>
    </w:p>
    <w:p>
      <w:pPr>
        <w:ind w:right="40"/>
        <w:spacing w:after="0" w:line="297" w:lineRule="auto"/>
        <w:rPr>
          <w:rFonts w:ascii="Arial" w:cs="Arial" w:eastAsia="Arial" w:hAnsi="Arial"/>
          <w:sz w:val="16"/>
          <w:szCs w:val="16"/>
          <w:color w:val="auto"/>
        </w:rPr>
      </w:pPr>
      <w:r>
        <w:rPr>
          <w:rFonts w:ascii="Arial" w:cs="Arial" w:eastAsia="Arial" w:hAnsi="Arial"/>
          <w:sz w:val="16"/>
          <w:szCs w:val="16"/>
          <w:color w:val="auto"/>
        </w:rPr>
        <w:t xml:space="preserve">To the extent we establish a valuation allowance in a period, we must include and expense the allowance within the tax provision in the consolidated statement of operations. In accordance with ASC Topic 740, "Accounting for Income Taxes", we analyzed our valuation allowance at December 31, 2014 and determined that based upon available evidence it is more likely than not that certain of our deferred tax assets related to foreign net operating loss carryovers and state research and development credits will not be realized and, accordingly, we have recorded a valuation allowance against these deferred tax assets in the amount of $786 thousand. Please refer to </w:t>
      </w:r>
      <w:hyperlink w:anchor="page56">
        <w:r>
          <w:rPr>
            <w:rFonts w:ascii="Arial" w:cs="Arial" w:eastAsia="Arial" w:hAnsi="Arial"/>
            <w:sz w:val="16"/>
            <w:szCs w:val="16"/>
            <w:u w:val="single" w:color="auto"/>
            <w:color w:val="0000EE"/>
          </w:rPr>
          <w:t>Note 12 - Income Taxes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in the Notes to Consolidated Financial Statements for additional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Lower-of-Cost or Market Adjustments and Reserves for Excess and Obsolete Inventory</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account for our inventory on a first-in, first-out basis, and make appropriate adjustments on a quarterly basis to write down the value of inventory to the lower-of-cost or market. In addition to the price of the product purchased, the cost of inventory includes our internal manufacturing costs, including warehousing, material purchasing, quality and product planning expenses.</w:t>
      </w:r>
    </w:p>
    <w:p>
      <w:pPr>
        <w:spacing w:after="0" w:line="18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perform a quarterly analysis of obsolete and slow-moving inventory to determine if any inventory needs to be written down. In general, we write-down our excess and obsolete inventory by an amount that is equal to the difference between the cost of the inventory and its estimated market value if market value is less than cost, based upon assumptions about future product life-cycles, product demand, shelf life of the product, inter-changeability of the product and market conditions. Those items that are found to have a supply in excess of our estimated current demand are considered to be slow-moving or obsolete and classified as long-term. An appropriate reserve is made to write down the value of that inventory to its expected realizable value. These charges are recorded in cost of goods sold. The reserve against slow-moving or obsolete inventory is increased or reduced based on several factors which, among other things, require us to make an estimate of a product’s life-cycle, potential demand and our ability to sell these products at estimated price levels. While we make considerable efforts to calculate reasonable estimates of these variables, actual results may vary. If there were to be a sudden and significant decrease in demand for our products, or if there were a higher incidence of inventory obsolescence because of changing technology and customer requirements, we could be required to increase our inventory allowances, and our gross profit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MANAGEMENT'S DISCUSSION AND ANALYSIS OF FINANCIAL CONDITION AND RESULTS OF OPERATIONS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estimate the fair value of stock options using the Black-Scholes option pricing model, which requires certain estimates, including an expected forfeiture rate and expected term of options granted. We also make decisions regarding the method of calculating expected volatilities and the risk-free interest rate used in the option-pricing model. The resulting calculated fair value of stock options is recognized as compensation expense over the requisite service period, which is generally the vesting period. When there are changes to the assumptions used in the option-pricing model, including fluctuations in the market price of our common stock, there will be variations in the calculated fair value of our future stock option awards, which results in variation in the compensation cost recognized.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PRONOUNCEMENTS</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May 2014, the FASB issued ASU 2014-09, Revenue from Contracts with Customers (Topic 606), requiring an entity to recognize the amount of revenue to which it expects to be entitled for the transfer of promised goods or services to customers. The updated standard will replace most existing revenue recognition guidance in U.S. GAAP when it becomes effective and permits the use of either a full retrospective or retrospective with cumulative effect transition method. Early adoption is not permitted. The updated standard becomes effective for the Company on January 1, 2017. The Company has not yet selected a transition method and is currently evaluating the effect that the updated standard will have on the consolidated financial statements.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right="38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Financial statements and supplementary data required by this are included herein as a </w:t>
      </w:r>
      <w:hyperlink w:anchor="page33">
        <w:r>
          <w:rPr>
            <w:rFonts w:ascii="Arial" w:cs="Arial" w:eastAsia="Arial" w:hAnsi="Arial"/>
            <w:sz w:val="18"/>
            <w:szCs w:val="18"/>
            <w:u w:val="single" w:color="auto"/>
            <w:color w:val="0000EE"/>
          </w:rPr>
          <w:t>separate section</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Form 10-K, beginning on page F-1, and are incorporated in this Item 8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We maintain disclosure controls and procedures designed to ensure that information required to be disclosed in our reports filed under the Securities Exchange Act of 1934, as amended (the “Exchange Act”), is recorded, processed, summarized, and reported within the required time periods, and that such information is accumulated and communicated to our management, including our Chief Executive Officer and Principal Financial Officer, as appropriate, to allow for timely decisions regarding required disclosure. As required by Rule 13a-15 under the Exchange Act, we have completed an evaluation, under the supervision and with the participation of our management, including the Chief Executive Officer and the Principal Financial Officer, of the effectiveness and the design and operation of our disclosure controls and procedures as of December 31, 2014. Our disclosure controls and procedures are designed to provide reasonable assurance of achieving their objectives and, based upon this evaluation, our Chief Executive Officer and Principal Financial Officer concluded that, as of the end of the period covered by this Annual Report, our disclosure controls and procedures are effective at a reasonable assurance level.</w:t>
      </w:r>
    </w:p>
    <w:p>
      <w:pPr>
        <w:spacing w:after="0" w:line="193" w:lineRule="exact"/>
        <w:rPr>
          <w:sz w:val="20"/>
          <w:szCs w:val="20"/>
          <w:color w:val="auto"/>
        </w:rPr>
      </w:pPr>
    </w:p>
    <w:p>
      <w:pPr>
        <w:ind w:right="140"/>
        <w:spacing w:after="0" w:line="341" w:lineRule="auto"/>
        <w:rPr>
          <w:sz w:val="20"/>
          <w:szCs w:val="20"/>
          <w:color w:val="auto"/>
        </w:rPr>
      </w:pPr>
      <w:r>
        <w:rPr>
          <w:rFonts w:ascii="Arial" w:cs="Arial" w:eastAsia="Arial" w:hAnsi="Arial"/>
          <w:sz w:val="16"/>
          <w:szCs w:val="16"/>
          <w:color w:val="auto"/>
        </w:rPr>
        <w:t>The effectiveness of any system of disclosure controls and procedures is subject to certain limitations, including the exercise of judgment in designing, implementing, and evaluating the controls and procedures, the assumptions used in identifying the likelihood of future events, and the inability to eliminate improper conduct completely.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As a result, there can be no assurance that our disclosure controls and procedures will detect all errors or fraud</w:t>
      </w:r>
      <w:r>
        <w:rPr>
          <w:rFonts w:ascii="Arial" w:cs="Arial" w:eastAsia="Arial" w:hAnsi="Arial"/>
          <w:sz w:val="19"/>
          <w:szCs w:val="19"/>
          <w:color w:val="auto"/>
        </w:rPr>
        <w: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1400"/>
          </w:cols>
          <w:pgMar w:left="240" w:top="121" w:right="25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United States generally accepted accounting principles.</w:t>
      </w:r>
    </w:p>
    <w:p>
      <w:pPr>
        <w:spacing w:after="0" w:line="3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Our management conducted an evaluation of the effectiveness of our internal control over financial reporting as of December 31, 2014 based on the framework set forth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Based on our assessment using that criteria, management concluded that the design and operation of our internal control over financial reporting were effective as of December 31, 2014.</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This annual report does not include an attestation report of our independent registered public accounting firm regarding internal control over financial reporting. Management's report was not subject to attestation by our independent registered public accounting firm pursuant to the rules of the SEC applicable to smaller reporting companies.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fourth fiscal quarter that have materially affected, or are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27 |</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7"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 xml:space="preserve">The information required by this item is incorporated herein by reference to the definitive proxy statement for our 2015 annual meeting of shareholders </w:t>
      </w:r>
      <w:r>
        <w:rPr>
          <w:rFonts w:ascii="Arial" w:cs="Arial" w:eastAsia="Arial" w:hAnsi="Arial"/>
          <w:sz w:val="16"/>
          <w:szCs w:val="16"/>
          <w:color w:val="auto"/>
        </w:rPr>
        <w:t>or an</w:t>
      </w:r>
      <w:r>
        <w:rPr>
          <w:rFonts w:ascii="Arial" w:cs="Arial" w:eastAsia="Arial" w:hAnsi="Arial"/>
          <w:sz w:val="18"/>
          <w:szCs w:val="18"/>
          <w:color w:val="auto"/>
        </w:rPr>
        <w:t xml:space="preserve"> </w:t>
      </w:r>
      <w:r>
        <w:rPr>
          <w:rFonts w:ascii="Arial" w:cs="Arial" w:eastAsia="Arial" w:hAnsi="Arial"/>
          <w:sz w:val="16"/>
          <w:szCs w:val="16"/>
          <w:color w:val="auto"/>
        </w:rPr>
        <w:t>amendment to this Annual Report on Form 10-K, which will be filed with the Securities and Exchange Commission within 120 days after the end of our fiscal year covered by this Annual Report on form 10-K.</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9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 xml:space="preserve">The information required by this item is incorporated herein by reference to the definitive proxy statement for our 2015 annual meeting of shareholders </w:t>
      </w:r>
      <w:r>
        <w:rPr>
          <w:rFonts w:ascii="Arial" w:cs="Arial" w:eastAsia="Arial" w:hAnsi="Arial"/>
          <w:sz w:val="16"/>
          <w:szCs w:val="16"/>
          <w:color w:val="auto"/>
        </w:rPr>
        <w:t>or an</w:t>
      </w:r>
      <w:r>
        <w:rPr>
          <w:rFonts w:ascii="Arial" w:cs="Arial" w:eastAsia="Arial" w:hAnsi="Arial"/>
          <w:sz w:val="18"/>
          <w:szCs w:val="18"/>
          <w:color w:val="auto"/>
        </w:rPr>
        <w:t xml:space="preserve"> </w:t>
      </w:r>
      <w:r>
        <w:rPr>
          <w:rFonts w:ascii="Arial" w:cs="Arial" w:eastAsia="Arial" w:hAnsi="Arial"/>
          <w:sz w:val="16"/>
          <w:szCs w:val="16"/>
          <w:color w:val="auto"/>
        </w:rPr>
        <w:t>amendment to this Annual Report on Form 10-K, which will be filed with the Securities and Exchange Commission within 120 days after the end of our fiscal year covered by this Annual Report on form 10-K.</w:t>
      </w:r>
    </w:p>
    <w:p>
      <w:pPr>
        <w:spacing w:after="0" w:line="391"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jc w:val="both"/>
        <w:spacing w:after="0" w:line="267" w:lineRule="auto"/>
        <w:rPr>
          <w:sz w:val="20"/>
          <w:szCs w:val="20"/>
          <w:color w:val="auto"/>
        </w:rPr>
      </w:pPr>
      <w:r>
        <w:rPr>
          <w:rFonts w:ascii="Arial" w:cs="Arial" w:eastAsia="Arial" w:hAnsi="Arial"/>
          <w:sz w:val="18"/>
          <w:szCs w:val="18"/>
          <w:color w:val="auto"/>
        </w:rPr>
        <w:t xml:space="preserve">The information required by this item is incorporated herein by reference to the definitive proxy statement for our 2015 annual meeting of shareholders </w:t>
      </w:r>
      <w:r>
        <w:rPr>
          <w:rFonts w:ascii="Arial" w:cs="Arial" w:eastAsia="Arial" w:hAnsi="Arial"/>
          <w:sz w:val="16"/>
          <w:szCs w:val="16"/>
          <w:color w:val="auto"/>
        </w:rPr>
        <w:t>or an</w:t>
      </w:r>
      <w:r>
        <w:rPr>
          <w:rFonts w:ascii="Arial" w:cs="Arial" w:eastAsia="Arial" w:hAnsi="Arial"/>
          <w:sz w:val="18"/>
          <w:szCs w:val="18"/>
          <w:color w:val="auto"/>
        </w:rPr>
        <w:t xml:space="preserve"> </w:t>
      </w:r>
      <w:r>
        <w:rPr>
          <w:rFonts w:ascii="Arial" w:cs="Arial" w:eastAsia="Arial" w:hAnsi="Arial"/>
          <w:sz w:val="16"/>
          <w:szCs w:val="16"/>
          <w:color w:val="auto"/>
        </w:rPr>
        <w:t>amendment to this Annual Report on Form 10-K, which will be filed with the Securities and Exchange Commission within 120 days after the end of our fiscal year covered by this Annual Report on form 10-K.</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9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 xml:space="preserve">The information required by this item is incorporated herein by reference to the definitive proxy statement for our 2015 annual meeting of shareholders </w:t>
      </w:r>
      <w:r>
        <w:rPr>
          <w:rFonts w:ascii="Arial" w:cs="Arial" w:eastAsia="Arial" w:hAnsi="Arial"/>
          <w:sz w:val="16"/>
          <w:szCs w:val="16"/>
          <w:color w:val="auto"/>
        </w:rPr>
        <w:t>or an</w:t>
      </w:r>
      <w:r>
        <w:rPr>
          <w:rFonts w:ascii="Arial" w:cs="Arial" w:eastAsia="Arial" w:hAnsi="Arial"/>
          <w:sz w:val="18"/>
          <w:szCs w:val="18"/>
          <w:color w:val="auto"/>
        </w:rPr>
        <w:t xml:space="preserve"> </w:t>
      </w:r>
      <w:r>
        <w:rPr>
          <w:rFonts w:ascii="Arial" w:cs="Arial" w:eastAsia="Arial" w:hAnsi="Arial"/>
          <w:sz w:val="16"/>
          <w:szCs w:val="16"/>
          <w:color w:val="auto"/>
        </w:rPr>
        <w:t>amendment to this Annual Report on Form 10-K, which will be filed with the Securities and Exchange Commission within 120 days after the end of our fiscal year covered by this Annual Report on form 10-K.</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7"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 xml:space="preserve">The information required by this item is incorporated herein by reference to the definitive proxy statement for our 2015 annual meeting of shareholders </w:t>
      </w:r>
      <w:r>
        <w:rPr>
          <w:rFonts w:ascii="Arial" w:cs="Arial" w:eastAsia="Arial" w:hAnsi="Arial"/>
          <w:sz w:val="16"/>
          <w:szCs w:val="16"/>
          <w:color w:val="auto"/>
        </w:rPr>
        <w:t>or an</w:t>
      </w:r>
      <w:r>
        <w:rPr>
          <w:rFonts w:ascii="Arial" w:cs="Arial" w:eastAsia="Arial" w:hAnsi="Arial"/>
          <w:sz w:val="18"/>
          <w:szCs w:val="18"/>
          <w:color w:val="auto"/>
        </w:rPr>
        <w:t xml:space="preserve"> </w:t>
      </w:r>
      <w:r>
        <w:rPr>
          <w:rFonts w:ascii="Arial" w:cs="Arial" w:eastAsia="Arial" w:hAnsi="Arial"/>
          <w:sz w:val="16"/>
          <w:szCs w:val="16"/>
          <w:color w:val="auto"/>
        </w:rPr>
        <w:t>amendment to this Annual Report on Form 10-K, which will be filed with the Securities and Exchange Commission within 120 days after the end of our fiscal year covered by this Annual Report on form 10-K.</w:t>
      </w: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28 |</w:t>
      </w:r>
    </w:p>
    <w:p>
      <w:pPr>
        <w:sectPr>
          <w:pgSz w:w="11900" w:h="16838" w:orient="portrait"/>
          <w:cols w:equalWidth="0" w:num="1">
            <w:col w:w="11360"/>
          </w:cols>
          <w:pgMar w:left="240" w:top="121" w:right="29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left="260" w:hanging="252"/>
        <w:spacing w:after="0" w:line="277" w:lineRule="auto"/>
        <w:tabs>
          <w:tab w:leader="none" w:pos="197"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Financial Statements: Financial statements set forth under Part II, Item 8 of this Annual Report on Form 10-K are filed in a separate section of this Form 10-K. See the "Index to Consolidated Financial Statements".</w:t>
      </w:r>
    </w:p>
    <w:p>
      <w:pPr>
        <w:spacing w:after="0" w:line="278" w:lineRule="exact"/>
        <w:rPr>
          <w:rFonts w:ascii="Arial" w:cs="Arial" w:eastAsia="Arial" w:hAnsi="Arial"/>
          <w:sz w:val="18"/>
          <w:szCs w:val="18"/>
          <w:color w:val="auto"/>
        </w:rPr>
      </w:pPr>
    </w:p>
    <w:p>
      <w:pPr>
        <w:ind w:left="260" w:right="640" w:hanging="252"/>
        <w:spacing w:after="0" w:line="277" w:lineRule="auto"/>
        <w:tabs>
          <w:tab w:leader="none" w:pos="197"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Financial Statement Schedules: All schedules are omitted since they either are not required, not applicable or the information is presented in the accompanying consolidated financial statements and notes thereto.</w:t>
      </w:r>
    </w:p>
    <w:p>
      <w:pPr>
        <w:spacing w:after="0" w:line="278" w:lineRule="exact"/>
        <w:rPr>
          <w:rFonts w:ascii="Arial" w:cs="Arial" w:eastAsia="Arial" w:hAnsi="Arial"/>
          <w:sz w:val="18"/>
          <w:szCs w:val="18"/>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Exhibits: The exhibits listed under the Index of exhibits in the next page are filed or incorporated by reference as part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 29 |</w:t>
      </w:r>
    </w:p>
    <w:p>
      <w:pPr>
        <w:sectPr>
          <w:pgSz w:w="11900" w:h="16838" w:orient="portrait"/>
          <w:cols w:equalWidth="0" w:num="1">
            <w:col w:w="11180"/>
          </w:cols>
          <w:pgMar w:left="240" w:top="121" w:right="47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INDEX TO EXHIBITS</w:t>
      </w:r>
    </w:p>
    <w:p>
      <w:pPr>
        <w:spacing w:after="0" w:line="200" w:lineRule="exact"/>
        <w:rPr>
          <w:sz w:val="20"/>
          <w:szCs w:val="20"/>
          <w:color w:val="auto"/>
        </w:rPr>
      </w:pPr>
    </w:p>
    <w:p>
      <w:pPr>
        <w:spacing w:after="0" w:line="278"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6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Incorporated</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gridSpan w:val="2"/>
            <w:vMerge w:val="continue"/>
          </w:tcPr>
          <w:p>
            <w:pPr>
              <w:spacing w:after="0"/>
              <w:rPr>
                <w:sz w:val="12"/>
                <w:szCs w:val="12"/>
                <w:color w:val="auto"/>
              </w:rPr>
            </w:pPr>
          </w:p>
        </w:tc>
        <w:tc>
          <w:tcPr>
            <w:tcW w:w="6980" w:type="dxa"/>
            <w:vAlign w:val="bottom"/>
            <w:vMerge w:val="restart"/>
          </w:tcPr>
          <w:p>
            <w:pPr>
              <w:ind w:left="290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2"/>
                <w:szCs w:val="12"/>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vMerge w:val="restart"/>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Herein by</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205"/>
        </w:trPr>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7"/>
                <w:szCs w:val="17"/>
                <w:color w:val="auto"/>
              </w:rPr>
            </w:pPr>
          </w:p>
        </w:tc>
        <w:tc>
          <w:tcPr>
            <w:tcW w:w="698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Reference</w:t>
            </w:r>
          </w:p>
        </w:tc>
        <w:tc>
          <w:tcPr>
            <w:tcW w:w="100" w:type="dxa"/>
            <w:vAlign w:val="bottom"/>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020" w:type="dxa"/>
            <w:vAlign w:val="bottom"/>
          </w:tcPr>
          <w:p>
            <w:pPr>
              <w:ind w:left="40"/>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9"/>
                <w:szCs w:val="19"/>
                <w:color w:val="auto"/>
              </w:rPr>
            </w:pPr>
          </w:p>
        </w:tc>
        <w:tc>
          <w:tcPr>
            <w:tcW w:w="7100" w:type="dxa"/>
            <w:vAlign w:val="bottom"/>
            <w:gridSpan w:val="2"/>
          </w:tcPr>
          <w:p>
            <w:pPr>
              <w:ind w:left="40"/>
              <w:spacing w:after="0"/>
              <w:rPr>
                <w:sz w:val="20"/>
                <w:szCs w:val="20"/>
                <w:color w:val="auto"/>
              </w:rPr>
            </w:pPr>
            <w:r>
              <w:rPr>
                <w:rFonts w:ascii="Arial" w:cs="Arial" w:eastAsia="Arial" w:hAnsi="Arial"/>
                <w:sz w:val="16"/>
                <w:szCs w:val="16"/>
                <w:color w:val="auto"/>
                <w:w w:val="93"/>
              </w:rPr>
              <w:t>Agreement and Plan of Merger, dated as of November 3, 2009, by and among ClearOne Communications,</w:t>
            </w:r>
          </w:p>
        </w:tc>
        <w:tc>
          <w:tcPr>
            <w:tcW w:w="680" w:type="dxa"/>
            <w:vAlign w:val="bottom"/>
            <w:gridSpan w:val="2"/>
          </w:tcPr>
          <w:p>
            <w:pPr>
              <w:jc w:val="center"/>
              <w:ind w:right="100"/>
              <w:spacing w:after="0"/>
              <w:rPr>
                <w:sz w:val="20"/>
                <w:szCs w:val="20"/>
                <w:color w:val="auto"/>
              </w:rPr>
            </w:pPr>
            <w:r>
              <w:rPr>
                <w:rFonts w:ascii="Arial" w:cs="Arial" w:eastAsia="Arial" w:hAnsi="Arial"/>
                <w:sz w:val="16"/>
                <w:szCs w:val="16"/>
                <w:color w:val="auto"/>
              </w:rPr>
              <w:t>8-K</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2.2</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11/09/09</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00" w:type="dxa"/>
            <w:vAlign w:val="bottom"/>
            <w:gridSpan w:val="2"/>
          </w:tcPr>
          <w:p>
            <w:pPr>
              <w:ind w:left="40"/>
              <w:spacing w:after="0"/>
              <w:rPr>
                <w:sz w:val="20"/>
                <w:szCs w:val="20"/>
                <w:color w:val="auto"/>
              </w:rPr>
            </w:pPr>
            <w:r>
              <w:rPr>
                <w:rFonts w:ascii="Arial" w:cs="Arial" w:eastAsia="Arial" w:hAnsi="Arial"/>
                <w:sz w:val="16"/>
                <w:szCs w:val="16"/>
                <w:color w:val="auto"/>
                <w:w w:val="98"/>
              </w:rPr>
              <w:t>Inc., Alta-Wasatch Acquisition Corporation, NetStreams, Inc., Austin Ventures VIII, L.P., and Kevin A.</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Reinis.</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020" w:type="dxa"/>
            <w:vAlign w:val="bottom"/>
          </w:tcPr>
          <w:p>
            <w:pPr>
              <w:ind w:left="40"/>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2"/>
                <w:szCs w:val="22"/>
                <w:color w:val="auto"/>
              </w:rPr>
            </w:pP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Amended and Restated Articles of Incorporation of ClearOne, Inc.</w:t>
            </w:r>
          </w:p>
        </w:tc>
        <w:tc>
          <w:tcPr>
            <w:tcW w:w="680" w:type="dxa"/>
            <w:vAlign w:val="bottom"/>
            <w:gridSpan w:val="2"/>
          </w:tcPr>
          <w:p>
            <w:pPr>
              <w:jc w:val="center"/>
              <w:ind w:right="100"/>
              <w:spacing w:after="0"/>
              <w:rPr>
                <w:sz w:val="20"/>
                <w:szCs w:val="20"/>
                <w:color w:val="auto"/>
              </w:rPr>
            </w:pPr>
            <w:r>
              <w:rPr>
                <w:rFonts w:ascii="Arial" w:cs="Arial" w:eastAsia="Arial" w:hAnsi="Arial"/>
                <w:sz w:val="16"/>
                <w:szCs w:val="16"/>
                <w:color w:val="auto"/>
              </w:rPr>
              <w:t>10-K</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03/25/13</w:t>
            </w:r>
          </w:p>
        </w:tc>
        <w:tc>
          <w:tcPr>
            <w:tcW w:w="0" w:type="dxa"/>
            <w:vAlign w:val="bottom"/>
          </w:tcPr>
          <w:p>
            <w:pPr>
              <w:spacing w:after="0"/>
              <w:rPr>
                <w:sz w:val="1"/>
                <w:szCs w:val="1"/>
                <w:color w:val="auto"/>
              </w:rPr>
            </w:pPr>
          </w:p>
        </w:tc>
      </w:tr>
      <w:tr>
        <w:trPr>
          <w:trHeight w:val="270"/>
        </w:trPr>
        <w:tc>
          <w:tcPr>
            <w:tcW w:w="1020" w:type="dxa"/>
            <w:vAlign w:val="bottom"/>
          </w:tcPr>
          <w:p>
            <w:pPr>
              <w:ind w:left="40"/>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3"/>
                <w:szCs w:val="23"/>
                <w:color w:val="auto"/>
              </w:rPr>
            </w:pP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Bylaws</w:t>
            </w:r>
          </w:p>
        </w:tc>
        <w:tc>
          <w:tcPr>
            <w:tcW w:w="680" w:type="dxa"/>
            <w:vAlign w:val="bottom"/>
            <w:gridSpan w:val="2"/>
          </w:tcPr>
          <w:p>
            <w:pPr>
              <w:jc w:val="center"/>
              <w:ind w:right="100"/>
              <w:spacing w:after="0"/>
              <w:rPr>
                <w:sz w:val="20"/>
                <w:szCs w:val="20"/>
                <w:color w:val="auto"/>
              </w:rPr>
            </w:pPr>
            <w:r>
              <w:rPr>
                <w:rFonts w:ascii="Arial" w:cs="Arial" w:eastAsia="Arial" w:hAnsi="Arial"/>
                <w:sz w:val="16"/>
                <w:szCs w:val="16"/>
                <w:color w:val="auto"/>
              </w:rPr>
              <w:t>10-K</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10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03/31/11</w:t>
            </w:r>
          </w:p>
        </w:tc>
        <w:tc>
          <w:tcPr>
            <w:tcW w:w="0" w:type="dxa"/>
            <w:vAlign w:val="bottom"/>
          </w:tcPr>
          <w:p>
            <w:pPr>
              <w:spacing w:after="0"/>
              <w:rPr>
                <w:sz w:val="1"/>
                <w:szCs w:val="1"/>
                <w:color w:val="auto"/>
              </w:rPr>
            </w:pPr>
          </w:p>
        </w:tc>
      </w:tr>
      <w:tr>
        <w:trPr>
          <w:trHeight w:val="266"/>
        </w:trPr>
        <w:tc>
          <w:tcPr>
            <w:tcW w:w="1020" w:type="dxa"/>
            <w:vAlign w:val="bottom"/>
          </w:tcPr>
          <w:p>
            <w:pPr>
              <w:ind w:left="40"/>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3"/>
                <w:szCs w:val="23"/>
                <w:color w:val="auto"/>
              </w:rPr>
            </w:pPr>
          </w:p>
        </w:tc>
        <w:tc>
          <w:tcPr>
            <w:tcW w:w="7100" w:type="dxa"/>
            <w:vAlign w:val="bottom"/>
            <w:gridSpan w:val="2"/>
          </w:tcPr>
          <w:p>
            <w:pPr>
              <w:ind w:left="40"/>
              <w:spacing w:after="0"/>
              <w:rPr>
                <w:sz w:val="20"/>
                <w:szCs w:val="20"/>
                <w:color w:val="auto"/>
              </w:rPr>
            </w:pPr>
            <w:r>
              <w:rPr>
                <w:rFonts w:ascii="Arial" w:cs="Arial" w:eastAsia="Arial" w:hAnsi="Arial"/>
                <w:sz w:val="16"/>
                <w:szCs w:val="16"/>
                <w:color w:val="auto"/>
                <w:w w:val="95"/>
              </w:rPr>
              <w:t>Employment Separation Agreement between ClearOne Communications, Inc. and Frances Flood, dated</w:t>
            </w:r>
          </w:p>
        </w:tc>
        <w:tc>
          <w:tcPr>
            <w:tcW w:w="680" w:type="dxa"/>
            <w:vAlign w:val="bottom"/>
            <w:gridSpan w:val="2"/>
          </w:tcPr>
          <w:p>
            <w:pPr>
              <w:jc w:val="center"/>
              <w:ind w:right="100"/>
              <w:spacing w:after="0"/>
              <w:rPr>
                <w:sz w:val="20"/>
                <w:szCs w:val="20"/>
                <w:color w:val="auto"/>
              </w:rPr>
            </w:pPr>
            <w:r>
              <w:rPr>
                <w:rFonts w:ascii="Arial" w:cs="Arial" w:eastAsia="Arial" w:hAnsi="Arial"/>
                <w:sz w:val="16"/>
                <w:szCs w:val="16"/>
                <w:color w:val="auto"/>
              </w:rPr>
              <w:t>10-K</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0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08/18/05</w:t>
            </w:r>
          </w:p>
        </w:tc>
        <w:tc>
          <w:tcPr>
            <w:tcW w:w="0" w:type="dxa"/>
            <w:vAlign w:val="bottom"/>
          </w:tcPr>
          <w:p>
            <w:pPr>
              <w:spacing w:after="0"/>
              <w:rPr>
                <w:sz w:val="1"/>
                <w:szCs w:val="1"/>
                <w:color w:val="auto"/>
              </w:rPr>
            </w:pPr>
          </w:p>
        </w:tc>
      </w:tr>
      <w:tr>
        <w:trPr>
          <w:trHeight w:val="20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December 5, 2003</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1020" w:type="dxa"/>
            <w:vAlign w:val="bottom"/>
          </w:tcPr>
          <w:p>
            <w:pPr>
              <w:ind w:left="40"/>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1"/>
                <w:szCs w:val="21"/>
                <w:color w:val="auto"/>
              </w:rPr>
            </w:pPr>
          </w:p>
        </w:tc>
        <w:tc>
          <w:tcPr>
            <w:tcW w:w="7100" w:type="dxa"/>
            <w:vAlign w:val="bottom"/>
            <w:gridSpan w:val="2"/>
          </w:tcPr>
          <w:p>
            <w:pPr>
              <w:ind w:left="40"/>
              <w:spacing w:after="0"/>
              <w:rPr>
                <w:sz w:val="20"/>
                <w:szCs w:val="20"/>
                <w:color w:val="auto"/>
              </w:rPr>
            </w:pPr>
            <w:r>
              <w:rPr>
                <w:rFonts w:ascii="Arial" w:cs="Arial" w:eastAsia="Arial" w:hAnsi="Arial"/>
                <w:sz w:val="16"/>
                <w:szCs w:val="16"/>
                <w:color w:val="auto"/>
                <w:w w:val="95"/>
              </w:rPr>
              <w:t>Employment Termination Agreement between ClearOne Communications, Inc. and Susie Strohm, dated</w:t>
            </w:r>
          </w:p>
        </w:tc>
        <w:tc>
          <w:tcPr>
            <w:tcW w:w="680" w:type="dxa"/>
            <w:vAlign w:val="bottom"/>
            <w:gridSpan w:val="2"/>
          </w:tcPr>
          <w:p>
            <w:pPr>
              <w:jc w:val="center"/>
              <w:ind w:right="100"/>
              <w:spacing w:after="0"/>
              <w:rPr>
                <w:sz w:val="20"/>
                <w:szCs w:val="20"/>
                <w:color w:val="auto"/>
              </w:rPr>
            </w:pPr>
            <w:r>
              <w:rPr>
                <w:rFonts w:ascii="Arial" w:cs="Arial" w:eastAsia="Arial" w:hAnsi="Arial"/>
                <w:sz w:val="16"/>
                <w:szCs w:val="16"/>
                <w:color w:val="auto"/>
              </w:rPr>
              <w:t>10-K</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08/18/05</w:t>
            </w:r>
          </w:p>
        </w:tc>
        <w:tc>
          <w:tcPr>
            <w:tcW w:w="0" w:type="dxa"/>
            <w:vAlign w:val="bottom"/>
          </w:tcPr>
          <w:p>
            <w:pPr>
              <w:spacing w:after="0"/>
              <w:rPr>
                <w:sz w:val="1"/>
                <w:szCs w:val="1"/>
                <w:color w:val="auto"/>
              </w:rPr>
            </w:pPr>
          </w:p>
        </w:tc>
      </w:tr>
      <w:tr>
        <w:trPr>
          <w:trHeight w:val="20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December 5, 2003</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020" w:type="dxa"/>
            <w:vAlign w:val="bottom"/>
          </w:tcPr>
          <w:p>
            <w:pPr>
              <w:ind w:left="40"/>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2"/>
                <w:szCs w:val="22"/>
                <w:color w:val="auto"/>
              </w:rPr>
            </w:pP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1997 Employee Stock Purchase Plan</w:t>
            </w:r>
          </w:p>
        </w:tc>
        <w:tc>
          <w:tcPr>
            <w:tcW w:w="68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S-8</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4.9</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10/06/06</w:t>
            </w:r>
          </w:p>
        </w:tc>
        <w:tc>
          <w:tcPr>
            <w:tcW w:w="0" w:type="dxa"/>
            <w:vAlign w:val="bottom"/>
          </w:tcPr>
          <w:p>
            <w:pPr>
              <w:spacing w:after="0"/>
              <w:rPr>
                <w:sz w:val="1"/>
                <w:szCs w:val="1"/>
                <w:color w:val="auto"/>
              </w:rPr>
            </w:pPr>
          </w:p>
        </w:tc>
      </w:tr>
      <w:tr>
        <w:trPr>
          <w:trHeight w:val="270"/>
        </w:trPr>
        <w:tc>
          <w:tcPr>
            <w:tcW w:w="1020" w:type="dxa"/>
            <w:vAlign w:val="bottom"/>
          </w:tcPr>
          <w:p>
            <w:pPr>
              <w:ind w:left="40"/>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3"/>
                <w:szCs w:val="23"/>
                <w:color w:val="auto"/>
              </w:rPr>
            </w:pP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1998 Stock Option Plan</w:t>
            </w:r>
          </w:p>
        </w:tc>
        <w:tc>
          <w:tcPr>
            <w:tcW w:w="68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S-8</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4.8</w:t>
            </w:r>
          </w:p>
        </w:tc>
        <w:tc>
          <w:tcPr>
            <w:tcW w:w="10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10/06/06</w:t>
            </w:r>
          </w:p>
        </w:tc>
        <w:tc>
          <w:tcPr>
            <w:tcW w:w="0" w:type="dxa"/>
            <w:vAlign w:val="bottom"/>
          </w:tcPr>
          <w:p>
            <w:pPr>
              <w:spacing w:after="0"/>
              <w:rPr>
                <w:sz w:val="1"/>
                <w:szCs w:val="1"/>
                <w:color w:val="auto"/>
              </w:rPr>
            </w:pPr>
          </w:p>
        </w:tc>
      </w:tr>
      <w:tr>
        <w:trPr>
          <w:trHeight w:val="270"/>
        </w:trPr>
        <w:tc>
          <w:tcPr>
            <w:tcW w:w="1020" w:type="dxa"/>
            <w:vAlign w:val="bottom"/>
          </w:tcPr>
          <w:p>
            <w:pPr>
              <w:ind w:left="40"/>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3"/>
                <w:szCs w:val="23"/>
                <w:color w:val="auto"/>
              </w:rPr>
            </w:pP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2007 Equity Incentive Plan</w:t>
            </w:r>
          </w:p>
        </w:tc>
        <w:tc>
          <w:tcPr>
            <w:tcW w:w="68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S-8</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4.7</w:t>
            </w:r>
          </w:p>
        </w:tc>
        <w:tc>
          <w:tcPr>
            <w:tcW w:w="10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01/22/08</w:t>
            </w:r>
          </w:p>
        </w:tc>
        <w:tc>
          <w:tcPr>
            <w:tcW w:w="0" w:type="dxa"/>
            <w:vAlign w:val="bottom"/>
          </w:tcPr>
          <w:p>
            <w:pPr>
              <w:spacing w:after="0"/>
              <w:rPr>
                <w:sz w:val="1"/>
                <w:szCs w:val="1"/>
                <w:color w:val="auto"/>
              </w:rPr>
            </w:pPr>
          </w:p>
        </w:tc>
      </w:tr>
      <w:tr>
        <w:trPr>
          <w:trHeight w:val="266"/>
        </w:trPr>
        <w:tc>
          <w:tcPr>
            <w:tcW w:w="1020" w:type="dxa"/>
            <w:vAlign w:val="bottom"/>
          </w:tcPr>
          <w:p>
            <w:pPr>
              <w:ind w:left="40"/>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3"/>
                <w:szCs w:val="23"/>
                <w:color w:val="auto"/>
              </w:rPr>
            </w:pPr>
          </w:p>
        </w:tc>
        <w:tc>
          <w:tcPr>
            <w:tcW w:w="7100" w:type="dxa"/>
            <w:vAlign w:val="bottom"/>
            <w:gridSpan w:val="2"/>
          </w:tcPr>
          <w:p>
            <w:pPr>
              <w:ind w:left="40"/>
              <w:spacing w:after="0"/>
              <w:rPr>
                <w:sz w:val="20"/>
                <w:szCs w:val="20"/>
                <w:color w:val="auto"/>
              </w:rPr>
            </w:pPr>
            <w:r>
              <w:rPr>
                <w:rFonts w:ascii="Arial" w:cs="Arial" w:eastAsia="Arial" w:hAnsi="Arial"/>
                <w:sz w:val="16"/>
                <w:szCs w:val="16"/>
                <w:color w:val="auto"/>
                <w:w w:val="93"/>
              </w:rPr>
              <w:t>Office Lease between Edgewater Corporate Park, LLC and ClearOne Communications, Inc. dated June 5,</w:t>
            </w:r>
          </w:p>
        </w:tc>
        <w:tc>
          <w:tcPr>
            <w:tcW w:w="680" w:type="dxa"/>
            <w:vAlign w:val="bottom"/>
            <w:gridSpan w:val="2"/>
          </w:tcPr>
          <w:p>
            <w:pPr>
              <w:jc w:val="center"/>
              <w:ind w:right="100"/>
              <w:spacing w:after="0"/>
              <w:rPr>
                <w:sz w:val="20"/>
                <w:szCs w:val="20"/>
                <w:color w:val="auto"/>
              </w:rPr>
            </w:pPr>
            <w:r>
              <w:rPr>
                <w:rFonts w:ascii="Arial" w:cs="Arial" w:eastAsia="Arial" w:hAnsi="Arial"/>
                <w:sz w:val="16"/>
                <w:szCs w:val="16"/>
                <w:color w:val="auto"/>
              </w:rPr>
              <w:t>10-K</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10.19</w:t>
            </w:r>
          </w:p>
        </w:tc>
        <w:tc>
          <w:tcPr>
            <w:tcW w:w="10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09/14/06</w:t>
            </w:r>
          </w:p>
        </w:tc>
        <w:tc>
          <w:tcPr>
            <w:tcW w:w="0" w:type="dxa"/>
            <w:vAlign w:val="bottom"/>
          </w:tcPr>
          <w:p>
            <w:pPr>
              <w:spacing w:after="0"/>
              <w:rPr>
                <w:sz w:val="1"/>
                <w:szCs w:val="1"/>
                <w:color w:val="auto"/>
              </w:rPr>
            </w:pPr>
          </w:p>
        </w:tc>
      </w:tr>
      <w:tr>
        <w:trPr>
          <w:trHeight w:val="20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980" w:type="dxa"/>
            <w:vAlign w:val="bottom"/>
          </w:tcPr>
          <w:p>
            <w:pPr>
              <w:ind w:left="40"/>
              <w:spacing w:after="0"/>
              <w:rPr>
                <w:sz w:val="20"/>
                <w:szCs w:val="20"/>
                <w:color w:val="auto"/>
              </w:rPr>
            </w:pPr>
            <w:r>
              <w:rPr>
                <w:rFonts w:ascii="Arial" w:cs="Arial" w:eastAsia="Arial" w:hAnsi="Arial"/>
                <w:sz w:val="16"/>
                <w:szCs w:val="16"/>
                <w:color w:val="auto"/>
              </w:rPr>
              <w:t>2006</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1020" w:type="dxa"/>
            <w:vAlign w:val="bottom"/>
          </w:tcPr>
          <w:p>
            <w:pPr>
              <w:ind w:left="40"/>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1"/>
                <w:szCs w:val="21"/>
                <w:color w:val="auto"/>
              </w:rPr>
            </w:pPr>
          </w:p>
        </w:tc>
        <w:tc>
          <w:tcPr>
            <w:tcW w:w="7100" w:type="dxa"/>
            <w:vAlign w:val="bottom"/>
            <w:gridSpan w:val="2"/>
          </w:tcPr>
          <w:p>
            <w:pPr>
              <w:ind w:left="40"/>
              <w:spacing w:after="0"/>
              <w:rPr>
                <w:sz w:val="20"/>
                <w:szCs w:val="20"/>
                <w:color w:val="auto"/>
              </w:rPr>
            </w:pPr>
            <w:r>
              <w:rPr>
                <w:rFonts w:ascii="Arial" w:cs="Arial" w:eastAsia="Arial" w:hAnsi="Arial"/>
                <w:sz w:val="16"/>
                <w:szCs w:val="16"/>
                <w:color w:val="auto"/>
                <w:w w:val="98"/>
              </w:rPr>
              <w:t>Stock Purchase Agreement Between ClearOne, Inc. and Doran M. Oster Dated March 4, 2014 for the</w:t>
            </w:r>
          </w:p>
        </w:tc>
        <w:tc>
          <w:tcPr>
            <w:tcW w:w="680" w:type="dxa"/>
            <w:vAlign w:val="bottom"/>
            <w:gridSpan w:val="2"/>
          </w:tcPr>
          <w:p>
            <w:pPr>
              <w:jc w:val="center"/>
              <w:ind w:right="100"/>
              <w:spacing w:after="0"/>
              <w:rPr>
                <w:sz w:val="20"/>
                <w:szCs w:val="20"/>
                <w:color w:val="auto"/>
              </w:rPr>
            </w:pPr>
            <w:r>
              <w:rPr>
                <w:rFonts w:ascii="Arial" w:cs="Arial" w:eastAsia="Arial" w:hAnsi="Arial"/>
                <w:sz w:val="16"/>
                <w:szCs w:val="16"/>
                <w:color w:val="auto"/>
              </w:rPr>
              <w:t>10-K</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10.7</w:t>
            </w:r>
          </w:p>
        </w:tc>
        <w:tc>
          <w:tcPr>
            <w:tcW w:w="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03/20/14</w:t>
            </w:r>
          </w:p>
        </w:tc>
        <w:tc>
          <w:tcPr>
            <w:tcW w:w="0" w:type="dxa"/>
            <w:vAlign w:val="bottom"/>
          </w:tcPr>
          <w:p>
            <w:pPr>
              <w:spacing w:after="0"/>
              <w:rPr>
                <w:sz w:val="1"/>
                <w:szCs w:val="1"/>
                <w:color w:val="auto"/>
              </w:rPr>
            </w:pPr>
          </w:p>
        </w:tc>
      </w:tr>
      <w:tr>
        <w:trPr>
          <w:trHeight w:val="20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Sabine Acquisition.</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1020" w:type="dxa"/>
            <w:vAlign w:val="bottom"/>
          </w:tcPr>
          <w:p>
            <w:pPr>
              <w:ind w:left="40"/>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1"/>
                <w:szCs w:val="21"/>
                <w:color w:val="auto"/>
              </w:rPr>
            </w:pPr>
          </w:p>
        </w:tc>
        <w:tc>
          <w:tcPr>
            <w:tcW w:w="7100" w:type="dxa"/>
            <w:vAlign w:val="bottom"/>
            <w:gridSpan w:val="2"/>
          </w:tcPr>
          <w:p>
            <w:pPr>
              <w:ind w:left="40"/>
              <w:spacing w:after="0"/>
              <w:rPr>
                <w:sz w:val="20"/>
                <w:szCs w:val="20"/>
                <w:color w:val="auto"/>
              </w:rPr>
            </w:pPr>
            <w:r>
              <w:rPr>
                <w:rFonts w:ascii="Arial" w:cs="Arial" w:eastAsia="Arial" w:hAnsi="Arial"/>
                <w:sz w:val="16"/>
                <w:szCs w:val="16"/>
                <w:color w:val="auto"/>
                <w:w w:val="95"/>
              </w:rPr>
              <w:t>Manufacturing Services Agreement between Flextronics Industrial, Ltd. and ClearOne Communications,</w:t>
            </w:r>
          </w:p>
        </w:tc>
        <w:tc>
          <w:tcPr>
            <w:tcW w:w="680" w:type="dxa"/>
            <w:vAlign w:val="bottom"/>
            <w:gridSpan w:val="2"/>
          </w:tcPr>
          <w:p>
            <w:pPr>
              <w:jc w:val="center"/>
              <w:ind w:right="100"/>
              <w:spacing w:after="0"/>
              <w:rPr>
                <w:sz w:val="20"/>
                <w:szCs w:val="20"/>
                <w:color w:val="auto"/>
              </w:rPr>
            </w:pPr>
            <w:r>
              <w:rPr>
                <w:rFonts w:ascii="Arial" w:cs="Arial" w:eastAsia="Arial" w:hAnsi="Arial"/>
                <w:sz w:val="16"/>
                <w:szCs w:val="16"/>
                <w:color w:val="auto"/>
              </w:rPr>
              <w:t>10-K</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10.21</w:t>
            </w:r>
          </w:p>
        </w:tc>
        <w:tc>
          <w:tcPr>
            <w:tcW w:w="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10/13/09</w:t>
            </w:r>
          </w:p>
        </w:tc>
        <w:tc>
          <w:tcPr>
            <w:tcW w:w="0" w:type="dxa"/>
            <w:vAlign w:val="bottom"/>
          </w:tcPr>
          <w:p>
            <w:pPr>
              <w:spacing w:after="0"/>
              <w:rPr>
                <w:sz w:val="1"/>
                <w:szCs w:val="1"/>
                <w:color w:val="auto"/>
              </w:rPr>
            </w:pPr>
          </w:p>
        </w:tc>
      </w:tr>
      <w:tr>
        <w:trPr>
          <w:trHeight w:val="20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Inc. dated November 3, 2008</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020" w:type="dxa"/>
            <w:vAlign w:val="bottom"/>
          </w:tcPr>
          <w:p>
            <w:pPr>
              <w:ind w:left="40"/>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2"/>
                <w:szCs w:val="22"/>
                <w:color w:val="auto"/>
              </w:rPr>
            </w:pPr>
          </w:p>
        </w:tc>
        <w:tc>
          <w:tcPr>
            <w:tcW w:w="7100" w:type="dxa"/>
            <w:vAlign w:val="bottom"/>
            <w:gridSpan w:val="2"/>
          </w:tcPr>
          <w:p>
            <w:pPr>
              <w:ind w:left="40"/>
              <w:spacing w:after="0"/>
              <w:rPr>
                <w:sz w:val="20"/>
                <w:szCs w:val="20"/>
                <w:color w:val="auto"/>
              </w:rPr>
            </w:pPr>
            <w:r>
              <w:rPr>
                <w:rFonts w:ascii="Arial" w:cs="Arial" w:eastAsia="Arial" w:hAnsi="Arial"/>
                <w:sz w:val="16"/>
                <w:szCs w:val="16"/>
                <w:color w:val="auto"/>
                <w:w w:val="96"/>
              </w:rPr>
              <w:t>Framework Agreement between ClearOne, Inc. and Dialcom Networks S.L., dated December 20, 2013</w:t>
            </w:r>
          </w:p>
        </w:tc>
        <w:tc>
          <w:tcPr>
            <w:tcW w:w="680" w:type="dxa"/>
            <w:vAlign w:val="bottom"/>
            <w:gridSpan w:val="2"/>
          </w:tcPr>
          <w:p>
            <w:pPr>
              <w:jc w:val="center"/>
              <w:ind w:right="100"/>
              <w:spacing w:after="0"/>
              <w:rPr>
                <w:sz w:val="20"/>
                <w:szCs w:val="20"/>
                <w:color w:val="auto"/>
              </w:rPr>
            </w:pPr>
            <w:r>
              <w:rPr>
                <w:rFonts w:ascii="Arial" w:cs="Arial" w:eastAsia="Arial" w:hAnsi="Arial"/>
                <w:sz w:val="16"/>
                <w:szCs w:val="16"/>
                <w:color w:val="auto"/>
              </w:rPr>
              <w:t>8-K</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04/07/14</w:t>
            </w:r>
          </w:p>
        </w:tc>
        <w:tc>
          <w:tcPr>
            <w:tcW w:w="0" w:type="dxa"/>
            <w:vAlign w:val="bottom"/>
          </w:tcPr>
          <w:p>
            <w:pPr>
              <w:spacing w:after="0"/>
              <w:rPr>
                <w:sz w:val="1"/>
                <w:szCs w:val="1"/>
                <w:color w:val="auto"/>
              </w:rPr>
            </w:pPr>
          </w:p>
        </w:tc>
      </w:tr>
      <w:tr>
        <w:trPr>
          <w:trHeight w:val="266"/>
        </w:trPr>
        <w:tc>
          <w:tcPr>
            <w:tcW w:w="1020" w:type="dxa"/>
            <w:vAlign w:val="bottom"/>
          </w:tcPr>
          <w:p>
            <w:pPr>
              <w:ind w:left="40"/>
              <w:spacing w:after="0"/>
              <w:rPr>
                <w:sz w:val="20"/>
                <w:szCs w:val="20"/>
                <w:color w:val="auto"/>
              </w:rPr>
            </w:pPr>
            <w:r>
              <w:rPr>
                <w:rFonts w:ascii="Arial" w:cs="Arial" w:eastAsia="Arial" w:hAnsi="Arial"/>
                <w:sz w:val="16"/>
                <w:szCs w:val="16"/>
                <w:color w:val="auto"/>
              </w:rPr>
              <w:t>10.10</w:t>
            </w:r>
          </w:p>
        </w:tc>
        <w:tc>
          <w:tcPr>
            <w:tcW w:w="120" w:type="dxa"/>
            <w:vAlign w:val="bottom"/>
          </w:tcPr>
          <w:p>
            <w:pPr>
              <w:spacing w:after="0"/>
              <w:rPr>
                <w:sz w:val="23"/>
                <w:szCs w:val="23"/>
                <w:color w:val="auto"/>
              </w:rPr>
            </w:pPr>
          </w:p>
        </w:tc>
        <w:tc>
          <w:tcPr>
            <w:tcW w:w="7100" w:type="dxa"/>
            <w:vAlign w:val="bottom"/>
            <w:gridSpan w:val="2"/>
          </w:tcPr>
          <w:p>
            <w:pPr>
              <w:ind w:left="40"/>
              <w:spacing w:after="0"/>
              <w:rPr>
                <w:sz w:val="20"/>
                <w:szCs w:val="20"/>
                <w:color w:val="auto"/>
              </w:rPr>
            </w:pPr>
            <w:r>
              <w:rPr>
                <w:rFonts w:ascii="Arial" w:cs="Arial" w:eastAsia="Arial" w:hAnsi="Arial"/>
                <w:sz w:val="16"/>
                <w:szCs w:val="16"/>
                <w:color w:val="auto"/>
                <w:w w:val="95"/>
              </w:rPr>
              <w:t>Amendment to Framework Agreement between ClearOne, Inc. and Dialcom Networks S.L., dated March</w:t>
            </w:r>
          </w:p>
        </w:tc>
        <w:tc>
          <w:tcPr>
            <w:tcW w:w="680" w:type="dxa"/>
            <w:vAlign w:val="bottom"/>
            <w:gridSpan w:val="2"/>
          </w:tcPr>
          <w:p>
            <w:pPr>
              <w:jc w:val="center"/>
              <w:ind w:right="100"/>
              <w:spacing w:after="0"/>
              <w:rPr>
                <w:sz w:val="20"/>
                <w:szCs w:val="20"/>
                <w:color w:val="auto"/>
              </w:rPr>
            </w:pPr>
            <w:r>
              <w:rPr>
                <w:rFonts w:ascii="Arial" w:cs="Arial" w:eastAsia="Arial" w:hAnsi="Arial"/>
                <w:sz w:val="16"/>
                <w:szCs w:val="16"/>
                <w:color w:val="auto"/>
              </w:rPr>
              <w:t>8-K</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0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04/07/14</w:t>
            </w:r>
          </w:p>
        </w:tc>
        <w:tc>
          <w:tcPr>
            <w:tcW w:w="0" w:type="dxa"/>
            <w:vAlign w:val="bottom"/>
          </w:tcPr>
          <w:p>
            <w:pPr>
              <w:spacing w:after="0"/>
              <w:rPr>
                <w:sz w:val="1"/>
                <w:szCs w:val="1"/>
                <w:color w:val="auto"/>
              </w:rPr>
            </w:pPr>
          </w:p>
        </w:tc>
      </w:tr>
      <w:tr>
        <w:trPr>
          <w:trHeight w:val="20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980" w:type="dxa"/>
            <w:vAlign w:val="bottom"/>
          </w:tcPr>
          <w:p>
            <w:pPr>
              <w:ind w:left="40"/>
              <w:spacing w:after="0"/>
              <w:rPr>
                <w:sz w:val="20"/>
                <w:szCs w:val="20"/>
                <w:color w:val="auto"/>
              </w:rPr>
            </w:pPr>
            <w:r>
              <w:rPr>
                <w:rFonts w:ascii="Arial" w:cs="Arial" w:eastAsia="Arial" w:hAnsi="Arial"/>
                <w:sz w:val="16"/>
                <w:szCs w:val="16"/>
                <w:color w:val="auto"/>
              </w:rPr>
              <w:t>31, 2014</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020" w:type="dxa"/>
            <w:vAlign w:val="bottom"/>
          </w:tcPr>
          <w:p>
            <w:pPr>
              <w:ind w:left="40"/>
              <w:spacing w:after="0"/>
              <w:rPr>
                <w:sz w:val="20"/>
                <w:szCs w:val="20"/>
                <w:color w:val="auto"/>
              </w:rPr>
            </w:pPr>
            <w:r>
              <w:rPr>
                <w:rFonts w:ascii="Arial" w:cs="Arial" w:eastAsia="Arial" w:hAnsi="Arial"/>
                <w:sz w:val="16"/>
                <w:szCs w:val="16"/>
                <w:color w:val="auto"/>
              </w:rPr>
              <w:t>10.11</w:t>
            </w:r>
          </w:p>
        </w:tc>
        <w:tc>
          <w:tcPr>
            <w:tcW w:w="120" w:type="dxa"/>
            <w:vAlign w:val="bottom"/>
          </w:tcPr>
          <w:p>
            <w:pPr>
              <w:spacing w:after="0"/>
              <w:rPr>
                <w:sz w:val="22"/>
                <w:szCs w:val="22"/>
                <w:color w:val="auto"/>
              </w:rPr>
            </w:pP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Purchase Agreement between ClearOne, Inc. and Dialcom Networks S.L., dated March 31, 2014</w:t>
            </w:r>
          </w:p>
        </w:tc>
        <w:tc>
          <w:tcPr>
            <w:tcW w:w="68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10-Q</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10.3</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05/14/14</w:t>
            </w:r>
          </w:p>
        </w:tc>
        <w:tc>
          <w:tcPr>
            <w:tcW w:w="0" w:type="dxa"/>
            <w:vAlign w:val="bottom"/>
          </w:tcPr>
          <w:p>
            <w:pPr>
              <w:spacing w:after="0"/>
              <w:rPr>
                <w:sz w:val="1"/>
                <w:szCs w:val="1"/>
                <w:color w:val="auto"/>
              </w:rPr>
            </w:pPr>
          </w:p>
        </w:tc>
      </w:tr>
      <w:tr>
        <w:trPr>
          <w:trHeight w:val="270"/>
        </w:trPr>
        <w:tc>
          <w:tcPr>
            <w:tcW w:w="1020" w:type="dxa"/>
            <w:vAlign w:val="bottom"/>
          </w:tcPr>
          <w:p>
            <w:pPr>
              <w:ind w:left="40"/>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23"/>
                <w:szCs w:val="23"/>
                <w:color w:val="auto"/>
              </w:rPr>
            </w:pP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Code of Ethics, approved by the Board of Directors on August 23, 2006</w:t>
            </w:r>
          </w:p>
        </w:tc>
        <w:tc>
          <w:tcPr>
            <w:tcW w:w="680" w:type="dxa"/>
            <w:vAlign w:val="bottom"/>
            <w:gridSpan w:val="2"/>
          </w:tcPr>
          <w:p>
            <w:pPr>
              <w:jc w:val="center"/>
              <w:ind w:right="100"/>
              <w:spacing w:after="0"/>
              <w:rPr>
                <w:sz w:val="20"/>
                <w:szCs w:val="20"/>
                <w:color w:val="auto"/>
              </w:rPr>
            </w:pPr>
            <w:r>
              <w:rPr>
                <w:rFonts w:ascii="Arial" w:cs="Arial" w:eastAsia="Arial" w:hAnsi="Arial"/>
                <w:sz w:val="16"/>
                <w:szCs w:val="16"/>
                <w:color w:val="auto"/>
              </w:rPr>
              <w:t>10-K</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14.1</w:t>
            </w:r>
          </w:p>
        </w:tc>
        <w:tc>
          <w:tcPr>
            <w:tcW w:w="10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09/14/06</w:t>
            </w:r>
          </w:p>
        </w:tc>
        <w:tc>
          <w:tcPr>
            <w:tcW w:w="0" w:type="dxa"/>
            <w:vAlign w:val="bottom"/>
          </w:tcPr>
          <w:p>
            <w:pPr>
              <w:spacing w:after="0"/>
              <w:rPr>
                <w:sz w:val="1"/>
                <w:szCs w:val="1"/>
                <w:color w:val="auto"/>
              </w:rPr>
            </w:pPr>
          </w:p>
        </w:tc>
      </w:tr>
      <w:tr>
        <w:trPr>
          <w:trHeight w:val="270"/>
        </w:trPr>
        <w:tc>
          <w:tcPr>
            <w:tcW w:w="1140" w:type="dxa"/>
            <w:vAlign w:val="bottom"/>
            <w:gridSpan w:val="2"/>
          </w:tcPr>
          <w:p>
            <w:pPr>
              <w:ind w:left="40"/>
              <w:spacing w:after="0"/>
              <w:rPr>
                <w:sz w:val="20"/>
                <w:szCs w:val="20"/>
                <w:color w:val="auto"/>
              </w:rPr>
            </w:pPr>
            <w:r>
              <w:rPr>
                <w:rFonts w:ascii="Arial" w:cs="Arial" w:eastAsia="Arial" w:hAnsi="Arial"/>
                <w:sz w:val="16"/>
                <w:szCs w:val="16"/>
                <w:color w:val="auto"/>
              </w:rPr>
              <w:t>21.1†</w:t>
            </w: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Subsidiaries of the registrant</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40" w:type="dxa"/>
            <w:vAlign w:val="bottom"/>
            <w:gridSpan w:val="2"/>
          </w:tcPr>
          <w:p>
            <w:pPr>
              <w:ind w:left="40"/>
              <w:spacing w:after="0"/>
              <w:rPr>
                <w:sz w:val="20"/>
                <w:szCs w:val="20"/>
                <w:color w:val="auto"/>
              </w:rPr>
            </w:pPr>
            <w:r>
              <w:rPr>
                <w:rFonts w:ascii="Arial" w:cs="Arial" w:eastAsia="Arial" w:hAnsi="Arial"/>
                <w:sz w:val="16"/>
                <w:szCs w:val="16"/>
                <w:color w:val="auto"/>
              </w:rPr>
              <w:t>23†</w:t>
            </w: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Consent of McGladrey LLP, Independent Registered Public Accounting Firm</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40" w:type="dxa"/>
            <w:vAlign w:val="bottom"/>
            <w:gridSpan w:val="2"/>
          </w:tcPr>
          <w:p>
            <w:pPr>
              <w:ind w:left="40"/>
              <w:spacing w:after="0"/>
              <w:rPr>
                <w:sz w:val="20"/>
                <w:szCs w:val="20"/>
                <w:color w:val="auto"/>
              </w:rPr>
            </w:pPr>
            <w:r>
              <w:rPr>
                <w:rFonts w:ascii="Arial" w:cs="Arial" w:eastAsia="Arial" w:hAnsi="Arial"/>
                <w:sz w:val="16"/>
                <w:szCs w:val="16"/>
                <w:color w:val="auto"/>
              </w:rPr>
              <w:t>31.1†</w:t>
            </w: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Section 302 Certification of Chief Executive Officer</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40" w:type="dxa"/>
            <w:vAlign w:val="bottom"/>
            <w:gridSpan w:val="2"/>
          </w:tcPr>
          <w:p>
            <w:pPr>
              <w:ind w:left="40"/>
              <w:spacing w:after="0"/>
              <w:rPr>
                <w:sz w:val="20"/>
                <w:szCs w:val="20"/>
                <w:color w:val="auto"/>
              </w:rPr>
            </w:pPr>
            <w:r>
              <w:rPr>
                <w:rFonts w:ascii="Arial" w:cs="Arial" w:eastAsia="Arial" w:hAnsi="Arial"/>
                <w:sz w:val="16"/>
                <w:szCs w:val="16"/>
                <w:color w:val="auto"/>
              </w:rPr>
              <w:t>31.2†</w:t>
            </w: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Section 302 Certification of Chief Financial Officer</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40" w:type="dxa"/>
            <w:vAlign w:val="bottom"/>
            <w:gridSpan w:val="2"/>
          </w:tcPr>
          <w:p>
            <w:pPr>
              <w:ind w:left="40"/>
              <w:spacing w:after="0"/>
              <w:rPr>
                <w:sz w:val="20"/>
                <w:szCs w:val="20"/>
                <w:color w:val="auto"/>
              </w:rPr>
            </w:pPr>
            <w:r>
              <w:rPr>
                <w:rFonts w:ascii="Arial" w:cs="Arial" w:eastAsia="Arial" w:hAnsi="Arial"/>
                <w:sz w:val="16"/>
                <w:szCs w:val="16"/>
                <w:color w:val="auto"/>
              </w:rPr>
              <w:t>32.1†</w:t>
            </w: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Section 906 Certification of Chief Executive Officer</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40" w:type="dxa"/>
            <w:vAlign w:val="bottom"/>
            <w:gridSpan w:val="2"/>
          </w:tcPr>
          <w:p>
            <w:pPr>
              <w:ind w:left="40"/>
              <w:spacing w:after="0"/>
              <w:rPr>
                <w:sz w:val="20"/>
                <w:szCs w:val="20"/>
                <w:color w:val="auto"/>
              </w:rPr>
            </w:pPr>
            <w:r>
              <w:rPr>
                <w:rFonts w:ascii="Arial" w:cs="Arial" w:eastAsia="Arial" w:hAnsi="Arial"/>
                <w:sz w:val="16"/>
                <w:szCs w:val="16"/>
                <w:color w:val="auto"/>
              </w:rPr>
              <w:t>32.2†</w:t>
            </w: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Section 906 Certification of Chief Financial Officer</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40" w:type="dxa"/>
            <w:vAlign w:val="bottom"/>
            <w:gridSpan w:val="2"/>
          </w:tcPr>
          <w:p>
            <w:pPr>
              <w:ind w:left="40"/>
              <w:spacing w:after="0"/>
              <w:rPr>
                <w:sz w:val="20"/>
                <w:szCs w:val="20"/>
                <w:color w:val="auto"/>
              </w:rPr>
            </w:pPr>
            <w:r>
              <w:rPr>
                <w:rFonts w:ascii="Arial" w:cs="Arial" w:eastAsia="Arial" w:hAnsi="Arial"/>
                <w:sz w:val="16"/>
                <w:szCs w:val="16"/>
                <w:color w:val="auto"/>
              </w:rPr>
              <w:t>101.INS‡</w:t>
            </w: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XBRL Instance Document</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40" w:type="dxa"/>
            <w:vAlign w:val="bottom"/>
            <w:gridSpan w:val="2"/>
          </w:tcPr>
          <w:p>
            <w:pPr>
              <w:ind w:left="40"/>
              <w:spacing w:after="0"/>
              <w:rPr>
                <w:sz w:val="20"/>
                <w:szCs w:val="20"/>
                <w:color w:val="auto"/>
              </w:rPr>
            </w:pPr>
            <w:r>
              <w:rPr>
                <w:rFonts w:ascii="Arial" w:cs="Arial" w:eastAsia="Arial" w:hAnsi="Arial"/>
                <w:sz w:val="16"/>
                <w:szCs w:val="16"/>
                <w:color w:val="auto"/>
              </w:rPr>
              <w:t>101.SCH‡</w:t>
            </w: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XBRL Taxonomy Extension Schema</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40" w:type="dxa"/>
            <w:vAlign w:val="bottom"/>
            <w:gridSpan w:val="2"/>
          </w:tcPr>
          <w:p>
            <w:pPr>
              <w:ind w:left="40"/>
              <w:spacing w:after="0"/>
              <w:rPr>
                <w:sz w:val="20"/>
                <w:szCs w:val="20"/>
                <w:color w:val="auto"/>
              </w:rPr>
            </w:pPr>
            <w:r>
              <w:rPr>
                <w:rFonts w:ascii="Arial" w:cs="Arial" w:eastAsia="Arial" w:hAnsi="Arial"/>
                <w:sz w:val="16"/>
                <w:szCs w:val="16"/>
                <w:color w:val="auto"/>
              </w:rPr>
              <w:t>101.CAL‡</w:t>
            </w: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XBRL Taxonomy Extension Calculation Linkbase</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40" w:type="dxa"/>
            <w:vAlign w:val="bottom"/>
            <w:gridSpan w:val="2"/>
          </w:tcPr>
          <w:p>
            <w:pPr>
              <w:ind w:left="40"/>
              <w:spacing w:after="0"/>
              <w:rPr>
                <w:sz w:val="20"/>
                <w:szCs w:val="20"/>
                <w:color w:val="auto"/>
              </w:rPr>
            </w:pPr>
            <w:r>
              <w:rPr>
                <w:rFonts w:ascii="Arial" w:cs="Arial" w:eastAsia="Arial" w:hAnsi="Arial"/>
                <w:sz w:val="16"/>
                <w:szCs w:val="16"/>
                <w:color w:val="auto"/>
              </w:rPr>
              <w:t>101.DEF‡</w:t>
            </w: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XBRL Taxonomy Extension Definitions Linkbase</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40" w:type="dxa"/>
            <w:vAlign w:val="bottom"/>
            <w:gridSpan w:val="2"/>
          </w:tcPr>
          <w:p>
            <w:pPr>
              <w:ind w:left="40"/>
              <w:spacing w:after="0"/>
              <w:rPr>
                <w:sz w:val="20"/>
                <w:szCs w:val="20"/>
                <w:color w:val="auto"/>
              </w:rPr>
            </w:pPr>
            <w:r>
              <w:rPr>
                <w:rFonts w:ascii="Arial" w:cs="Arial" w:eastAsia="Arial" w:hAnsi="Arial"/>
                <w:sz w:val="16"/>
                <w:szCs w:val="16"/>
                <w:color w:val="auto"/>
              </w:rPr>
              <w:t>101.LAB‡</w:t>
            </w: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XBRL Taxonomy Extension Label Linkbase</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40" w:type="dxa"/>
            <w:vAlign w:val="bottom"/>
            <w:gridSpan w:val="2"/>
          </w:tcPr>
          <w:p>
            <w:pPr>
              <w:ind w:left="40"/>
              <w:spacing w:after="0"/>
              <w:rPr>
                <w:sz w:val="20"/>
                <w:szCs w:val="20"/>
                <w:color w:val="auto"/>
              </w:rPr>
            </w:pPr>
            <w:r>
              <w:rPr>
                <w:rFonts w:ascii="Arial" w:cs="Arial" w:eastAsia="Arial" w:hAnsi="Arial"/>
                <w:sz w:val="16"/>
                <w:szCs w:val="16"/>
                <w:color w:val="auto"/>
              </w:rPr>
              <w:t>101.PRE‡</w:t>
            </w: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XBRL Taxonomy Extension Presentation Linkbase</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spacing w:after="0" w:line="23" w:lineRule="exact"/>
        <w:rPr>
          <w:sz w:val="20"/>
          <w:szCs w:val="20"/>
          <w:color w:val="auto"/>
        </w:rPr>
      </w:pPr>
    </w:p>
    <w:p>
      <w:pPr>
        <w:ind w:left="120" w:hanging="112"/>
        <w:spacing w:after="0"/>
        <w:tabs>
          <w:tab w:leader="none" w:pos="1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Constitutes a management contract or compensatory plan or arrangement.</w:t>
      </w:r>
    </w:p>
    <w:p>
      <w:pPr>
        <w:spacing w:after="0" w:line="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Filed herewith</w:t>
      </w:r>
    </w:p>
    <w:p>
      <w:pPr>
        <w:spacing w:after="0" w:line="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Information furnished herewith shall not be deemed to be “filed” for the purposes of Section 18 of the 1934 Act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30 |</w:t>
      </w:r>
    </w:p>
    <w:p>
      <w:pPr>
        <w:sectPr>
          <w:pgSz w:w="11900" w:h="16838" w:orient="portrait"/>
          <w:cols w:equalWidth="0" w:num="1">
            <w:col w:w="11340"/>
          </w:cols>
          <w:pgMar w:left="240" w:top="121" w:right="31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531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531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Zeynep Hakimoglu</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Chief Executive Officer and Chairman of the Board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30, 2015</w:t>
      </w:r>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49"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Zeynep Hakimoglu</w:t>
            </w:r>
          </w:p>
        </w:tc>
        <w:tc>
          <w:tcPr>
            <w:tcW w:w="4780" w:type="dxa"/>
            <w:vAlign w:val="bottom"/>
          </w:tcPr>
          <w:p>
            <w:pPr>
              <w:ind w:left="40"/>
              <w:spacing w:after="0"/>
              <w:rPr>
                <w:sz w:val="20"/>
                <w:szCs w:val="20"/>
                <w:color w:val="auto"/>
              </w:rPr>
            </w:pPr>
            <w:r>
              <w:rPr>
                <w:rFonts w:ascii="Arial" w:cs="Arial" w:eastAsia="Arial" w:hAnsi="Arial"/>
                <w:sz w:val="18"/>
                <w:szCs w:val="18"/>
                <w:i w:val="1"/>
                <w:iCs w:val="1"/>
                <w:color w:val="auto"/>
              </w:rPr>
              <w:t>/s/ Narsi Narayanan</w:t>
            </w:r>
          </w:p>
        </w:tc>
      </w:tr>
      <w:tr>
        <w:trPr>
          <w:trHeight w:val="27"/>
        </w:trPr>
        <w:tc>
          <w:tcPr>
            <w:tcW w:w="568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r>
      <w:tr>
        <w:trPr>
          <w:trHeight w:val="237"/>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Zeynep Hakimoglu</w:t>
            </w:r>
          </w:p>
        </w:tc>
        <w:tc>
          <w:tcPr>
            <w:tcW w:w="4780" w:type="dxa"/>
            <w:vAlign w:val="bottom"/>
          </w:tcPr>
          <w:p>
            <w:pPr>
              <w:ind w:left="40"/>
              <w:spacing w:after="0"/>
              <w:rPr>
                <w:sz w:val="20"/>
                <w:szCs w:val="20"/>
                <w:color w:val="auto"/>
              </w:rPr>
            </w:pPr>
            <w:r>
              <w:rPr>
                <w:rFonts w:ascii="Arial" w:cs="Arial" w:eastAsia="Arial" w:hAnsi="Arial"/>
                <w:sz w:val="18"/>
                <w:szCs w:val="18"/>
                <w:color w:val="auto"/>
              </w:rPr>
              <w:t>Narsi Narayanan</w:t>
            </w:r>
          </w:p>
        </w:tc>
      </w:tr>
      <w:tr>
        <w:trPr>
          <w:trHeight w:val="270"/>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President, Chief Executive Officer and Chairman of the Board</w:t>
            </w:r>
          </w:p>
        </w:tc>
        <w:tc>
          <w:tcPr>
            <w:tcW w:w="4780" w:type="dxa"/>
            <w:vAlign w:val="bottom"/>
          </w:tcPr>
          <w:p>
            <w:pPr>
              <w:ind w:left="40"/>
              <w:spacing w:after="0"/>
              <w:rPr>
                <w:sz w:val="20"/>
                <w:szCs w:val="20"/>
                <w:color w:val="auto"/>
              </w:rPr>
            </w:pPr>
            <w:r>
              <w:rPr>
                <w:rFonts w:ascii="Arial" w:cs="Arial" w:eastAsia="Arial" w:hAnsi="Arial"/>
                <w:sz w:val="18"/>
                <w:szCs w:val="18"/>
                <w:color w:val="auto"/>
              </w:rPr>
              <w:t>Senior Vice President of Finance</w:t>
            </w:r>
          </w:p>
        </w:tc>
      </w:tr>
      <w:tr>
        <w:trPr>
          <w:trHeight w:val="270"/>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March 30, 2015</w:t>
            </w:r>
          </w:p>
        </w:tc>
        <w:tc>
          <w:tcPr>
            <w:tcW w:w="4780" w:type="dxa"/>
            <w:vAlign w:val="bottom"/>
          </w:tcPr>
          <w:p>
            <w:pPr>
              <w:ind w:left="40"/>
              <w:spacing w:after="0"/>
              <w:rPr>
                <w:sz w:val="20"/>
                <w:szCs w:val="20"/>
                <w:color w:val="auto"/>
              </w:rPr>
            </w:pPr>
            <w:r>
              <w:rPr>
                <w:rFonts w:ascii="Arial" w:cs="Arial" w:eastAsia="Arial" w:hAnsi="Arial"/>
                <w:sz w:val="18"/>
                <w:szCs w:val="18"/>
                <w:color w:val="auto"/>
              </w:rPr>
              <w:t>March 30, 2015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Brad R. Baldwin</w:t>
            </w:r>
          </w:p>
        </w:tc>
        <w:tc>
          <w:tcPr>
            <w:tcW w:w="4780" w:type="dxa"/>
            <w:vAlign w:val="bottom"/>
          </w:tcPr>
          <w:p>
            <w:pPr>
              <w:ind w:left="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Larry R. Hendricks</w:t>
            </w:r>
          </w:p>
        </w:tc>
      </w:tr>
      <w:tr>
        <w:trPr>
          <w:trHeight w:val="27"/>
        </w:trPr>
        <w:tc>
          <w:tcPr>
            <w:tcW w:w="568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r>
      <w:tr>
        <w:trPr>
          <w:trHeight w:val="237"/>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Brad R. Baldwin</w:t>
            </w:r>
          </w:p>
        </w:tc>
        <w:tc>
          <w:tcPr>
            <w:tcW w:w="4780" w:type="dxa"/>
            <w:vAlign w:val="bottom"/>
          </w:tcPr>
          <w:p>
            <w:pPr>
              <w:ind w:left="40"/>
              <w:spacing w:after="0"/>
              <w:rPr>
                <w:sz w:val="20"/>
                <w:szCs w:val="20"/>
                <w:color w:val="auto"/>
              </w:rPr>
            </w:pPr>
            <w:r>
              <w:rPr>
                <w:rFonts w:ascii="Arial" w:cs="Arial" w:eastAsia="Arial" w:hAnsi="Arial"/>
                <w:sz w:val="18"/>
                <w:szCs w:val="18"/>
                <w:color w:val="auto"/>
              </w:rPr>
              <w:t>Larry R. Hendricks</w:t>
            </w:r>
          </w:p>
        </w:tc>
      </w:tr>
      <w:tr>
        <w:trPr>
          <w:trHeight w:val="270"/>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478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270"/>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March 30, 2015</w:t>
            </w:r>
          </w:p>
        </w:tc>
        <w:tc>
          <w:tcPr>
            <w:tcW w:w="4780" w:type="dxa"/>
            <w:vAlign w:val="bottom"/>
          </w:tcPr>
          <w:p>
            <w:pPr>
              <w:ind w:left="40"/>
              <w:spacing w:after="0"/>
              <w:rPr>
                <w:sz w:val="20"/>
                <w:szCs w:val="20"/>
                <w:color w:val="auto"/>
              </w:rPr>
            </w:pPr>
            <w:r>
              <w:rPr>
                <w:rFonts w:ascii="Arial" w:cs="Arial" w:eastAsia="Arial" w:hAnsi="Arial"/>
                <w:sz w:val="18"/>
                <w:szCs w:val="18"/>
                <w:color w:val="auto"/>
              </w:rPr>
              <w:t>March 30, 2015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Scott M. Huntsman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31750</wp:posOffset>
            </wp:positionV>
            <wp:extent cx="36106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Scott M. Huntsman</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Director</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March 30,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31 |</w:t>
      </w:r>
    </w:p>
    <w:p>
      <w:pPr>
        <w:sectPr>
          <w:pgSz w:w="11900" w:h="16838" w:orient="portrait"/>
          <w:cols w:equalWidth="0" w:num="1">
            <w:col w:w="11280"/>
          </w:cols>
          <w:pgMar w:left="240" w:top="121" w:right="37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7"/>
        </w:trPr>
        <w:tc>
          <w:tcPr>
            <w:tcW w:w="4220" w:type="dxa"/>
            <w:vAlign w:val="bottom"/>
            <w:gridSpan w:val="2"/>
            <w:vMerge w:val="restart"/>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Report of Independent Registered Public Accounting Firm</w:t>
              </w:r>
            </w:hyperlink>
          </w:p>
        </w:tc>
        <w:tc>
          <w:tcPr>
            <w:tcW w:w="6140" w:type="dxa"/>
            <w:vAlign w:val="bottom"/>
            <w:gridSpan w:val="5"/>
            <w:vMerge w:val="restart"/>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220" w:type="dxa"/>
            <w:vAlign w:val="bottom"/>
            <w:tcBorders>
              <w:bottom w:val="single" w:sz="8" w:color="0000EE"/>
            </w:tcBorders>
            <w:gridSpan w:val="2"/>
            <w:vMerge w:val="continue"/>
          </w:tcPr>
          <w:p>
            <w:pPr>
              <w:spacing w:after="0"/>
              <w:rPr>
                <w:sz w:val="15"/>
                <w:szCs w:val="15"/>
                <w:color w:val="auto"/>
              </w:rPr>
            </w:pPr>
          </w:p>
        </w:tc>
        <w:tc>
          <w:tcPr>
            <w:tcW w:w="6140" w:type="dxa"/>
            <w:vAlign w:val="bottom"/>
            <w:gridSpan w:val="5"/>
            <w:vMerge w:val="continue"/>
          </w:tcPr>
          <w:p>
            <w:pPr>
              <w:spacing w:after="0"/>
              <w:rPr>
                <w:sz w:val="15"/>
                <w:szCs w:val="15"/>
                <w:color w:val="auto"/>
              </w:rPr>
            </w:pPr>
          </w:p>
        </w:tc>
        <w:tc>
          <w:tcPr>
            <w:tcW w:w="1020" w:type="dxa"/>
            <w:vAlign w:val="bottom"/>
          </w:tcPr>
          <w:p>
            <w:pPr>
              <w:jc w:val="center"/>
              <w:spacing w:after="0" w:line="170" w:lineRule="exact"/>
              <w:rPr>
                <w:rFonts w:ascii="Arial" w:cs="Arial" w:eastAsia="Arial" w:hAnsi="Arial"/>
                <w:sz w:val="18"/>
                <w:szCs w:val="18"/>
                <w:color w:val="auto"/>
                <w:w w:val="93"/>
              </w:rPr>
            </w:pPr>
            <w:hyperlink w:anchor="page34">
              <w:r>
                <w:rPr>
                  <w:rFonts w:ascii="Arial" w:cs="Arial" w:eastAsia="Arial" w:hAnsi="Arial"/>
                  <w:sz w:val="18"/>
                  <w:szCs w:val="18"/>
                  <w:color w:val="auto"/>
                  <w:w w:val="93"/>
                </w:rPr>
                <w:t>F- 1</w:t>
              </w:r>
            </w:hyperlink>
          </w:p>
        </w:tc>
        <w:tc>
          <w:tcPr>
            <w:tcW w:w="0" w:type="dxa"/>
            <w:vAlign w:val="bottom"/>
          </w:tcPr>
          <w:p>
            <w:pPr>
              <w:spacing w:after="0"/>
              <w:rPr>
                <w:sz w:val="1"/>
                <w:szCs w:val="1"/>
                <w:color w:val="auto"/>
              </w:rPr>
            </w:pPr>
          </w:p>
        </w:tc>
      </w:tr>
      <w:tr>
        <w:trPr>
          <w:trHeight w:val="264"/>
        </w:trPr>
        <w:tc>
          <w:tcPr>
            <w:tcW w:w="570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35">
              <w:r>
                <w:rPr>
                  <w:rFonts w:ascii="Arial" w:cs="Arial" w:eastAsia="Arial" w:hAnsi="Arial"/>
                  <w:sz w:val="18"/>
                  <w:szCs w:val="18"/>
                  <w:color w:val="0000EE"/>
                  <w:w w:val="88"/>
                </w:rPr>
                <w:t>Consolidated Balance Sheets as of December 31, 2014 and December 31, 2013</w:t>
              </w:r>
            </w:hyperlink>
          </w:p>
        </w:tc>
        <w:tc>
          <w:tcPr>
            <w:tcW w:w="4660" w:type="dxa"/>
            <w:vAlign w:val="bottom"/>
            <w:gridSpan w:val="4"/>
          </w:tcPr>
          <w:p>
            <w:pPr>
              <w:spacing w:after="0"/>
              <w:rPr>
                <w:sz w:val="22"/>
                <w:szCs w:val="22"/>
                <w:color w:val="auto"/>
              </w:rPr>
            </w:pPr>
          </w:p>
        </w:tc>
        <w:tc>
          <w:tcPr>
            <w:tcW w:w="1020" w:type="dxa"/>
            <w:vAlign w:val="bottom"/>
          </w:tcPr>
          <w:p>
            <w:pPr>
              <w:jc w:val="center"/>
              <w:spacing w:after="0"/>
              <w:rPr>
                <w:rFonts w:ascii="Arial" w:cs="Arial" w:eastAsia="Arial" w:hAnsi="Arial"/>
                <w:sz w:val="18"/>
                <w:szCs w:val="18"/>
                <w:color w:val="auto"/>
                <w:w w:val="93"/>
              </w:rPr>
            </w:pPr>
            <w:hyperlink w:anchor="page35">
              <w:r>
                <w:rPr>
                  <w:rFonts w:ascii="Arial" w:cs="Arial" w:eastAsia="Arial" w:hAnsi="Arial"/>
                  <w:sz w:val="18"/>
                  <w:szCs w:val="18"/>
                  <w:color w:val="auto"/>
                  <w:w w:val="93"/>
                </w:rPr>
                <w:t>F- 2</w:t>
              </w:r>
            </w:hyperlink>
          </w:p>
        </w:tc>
        <w:tc>
          <w:tcPr>
            <w:tcW w:w="0" w:type="dxa"/>
            <w:vAlign w:val="bottom"/>
          </w:tcPr>
          <w:p>
            <w:pPr>
              <w:spacing w:after="0"/>
              <w:rPr>
                <w:sz w:val="1"/>
                <w:szCs w:val="1"/>
                <w:color w:val="auto"/>
              </w:rPr>
            </w:pPr>
          </w:p>
        </w:tc>
      </w:tr>
      <w:tr>
        <w:trPr>
          <w:trHeight w:val="250"/>
        </w:trPr>
        <w:tc>
          <w:tcPr>
            <w:tcW w:w="82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Consolidated Statements of Income and Comprehensive Income for the years ended December 31, 2014 and 2013</w:t>
              </w:r>
            </w:hyperlink>
          </w:p>
        </w:tc>
        <w:tc>
          <w:tcPr>
            <w:tcW w:w="2140" w:type="dxa"/>
            <w:vAlign w:val="bottom"/>
          </w:tcPr>
          <w:p>
            <w:pPr>
              <w:spacing w:after="0"/>
              <w:rPr>
                <w:sz w:val="21"/>
                <w:szCs w:val="21"/>
                <w:color w:val="auto"/>
              </w:rPr>
            </w:pPr>
          </w:p>
        </w:tc>
        <w:tc>
          <w:tcPr>
            <w:tcW w:w="1020" w:type="dxa"/>
            <w:vAlign w:val="bottom"/>
          </w:tcPr>
          <w:p>
            <w:pPr>
              <w:jc w:val="center"/>
              <w:spacing w:after="0"/>
              <w:rPr>
                <w:rFonts w:ascii="Arial" w:cs="Arial" w:eastAsia="Arial" w:hAnsi="Arial"/>
                <w:sz w:val="18"/>
                <w:szCs w:val="18"/>
                <w:color w:val="auto"/>
                <w:w w:val="93"/>
              </w:rPr>
            </w:pPr>
            <w:hyperlink w:anchor="page36">
              <w:r>
                <w:rPr>
                  <w:rFonts w:ascii="Arial" w:cs="Arial" w:eastAsia="Arial" w:hAnsi="Arial"/>
                  <w:sz w:val="18"/>
                  <w:szCs w:val="18"/>
                  <w:color w:val="auto"/>
                  <w:w w:val="93"/>
                </w:rPr>
                <w:t>F- 3</w:t>
              </w:r>
            </w:hyperlink>
          </w:p>
        </w:tc>
        <w:tc>
          <w:tcPr>
            <w:tcW w:w="0" w:type="dxa"/>
            <w:vAlign w:val="bottom"/>
          </w:tcPr>
          <w:p>
            <w:pPr>
              <w:spacing w:after="0"/>
              <w:rPr>
                <w:sz w:val="1"/>
                <w:szCs w:val="1"/>
                <w:color w:val="auto"/>
              </w:rPr>
            </w:pPr>
          </w:p>
        </w:tc>
      </w:tr>
      <w:tr>
        <w:trPr>
          <w:trHeight w:val="250"/>
        </w:trPr>
        <w:tc>
          <w:tcPr>
            <w:tcW w:w="10360" w:type="dxa"/>
            <w:vAlign w:val="bottom"/>
            <w:gridSpan w:val="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Consolidated Statements of Shareholders' Equity for the years ended December 31, 2014 and 2013</w:t>
              </w:r>
            </w:hyperlink>
          </w:p>
        </w:tc>
        <w:tc>
          <w:tcPr>
            <w:tcW w:w="1020" w:type="dxa"/>
            <w:vAlign w:val="bottom"/>
          </w:tcPr>
          <w:p>
            <w:pPr>
              <w:jc w:val="center"/>
              <w:spacing w:after="0"/>
              <w:rPr>
                <w:rFonts w:ascii="Arial" w:cs="Arial" w:eastAsia="Arial" w:hAnsi="Arial"/>
                <w:sz w:val="18"/>
                <w:szCs w:val="18"/>
                <w:color w:val="auto"/>
                <w:w w:val="93"/>
              </w:rPr>
            </w:pPr>
            <w:hyperlink w:anchor="page37">
              <w:r>
                <w:rPr>
                  <w:rFonts w:ascii="Arial" w:cs="Arial" w:eastAsia="Arial" w:hAnsi="Arial"/>
                  <w:sz w:val="18"/>
                  <w:szCs w:val="18"/>
                  <w:color w:val="auto"/>
                  <w:w w:val="93"/>
                </w:rPr>
                <w:t>F- 4</w:t>
              </w:r>
            </w:hyperlink>
          </w:p>
        </w:tc>
        <w:tc>
          <w:tcPr>
            <w:tcW w:w="0" w:type="dxa"/>
            <w:vAlign w:val="bottom"/>
          </w:tcPr>
          <w:p>
            <w:pPr>
              <w:spacing w:after="0"/>
              <w:rPr>
                <w:sz w:val="1"/>
                <w:szCs w:val="1"/>
                <w:color w:val="auto"/>
              </w:rPr>
            </w:pPr>
          </w:p>
        </w:tc>
      </w:tr>
      <w:tr>
        <w:trPr>
          <w:trHeight w:val="250"/>
        </w:trPr>
        <w:tc>
          <w:tcPr>
            <w:tcW w:w="64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Consolidated Statements of Cash Flows for the years ended December 31, 2014 and 2013</w:t>
              </w:r>
            </w:hyperlink>
          </w:p>
        </w:tc>
        <w:tc>
          <w:tcPr>
            <w:tcW w:w="640" w:type="dxa"/>
            <w:vAlign w:val="bottom"/>
            <w:tcBorders>
              <w:top w:val="single" w:sz="8" w:color="0000EE"/>
            </w:tcBorders>
          </w:tcPr>
          <w:p>
            <w:pPr>
              <w:spacing w:after="0"/>
              <w:rPr>
                <w:sz w:val="21"/>
                <w:szCs w:val="21"/>
                <w:color w:val="auto"/>
              </w:rPr>
            </w:pPr>
          </w:p>
        </w:tc>
        <w:tc>
          <w:tcPr>
            <w:tcW w:w="3260" w:type="dxa"/>
            <w:vAlign w:val="bottom"/>
            <w:gridSpan w:val="2"/>
          </w:tcPr>
          <w:p>
            <w:pPr>
              <w:spacing w:after="0"/>
              <w:rPr>
                <w:sz w:val="21"/>
                <w:szCs w:val="21"/>
                <w:color w:val="auto"/>
              </w:rPr>
            </w:pPr>
          </w:p>
        </w:tc>
        <w:tc>
          <w:tcPr>
            <w:tcW w:w="1020" w:type="dxa"/>
            <w:vAlign w:val="bottom"/>
          </w:tcPr>
          <w:p>
            <w:pPr>
              <w:jc w:val="center"/>
              <w:spacing w:after="0"/>
              <w:rPr>
                <w:rFonts w:ascii="Arial" w:cs="Arial" w:eastAsia="Arial" w:hAnsi="Arial"/>
                <w:sz w:val="18"/>
                <w:szCs w:val="18"/>
                <w:color w:val="auto"/>
                <w:w w:val="93"/>
              </w:rPr>
            </w:pPr>
            <w:hyperlink w:anchor="page38">
              <w:r>
                <w:rPr>
                  <w:rFonts w:ascii="Arial" w:cs="Arial" w:eastAsia="Arial" w:hAnsi="Arial"/>
                  <w:sz w:val="18"/>
                  <w:szCs w:val="18"/>
                  <w:color w:val="auto"/>
                  <w:w w:val="93"/>
                </w:rPr>
                <w:t>F- 5</w:t>
              </w:r>
            </w:hyperlink>
          </w:p>
        </w:tc>
        <w:tc>
          <w:tcPr>
            <w:tcW w:w="0" w:type="dxa"/>
            <w:vAlign w:val="bottom"/>
          </w:tcPr>
          <w:p>
            <w:pPr>
              <w:spacing w:after="0"/>
              <w:rPr>
                <w:sz w:val="1"/>
                <w:szCs w:val="1"/>
                <w:color w:val="auto"/>
              </w:rPr>
            </w:pPr>
          </w:p>
        </w:tc>
      </w:tr>
      <w:tr>
        <w:trPr>
          <w:trHeight w:val="250"/>
        </w:trPr>
        <w:tc>
          <w:tcPr>
            <w:tcW w:w="10360" w:type="dxa"/>
            <w:vAlign w:val="bottom"/>
            <w:gridSpan w:val="7"/>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Notes to Consolidated Financial Statements</w:t>
              </w:r>
            </w:hyperlink>
          </w:p>
        </w:tc>
        <w:tc>
          <w:tcPr>
            <w:tcW w:w="1020" w:type="dxa"/>
            <w:vAlign w:val="bottom"/>
          </w:tcPr>
          <w:p>
            <w:pPr>
              <w:jc w:val="center"/>
              <w:spacing w:after="0"/>
              <w:rPr>
                <w:rFonts w:ascii="Arial" w:cs="Arial" w:eastAsia="Arial" w:hAnsi="Arial"/>
                <w:sz w:val="18"/>
                <w:szCs w:val="18"/>
                <w:color w:val="auto"/>
                <w:w w:val="93"/>
              </w:rPr>
            </w:pPr>
            <w:hyperlink w:anchor="page40">
              <w:r>
                <w:rPr>
                  <w:rFonts w:ascii="Arial" w:cs="Arial" w:eastAsia="Arial" w:hAnsi="Arial"/>
                  <w:sz w:val="18"/>
                  <w:szCs w:val="18"/>
                  <w:color w:val="auto"/>
                  <w:w w:val="93"/>
                </w:rPr>
                <w:t>F- 7</w:t>
              </w:r>
            </w:hyperlink>
          </w:p>
        </w:tc>
        <w:tc>
          <w:tcPr>
            <w:tcW w:w="0" w:type="dxa"/>
            <w:vAlign w:val="bottom"/>
          </w:tcPr>
          <w:p>
            <w:pPr>
              <w:spacing w:after="0"/>
              <w:rPr>
                <w:sz w:val="1"/>
                <w:szCs w:val="1"/>
                <w:color w:val="auto"/>
              </w:rPr>
            </w:pPr>
          </w:p>
        </w:tc>
      </w:tr>
      <w:tr>
        <w:trPr>
          <w:trHeight w:val="723"/>
        </w:trPr>
        <w:tc>
          <w:tcPr>
            <w:tcW w:w="3140" w:type="dxa"/>
            <w:vAlign w:val="bottom"/>
            <w:tcBorders>
              <w:top w:val="single" w:sz="8" w:color="0000EE"/>
            </w:tcBorders>
          </w:tcPr>
          <w:p>
            <w:pPr>
              <w:spacing w:after="0"/>
              <w:rPr>
                <w:sz w:val="24"/>
                <w:szCs w:val="24"/>
                <w:color w:val="auto"/>
              </w:rPr>
            </w:pPr>
          </w:p>
        </w:tc>
        <w:tc>
          <w:tcPr>
            <w:tcW w:w="3320" w:type="dxa"/>
            <w:vAlign w:val="bottom"/>
            <w:gridSpan w:val="3"/>
          </w:tcPr>
          <w:p>
            <w:pPr>
              <w:jc w:val="right"/>
              <w:ind w:right="620"/>
              <w:spacing w:after="0"/>
              <w:rPr>
                <w:sz w:val="20"/>
                <w:szCs w:val="20"/>
                <w:color w:val="auto"/>
              </w:rPr>
            </w:pPr>
            <w:r>
              <w:rPr>
                <w:rFonts w:ascii="Arial" w:cs="Arial" w:eastAsia="Arial" w:hAnsi="Arial"/>
                <w:sz w:val="18"/>
                <w:szCs w:val="18"/>
                <w:color w:val="auto"/>
              </w:rPr>
              <w:t>| 32 |</w:t>
            </w: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Shareholders of ClearOne, Inc.</w:t>
      </w:r>
    </w:p>
    <w:p>
      <w:pPr>
        <w:spacing w:after="0" w:line="21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have audited the accompanying consolidated balances sheets of ClearOne, Inc. and subsidiaries (the Company) as of December 31, 2014 and 2013, and the related consolidated statements of income and comprehensive income, shareholders’ equity, and cash flows for the years then ended. These financial statements are the responsibility of the Company's management. Our responsibility is to express an opinion on these financial statements based on our audits.</w:t>
      </w:r>
    </w:p>
    <w:p>
      <w:pPr>
        <w:spacing w:after="0" w:line="14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ClearOne, Inc. and subsidiaries as of December 31, 2014 and 2013, and the results of their operations and their cash flows for the years then ended in conformity with U.S. generally accepted accounting principles.</w:t>
      </w: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color w:val="auto"/>
        </w:rPr>
        <w:t>/s/ MCGLADREY LLP</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30,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F- 1 |</w:t>
      </w:r>
    </w:p>
    <w:p>
      <w:pPr>
        <w:sectPr>
          <w:pgSz w:w="11900" w:h="16838" w:orient="portrait"/>
          <w:cols w:equalWidth="0" w:num="1">
            <w:col w:w="11340"/>
          </w:cols>
          <w:pgMar w:left="240" w:top="122" w:right="31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par value)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31, 2014</w:t>
            </w:r>
          </w:p>
        </w:tc>
        <w:tc>
          <w:tcPr>
            <w:tcW w:w="260" w:type="dxa"/>
            <w:vAlign w:val="bottom"/>
          </w:tcPr>
          <w:p>
            <w:pPr>
              <w:spacing w:after="0"/>
              <w:rPr>
                <w:sz w:val="18"/>
                <w:szCs w:val="18"/>
                <w:color w:val="auto"/>
              </w:rPr>
            </w:pPr>
          </w:p>
        </w:tc>
        <w:tc>
          <w:tcPr>
            <w:tcW w:w="1800" w:type="dxa"/>
            <w:vAlign w:val="bottom"/>
          </w:tcPr>
          <w:p>
            <w:pPr>
              <w:jc w:val="right"/>
              <w:ind w:right="290"/>
              <w:spacing w:after="0"/>
              <w:rPr>
                <w:sz w:val="20"/>
                <w:szCs w:val="20"/>
                <w:color w:val="auto"/>
              </w:rPr>
            </w:pPr>
            <w:r>
              <w:rPr>
                <w:rFonts w:ascii="Arial" w:cs="Arial" w:eastAsia="Arial" w:hAnsi="Arial"/>
                <w:sz w:val="16"/>
                <w:szCs w:val="16"/>
                <w:b w:val="1"/>
                <w:bCs w:val="1"/>
                <w:color w:val="auto"/>
                <w:w w:val="97"/>
              </w:rPr>
              <w:t>December 31, 2013</w:t>
            </w:r>
          </w:p>
        </w:tc>
      </w:tr>
      <w:tr>
        <w:trPr>
          <w:trHeight w:val="33"/>
        </w:trPr>
        <w:tc>
          <w:tcPr>
            <w:tcW w:w="7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328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17,192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6,994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3,200</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29"/>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Receivables, net of allowance for doubtful accounts of $58 and $129, as of December 31, 2014</w:t>
            </w: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37"/>
        </w:trPr>
        <w:tc>
          <w:tcPr>
            <w:tcW w:w="7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and 2013 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9,916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9,378</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12,766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10,758</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Distributor channel 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1,520</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3,824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3,325</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2,693</w:t>
            </w:r>
          </w:p>
        </w:tc>
      </w:tr>
      <w:tr>
        <w:trPr>
          <w:trHeight w:val="237"/>
        </w:trPr>
        <w:tc>
          <w:tcPr>
            <w:tcW w:w="720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44,781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48,066</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marketable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22,326</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Long-term inventories, net</w:t>
            </w: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551</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1,825</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Intangibles, net</w:t>
            </w: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7,896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3,710</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1,265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1,024</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r>
      <w:tr>
        <w:trPr>
          <w:trHeight w:val="297"/>
        </w:trPr>
        <w:tc>
          <w:tcPr>
            <w:tcW w:w="7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88,860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81,061</w:t>
            </w:r>
          </w:p>
        </w:tc>
      </w:tr>
      <w:tr>
        <w:trPr>
          <w:trHeight w:val="237"/>
        </w:trPr>
        <w:tc>
          <w:tcPr>
            <w:tcW w:w="720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2,730</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2,694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1,761</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product revenue</w:t>
            </w: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4,158</w:t>
            </w:r>
          </w:p>
        </w:tc>
      </w:tr>
      <w:tr>
        <w:trPr>
          <w:trHeight w:val="237"/>
        </w:trPr>
        <w:tc>
          <w:tcPr>
            <w:tcW w:w="720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10,755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8,649</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rent</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1,841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1,791</w:t>
            </w:r>
          </w:p>
        </w:tc>
      </w:tr>
      <w:tr>
        <w:trPr>
          <w:trHeight w:val="27"/>
        </w:trPr>
        <w:tc>
          <w:tcPr>
            <w:tcW w:w="7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12,844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10,726</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r>
      <w:tr>
        <w:trPr>
          <w:trHeight w:val="256"/>
        </w:trPr>
        <w:tc>
          <w:tcPr>
            <w:tcW w:w="7200" w:type="dxa"/>
            <w:vAlign w:val="bottom"/>
          </w:tcPr>
          <w:p>
            <w:pPr>
              <w:ind w:left="40"/>
              <w:spacing w:after="0"/>
              <w:rPr>
                <w:sz w:val="20"/>
                <w:szCs w:val="20"/>
                <w:color w:val="auto"/>
              </w:rPr>
            </w:pPr>
            <w:r>
              <w:rPr>
                <w:rFonts w:ascii="Arial" w:cs="Arial" w:eastAsia="Arial" w:hAnsi="Arial"/>
                <w:sz w:val="18"/>
                <w:szCs w:val="18"/>
                <w:color w:val="auto"/>
                <w:w w:val="91"/>
              </w:rPr>
              <w:t>Common stock, par value $0.001, 50,000,000 shares authorized, 9,097,827 and 8,986,080 shares</w:t>
            </w:r>
          </w:p>
        </w:tc>
        <w:tc>
          <w:tcPr>
            <w:tcW w:w="2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230"/>
        </w:trPr>
        <w:tc>
          <w:tcPr>
            <w:tcW w:w="7200" w:type="dxa"/>
            <w:vAlign w:val="bottom"/>
          </w:tcPr>
          <w:p>
            <w:pPr>
              <w:ind w:left="200"/>
              <w:spacing w:after="0"/>
              <w:rPr>
                <w:sz w:val="20"/>
                <w:szCs w:val="20"/>
                <w:color w:val="auto"/>
              </w:rPr>
            </w:pPr>
            <w:r>
              <w:rPr>
                <w:rFonts w:ascii="Arial" w:cs="Arial" w:eastAsia="Arial" w:hAnsi="Arial"/>
                <w:sz w:val="18"/>
                <w:szCs w:val="18"/>
                <w:color w:val="auto"/>
              </w:rPr>
              <w:t>issued and outstanding as of December 31, 2014 and 2013, respectively</w:t>
            </w:r>
          </w:p>
        </w:tc>
        <w:tc>
          <w:tcPr>
            <w:tcW w:w="260" w:type="dxa"/>
            <w:vAlign w:val="bottom"/>
          </w:tcPr>
          <w:p>
            <w:pPr>
              <w:spacing w:after="0"/>
              <w:rPr>
                <w:sz w:val="20"/>
                <w:szCs w:val="20"/>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41,311</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Accumulated other comprehensive income (loss)</w:t>
            </w: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31,076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28,992</w:t>
            </w:r>
          </w:p>
        </w:tc>
      </w:tr>
      <w:tr>
        <w:trPr>
          <w:trHeight w:val="237"/>
        </w:trPr>
        <w:tc>
          <w:tcPr>
            <w:tcW w:w="7200" w:type="dxa"/>
            <w:vAlign w:val="bottom"/>
          </w:tcPr>
          <w:p>
            <w:pPr>
              <w:ind w:left="18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76,016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70,335</w:t>
            </w:r>
          </w:p>
        </w:tc>
      </w:tr>
      <w:tr>
        <w:trPr>
          <w:trHeight w:val="27"/>
        </w:trPr>
        <w:tc>
          <w:tcPr>
            <w:tcW w:w="7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88,860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81,061</w:t>
            </w:r>
          </w:p>
        </w:tc>
      </w:tr>
      <w:tr>
        <w:trPr>
          <w:trHeight w:val="20"/>
        </w:trPr>
        <w:tc>
          <w:tcPr>
            <w:tcW w:w="7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F- 2 |</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0" w:type="dxa"/>
            <w:vAlign w:val="bottom"/>
            <w:gridSpan w:val="3"/>
          </w:tcPr>
          <w:p>
            <w:pPr>
              <w:jc w:val="right"/>
              <w:spacing w:after="0"/>
              <w:rPr>
                <w:sz w:val="20"/>
                <w:szCs w:val="20"/>
                <w:color w:val="auto"/>
              </w:rPr>
            </w:pPr>
            <w:r>
              <w:rPr>
                <w:rFonts w:ascii="Arial" w:cs="Arial" w:eastAsia="Arial" w:hAnsi="Arial"/>
                <w:sz w:val="16"/>
                <w:szCs w:val="16"/>
                <w:b w:val="1"/>
                <w:bCs w:val="1"/>
                <w:color w:val="auto"/>
                <w:w w:val="90"/>
              </w:rPr>
              <w:t>Year ended December 31,</w:t>
            </w:r>
          </w:p>
        </w:tc>
        <w:tc>
          <w:tcPr>
            <w:tcW w:w="1200" w:type="dxa"/>
            <w:vAlign w:val="bottom"/>
          </w:tcPr>
          <w:p>
            <w:pPr>
              <w:spacing w:after="0"/>
              <w:rPr>
                <w:sz w:val="18"/>
                <w:szCs w:val="18"/>
                <w:color w:val="auto"/>
              </w:rPr>
            </w:pPr>
          </w:p>
        </w:tc>
      </w:tr>
      <w:tr>
        <w:trPr>
          <w:trHeight w:val="33"/>
        </w:trPr>
        <w:tc>
          <w:tcPr>
            <w:tcW w:w="72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7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0" w:type="dxa"/>
            <w:vAlign w:val="bottom"/>
          </w:tcPr>
          <w:p>
            <w:pPr>
              <w:jc w:val="right"/>
              <w:ind w:right="770"/>
              <w:spacing w:after="0"/>
              <w:rPr>
                <w:sz w:val="20"/>
                <w:szCs w:val="20"/>
                <w:color w:val="auto"/>
              </w:rPr>
            </w:pPr>
            <w:r>
              <w:rPr>
                <w:rFonts w:ascii="Arial" w:cs="Arial" w:eastAsia="Arial" w:hAnsi="Arial"/>
                <w:sz w:val="16"/>
                <w:szCs w:val="16"/>
                <w:b w:val="1"/>
                <w:bCs w:val="1"/>
                <w:color w:val="auto"/>
                <w:w w:val="89"/>
              </w:rPr>
              <w:t>2013</w:t>
            </w:r>
          </w:p>
        </w:tc>
      </w:tr>
      <w:tr>
        <w:trPr>
          <w:trHeight w:val="33"/>
        </w:trPr>
        <w:tc>
          <w:tcPr>
            <w:tcW w:w="72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220" w:type="dxa"/>
            <w:vAlign w:val="bottom"/>
            <w:tcBorders>
              <w:bottom w:val="single" w:sz="8" w:color="CCEEFF"/>
            </w:tcBorders>
            <w:shd w:val="clear" w:color="auto" w:fill="CCEEFF"/>
          </w:tcPr>
          <w:p>
            <w:pPr>
              <w:jc w:val="right"/>
              <w:ind w:right="101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57,909</w:t>
            </w:r>
          </w:p>
        </w:tc>
        <w:tc>
          <w:tcPr>
            <w:tcW w:w="960" w:type="dxa"/>
            <w:vAlign w:val="bottom"/>
            <w:tcBorders>
              <w:bottom w:val="single" w:sz="8" w:color="CCEEFF"/>
            </w:tcBorders>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49,592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22,586</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19,735</w:t>
            </w:r>
          </w:p>
        </w:tc>
      </w:tr>
      <w:tr>
        <w:trPr>
          <w:trHeight w:val="27"/>
        </w:trPr>
        <w:tc>
          <w:tcPr>
            <w:tcW w:w="72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35,323</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29,857</w:t>
            </w:r>
          </w:p>
        </w:tc>
      </w:tr>
      <w:tr>
        <w:trPr>
          <w:trHeight w:val="318"/>
        </w:trPr>
        <w:tc>
          <w:tcPr>
            <w:tcW w:w="720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1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11,227</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8,896</w:t>
            </w:r>
          </w:p>
        </w:tc>
      </w:tr>
      <w:tr>
        <w:trPr>
          <w:trHeight w:val="27"/>
        </w:trPr>
        <w:tc>
          <w:tcPr>
            <w:tcW w:w="7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product development</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8,969</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7,562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7,152</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6,416</w:t>
            </w:r>
          </w:p>
        </w:tc>
      </w:tr>
      <w:tr>
        <w:trPr>
          <w:trHeight w:val="27"/>
        </w:trPr>
        <w:tc>
          <w:tcPr>
            <w:tcW w:w="7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litigation, net</w:t>
            </w:r>
          </w:p>
        </w:tc>
        <w:tc>
          <w:tcPr>
            <w:tcW w:w="1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r>
      <w:tr>
        <w:trPr>
          <w:trHeight w:val="237"/>
        </w:trPr>
        <w:tc>
          <w:tcPr>
            <w:tcW w:w="7200" w:type="dxa"/>
            <w:vAlign w:val="bottom"/>
          </w:tcPr>
          <w:p>
            <w:pPr>
              <w:ind w:left="180"/>
              <w:spacing w:after="0"/>
              <w:rPr>
                <w:sz w:val="20"/>
                <w:szCs w:val="20"/>
                <w:color w:val="auto"/>
              </w:rPr>
            </w:pPr>
            <w:r>
              <w:rPr>
                <w:rFonts w:ascii="Arial" w:cs="Arial" w:eastAsia="Arial" w:hAnsi="Arial"/>
                <w:sz w:val="18"/>
                <w:szCs w:val="18"/>
                <w:color w:val="auto"/>
              </w:rPr>
              <w:t>Total operating expenses</w:t>
            </w:r>
          </w:p>
        </w:tc>
        <w:tc>
          <w:tcPr>
            <w:tcW w:w="1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27,348</w:t>
            </w:r>
          </w:p>
        </w:tc>
        <w:tc>
          <w:tcPr>
            <w:tcW w:w="10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22,235</w:t>
            </w:r>
          </w:p>
        </w:tc>
      </w:tr>
      <w:tr>
        <w:trPr>
          <w:trHeight w:val="27"/>
        </w:trPr>
        <w:tc>
          <w:tcPr>
            <w:tcW w:w="72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318"/>
        </w:trPr>
        <w:tc>
          <w:tcPr>
            <w:tcW w:w="72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7,975</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7,622</w:t>
            </w:r>
          </w:p>
        </w:tc>
      </w:tr>
      <w:tr>
        <w:trPr>
          <w:trHeight w:val="27"/>
        </w:trPr>
        <w:tc>
          <w:tcPr>
            <w:tcW w:w="7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1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r>
      <w:tr>
        <w:trPr>
          <w:trHeight w:val="237"/>
        </w:trPr>
        <w:tc>
          <w:tcPr>
            <w:tcW w:w="720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1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8,229</w:t>
            </w:r>
          </w:p>
        </w:tc>
        <w:tc>
          <w:tcPr>
            <w:tcW w:w="10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7,769</w:t>
            </w:r>
          </w:p>
        </w:tc>
      </w:tr>
      <w:tr>
        <w:trPr>
          <w:trHeight w:val="27"/>
        </w:trPr>
        <w:tc>
          <w:tcPr>
            <w:tcW w:w="7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(2,590)</w:t>
            </w:r>
          </w:p>
        </w:tc>
      </w:tr>
      <w:tr>
        <w:trPr>
          <w:trHeight w:val="297"/>
        </w:trPr>
        <w:tc>
          <w:tcPr>
            <w:tcW w:w="7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w:t>
            </w:r>
          </w:p>
        </w:tc>
        <w:tc>
          <w:tcPr>
            <w:tcW w:w="1220" w:type="dxa"/>
            <w:vAlign w:val="bottom"/>
            <w:tcBorders>
              <w:top w:val="single" w:sz="8" w:color="auto"/>
              <w:bottom w:val="single" w:sz="8" w:color="auto"/>
            </w:tcBorders>
          </w:tcPr>
          <w:p>
            <w:pPr>
              <w:jc w:val="right"/>
              <w:ind w:right="1011"/>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5,596</w:t>
            </w:r>
          </w:p>
        </w:tc>
        <w:tc>
          <w:tcPr>
            <w:tcW w:w="100" w:type="dxa"/>
            <w:vAlign w:val="bottom"/>
            <w:tcBorders>
              <w:bottom w:val="single" w:sz="8" w:color="CCEEFF"/>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5,179</w:t>
            </w:r>
          </w:p>
        </w:tc>
      </w:tr>
      <w:tr>
        <w:trPr>
          <w:trHeight w:val="311"/>
        </w:trPr>
        <w:tc>
          <w:tcPr>
            <w:tcW w:w="72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1220" w:type="dxa"/>
            <w:vAlign w:val="bottom"/>
          </w:tcPr>
          <w:p>
            <w:pPr>
              <w:jc w:val="right"/>
              <w:ind w:right="1011"/>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0.61</w:t>
            </w:r>
          </w:p>
        </w:tc>
        <w:tc>
          <w:tcPr>
            <w:tcW w:w="96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0.57</w:t>
            </w:r>
          </w:p>
        </w:tc>
      </w:tr>
      <w:tr>
        <w:trPr>
          <w:trHeight w:val="27"/>
        </w:trPr>
        <w:tc>
          <w:tcPr>
            <w:tcW w:w="7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1220" w:type="dxa"/>
            <w:vAlign w:val="bottom"/>
            <w:tcBorders>
              <w:bottom w:val="single" w:sz="8" w:color="CCEEFF"/>
            </w:tcBorders>
            <w:shd w:val="clear" w:color="auto" w:fill="CCEEFF"/>
          </w:tcPr>
          <w:p>
            <w:pPr>
              <w:jc w:val="right"/>
              <w:ind w:right="101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0.58</w:t>
            </w:r>
          </w:p>
        </w:tc>
        <w:tc>
          <w:tcPr>
            <w:tcW w:w="960" w:type="dxa"/>
            <w:vAlign w:val="bottom"/>
            <w:tcBorders>
              <w:bottom w:val="single" w:sz="8" w:color="CCEEFF"/>
            </w:tcBorders>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0.55</w:t>
            </w:r>
          </w:p>
        </w:tc>
      </w:tr>
      <w:tr>
        <w:trPr>
          <w:trHeight w:val="324"/>
        </w:trPr>
        <w:tc>
          <w:tcPr>
            <w:tcW w:w="7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9,166,769</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9,064,340</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1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w w:val="89"/>
              </w:rPr>
              <w:t>9,581,326</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9,455,518</w:t>
            </w:r>
          </w:p>
        </w:tc>
      </w:tr>
      <w:tr>
        <w:trPr>
          <w:trHeight w:val="27"/>
        </w:trPr>
        <w:tc>
          <w:tcPr>
            <w:tcW w:w="7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324"/>
        </w:trPr>
        <w:tc>
          <w:tcPr>
            <w:tcW w:w="72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1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20" w:type="dxa"/>
            <w:vAlign w:val="bottom"/>
            <w:tcBorders>
              <w:bottom w:val="single" w:sz="8" w:color="CCEEFF"/>
            </w:tcBorders>
            <w:shd w:val="clear" w:color="auto" w:fill="CCEEFF"/>
          </w:tcPr>
          <w:p>
            <w:pPr>
              <w:jc w:val="right"/>
              <w:ind w:right="101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5,596</w:t>
            </w:r>
          </w:p>
        </w:tc>
        <w:tc>
          <w:tcPr>
            <w:tcW w:w="960" w:type="dxa"/>
            <w:vAlign w:val="bottom"/>
            <w:tcBorders>
              <w:bottom w:val="single" w:sz="8" w:color="CCEEFF"/>
            </w:tcBorders>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5,179</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Other comprehensive income:</w:t>
            </w:r>
          </w:p>
        </w:tc>
        <w:tc>
          <w:tcPr>
            <w:tcW w:w="1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Unrealized gain on available-for-sale securities, net of tax</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23</w:t>
            </w:r>
          </w:p>
        </w:tc>
      </w:tr>
      <w:tr>
        <w:trPr>
          <w:trHeight w:val="243"/>
        </w:trPr>
        <w:tc>
          <w:tcPr>
            <w:tcW w:w="7200" w:type="dxa"/>
            <w:vAlign w:val="bottom"/>
          </w:tcPr>
          <w:p>
            <w:pPr>
              <w:ind w:left="260"/>
              <w:spacing w:after="0"/>
              <w:rPr>
                <w:sz w:val="20"/>
                <w:szCs w:val="20"/>
                <w:color w:val="auto"/>
              </w:rPr>
            </w:pPr>
            <w:r>
              <w:rPr>
                <w:rFonts w:ascii="Arial" w:cs="Arial" w:eastAsia="Arial" w:hAnsi="Arial"/>
                <w:sz w:val="18"/>
                <w:szCs w:val="18"/>
                <w:color w:val="auto"/>
              </w:rPr>
              <w:t>Change in foreign currency translation adjustment</w:t>
            </w:r>
          </w:p>
        </w:tc>
        <w:tc>
          <w:tcPr>
            <w:tcW w:w="1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220" w:type="dxa"/>
            <w:vAlign w:val="bottom"/>
            <w:shd w:val="clear" w:color="auto" w:fill="CCEEFF"/>
          </w:tcPr>
          <w:p>
            <w:pPr>
              <w:jc w:val="right"/>
              <w:ind w:right="1011"/>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5,565</w:t>
            </w:r>
          </w:p>
        </w:tc>
        <w:tc>
          <w:tcPr>
            <w:tcW w:w="96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5,202</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F- 3 |</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2340" w:type="dxa"/>
            <w:vAlign w:val="bottom"/>
            <w:gridSpan w:val="5"/>
          </w:tcPr>
          <w:p>
            <w:pPr>
              <w:ind w:left="64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Accumulated Other</w:t>
            </w: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32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gridSpan w:val="2"/>
            <w:vMerge w:val="restart"/>
          </w:tcPr>
          <w:p>
            <w:pPr>
              <w:spacing w:after="0" w:line="139" w:lineRule="exact"/>
              <w:rPr>
                <w:sz w:val="20"/>
                <w:szCs w:val="20"/>
                <w:color w:val="auto"/>
              </w:rPr>
            </w:pPr>
            <w:r>
              <w:rPr>
                <w:rFonts w:ascii="Arial" w:cs="Arial" w:eastAsia="Arial" w:hAnsi="Arial"/>
                <w:sz w:val="14"/>
                <w:szCs w:val="14"/>
                <w:b w:val="1"/>
                <w:bCs w:val="1"/>
                <w:color w:val="auto"/>
              </w:rPr>
              <w:t>Additional Paid-in</w:t>
            </w:r>
          </w:p>
        </w:tc>
        <w:tc>
          <w:tcPr>
            <w:tcW w:w="160" w:type="dxa"/>
            <w:vAlign w:val="bottom"/>
          </w:tcPr>
          <w:p>
            <w:pPr>
              <w:spacing w:after="0"/>
              <w:rPr>
                <w:sz w:val="4"/>
                <w:szCs w:val="4"/>
                <w:color w:val="auto"/>
              </w:rPr>
            </w:pPr>
          </w:p>
        </w:tc>
        <w:tc>
          <w:tcPr>
            <w:tcW w:w="130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gridSpan w:val="2"/>
            <w:vMerge w:val="restart"/>
          </w:tcPr>
          <w:p>
            <w:pPr>
              <w:jc w:val="right"/>
              <w:spacing w:after="0" w:line="139" w:lineRule="exact"/>
              <w:rPr>
                <w:sz w:val="20"/>
                <w:szCs w:val="20"/>
                <w:color w:val="auto"/>
              </w:rPr>
            </w:pPr>
            <w:r>
              <w:rPr>
                <w:rFonts w:ascii="Arial" w:cs="Arial" w:eastAsia="Arial" w:hAnsi="Arial"/>
                <w:sz w:val="14"/>
                <w:szCs w:val="14"/>
                <w:b w:val="1"/>
                <w:bCs w:val="1"/>
                <w:color w:val="auto"/>
                <w:w w:val="96"/>
              </w:rPr>
              <w:t>Total Shareholders'</w:t>
            </w:r>
          </w:p>
        </w:tc>
        <w:tc>
          <w:tcPr>
            <w:tcW w:w="0" w:type="dxa"/>
            <w:vAlign w:val="bottom"/>
          </w:tcPr>
          <w:p>
            <w:pPr>
              <w:spacing w:after="0"/>
              <w:rPr>
                <w:sz w:val="1"/>
                <w:szCs w:val="1"/>
                <w:color w:val="auto"/>
              </w:rPr>
            </w:pPr>
          </w:p>
        </w:tc>
      </w:tr>
      <w:tr>
        <w:trPr>
          <w:trHeight w:val="65"/>
        </w:trPr>
        <w:tc>
          <w:tcPr>
            <w:tcW w:w="3320" w:type="dxa"/>
            <w:vAlign w:val="bottom"/>
          </w:tcPr>
          <w:p>
            <w:pPr>
              <w:spacing w:after="0"/>
              <w:rPr>
                <w:sz w:val="5"/>
                <w:szCs w:val="5"/>
                <w:color w:val="auto"/>
              </w:rPr>
            </w:pPr>
          </w:p>
        </w:tc>
        <w:tc>
          <w:tcPr>
            <w:tcW w:w="104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Amount</w:t>
            </w:r>
          </w:p>
        </w:tc>
        <w:tc>
          <w:tcPr>
            <w:tcW w:w="12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360" w:type="dxa"/>
            <w:vAlign w:val="bottom"/>
            <w:gridSpan w:val="2"/>
            <w:vMerge w:val="restart"/>
          </w:tcPr>
          <w:p>
            <w:pPr>
              <w:jc w:val="right"/>
              <w:ind w:right="19"/>
              <w:spacing w:after="0"/>
              <w:rPr>
                <w:sz w:val="20"/>
                <w:szCs w:val="20"/>
                <w:color w:val="auto"/>
              </w:rPr>
            </w:pPr>
            <w:r>
              <w:rPr>
                <w:rFonts w:ascii="Arial" w:cs="Arial" w:eastAsia="Arial" w:hAnsi="Arial"/>
                <w:sz w:val="14"/>
                <w:szCs w:val="14"/>
                <w:b w:val="1"/>
                <w:bCs w:val="1"/>
                <w:color w:val="auto"/>
              </w:rPr>
              <w:t>Retained Earnings</w:t>
            </w:r>
          </w:p>
        </w:tc>
        <w:tc>
          <w:tcPr>
            <w:tcW w:w="100" w:type="dxa"/>
            <w:vAlign w:val="bottom"/>
            <w:vMerge w:val="restart"/>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32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2"/>
              </w:rPr>
              <w:t>Income (Loss)</w:t>
            </w:r>
          </w:p>
        </w:tc>
        <w:tc>
          <w:tcPr>
            <w:tcW w:w="100" w:type="dxa"/>
            <w:vAlign w:val="bottom"/>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3320" w:type="dxa"/>
            <w:vAlign w:val="bottom"/>
          </w:tcPr>
          <w:p>
            <w:pPr>
              <w:ind w:left="40"/>
              <w:spacing w:after="0"/>
              <w:rPr>
                <w:sz w:val="20"/>
                <w:szCs w:val="20"/>
                <w:color w:val="auto"/>
              </w:rPr>
            </w:pPr>
            <w:r>
              <w:rPr>
                <w:rFonts w:ascii="Arial" w:cs="Arial" w:eastAsia="Arial" w:hAnsi="Arial"/>
                <w:sz w:val="16"/>
                <w:szCs w:val="16"/>
                <w:color w:val="auto"/>
              </w:rPr>
              <w:t>As of December 31, 2012</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9,163,462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40,430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62"/>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26,229</w:t>
            </w:r>
          </w:p>
        </w:tc>
        <w:tc>
          <w:tcPr>
            <w:tcW w:w="100" w:type="dxa"/>
            <w:vAlign w:val="bottom"/>
          </w:tcPr>
          <w:p>
            <w:pPr>
              <w:spacing w:after="0"/>
              <w:rPr>
                <w:sz w:val="19"/>
                <w:szCs w:val="19"/>
                <w:color w:val="auto"/>
              </w:rPr>
            </w:pPr>
          </w:p>
        </w:tc>
        <w:tc>
          <w:tcPr>
            <w:tcW w:w="30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66,668</w:t>
            </w: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Exercise of stock options</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122,650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489</w:t>
            </w:r>
          </w:p>
        </w:tc>
        <w:tc>
          <w:tcPr>
            <w:tcW w:w="0" w:type="dxa"/>
            <w:vAlign w:val="bottom"/>
          </w:tcPr>
          <w:p>
            <w:pPr>
              <w:spacing w:after="0"/>
              <w:rPr>
                <w:sz w:val="1"/>
                <w:szCs w:val="1"/>
                <w:color w:val="auto"/>
              </w:rPr>
            </w:pPr>
          </w:p>
        </w:tc>
      </w:tr>
      <w:tr>
        <w:trPr>
          <w:trHeight w:val="237"/>
        </w:trPr>
        <w:tc>
          <w:tcPr>
            <w:tcW w:w="3320" w:type="dxa"/>
            <w:vAlign w:val="bottom"/>
          </w:tcPr>
          <w:p>
            <w:pPr>
              <w:ind w:left="180"/>
              <w:spacing w:after="0"/>
              <w:rPr>
                <w:sz w:val="20"/>
                <w:szCs w:val="20"/>
                <w:color w:val="auto"/>
              </w:rPr>
            </w:pPr>
            <w:r>
              <w:rPr>
                <w:rFonts w:ascii="Arial" w:cs="Arial" w:eastAsia="Arial" w:hAnsi="Arial"/>
                <w:sz w:val="16"/>
                <w:szCs w:val="16"/>
                <w:color w:val="auto"/>
              </w:rPr>
              <w:t>Stock repurchased</w:t>
            </w:r>
          </w:p>
        </w:tc>
        <w:tc>
          <w:tcPr>
            <w:tcW w:w="1040" w:type="dxa"/>
            <w:vAlign w:val="bottom"/>
          </w:tcPr>
          <w:p>
            <w:pPr>
              <w:jc w:val="right"/>
              <w:spacing w:after="0"/>
              <w:rPr>
                <w:sz w:val="20"/>
                <w:szCs w:val="20"/>
                <w:color w:val="auto"/>
              </w:rPr>
            </w:pPr>
            <w:r>
              <w:rPr>
                <w:rFonts w:ascii="Arial" w:cs="Arial" w:eastAsia="Arial" w:hAnsi="Arial"/>
                <w:sz w:val="16"/>
                <w:szCs w:val="16"/>
                <w:color w:val="auto"/>
              </w:rPr>
              <w:t>(300,087)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(2,416)</w:t>
            </w: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Tax benefit - stock option exercises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37"/>
        </w:trPr>
        <w:tc>
          <w:tcPr>
            <w:tcW w:w="3320" w:type="dxa"/>
            <w:vAlign w:val="bottom"/>
          </w:tcPr>
          <w:p>
            <w:pPr>
              <w:ind w:left="180"/>
              <w:spacing w:after="0"/>
              <w:rPr>
                <w:sz w:val="20"/>
                <w:szCs w:val="20"/>
                <w:color w:val="auto"/>
              </w:rPr>
            </w:pPr>
            <w:r>
              <w:rPr>
                <w:rFonts w:ascii="Arial" w:cs="Arial" w:eastAsia="Arial" w:hAnsi="Arial"/>
                <w:sz w:val="16"/>
                <w:szCs w:val="16"/>
                <w:color w:val="auto"/>
              </w:rPr>
              <w:t>Stock-based compensation expense</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Employee stock purchase plan</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320" w:type="dxa"/>
            <w:vAlign w:val="bottom"/>
          </w:tcPr>
          <w:p>
            <w:pPr>
              <w:ind w:left="180"/>
              <w:spacing w:after="0"/>
              <w:rPr>
                <w:sz w:val="20"/>
                <w:szCs w:val="20"/>
                <w:color w:val="auto"/>
              </w:rPr>
            </w:pPr>
            <w:r>
              <w:rPr>
                <w:rFonts w:ascii="Arial" w:cs="Arial" w:eastAsia="Arial" w:hAnsi="Arial"/>
                <w:sz w:val="16"/>
                <w:szCs w:val="16"/>
                <w:color w:val="auto"/>
                <w:w w:val="92"/>
              </w:rPr>
              <w:t>Unrealized gain on available-for-sale securities,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20" w:type="dxa"/>
            <w:vAlign w:val="bottom"/>
          </w:tcPr>
          <w:p>
            <w:pPr>
              <w:ind w:left="180"/>
              <w:spacing w:after="0"/>
              <w:rPr>
                <w:sz w:val="20"/>
                <w:szCs w:val="20"/>
                <w:color w:val="auto"/>
              </w:rPr>
            </w:pPr>
            <w:r>
              <w:rPr>
                <w:rFonts w:ascii="Arial" w:cs="Arial" w:eastAsia="Arial" w:hAnsi="Arial"/>
                <w:sz w:val="16"/>
                <w:szCs w:val="16"/>
                <w:color w:val="auto"/>
              </w:rPr>
              <w:t>net of tax</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5,179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5,179</w:t>
            </w:r>
          </w:p>
        </w:tc>
        <w:tc>
          <w:tcPr>
            <w:tcW w:w="0" w:type="dxa"/>
            <w:vAlign w:val="bottom"/>
          </w:tcPr>
          <w:p>
            <w:pPr>
              <w:spacing w:after="0"/>
              <w:rPr>
                <w:sz w:val="1"/>
                <w:szCs w:val="1"/>
                <w:color w:val="auto"/>
              </w:rPr>
            </w:pPr>
          </w:p>
        </w:tc>
      </w:tr>
      <w:tr>
        <w:trPr>
          <w:trHeight w:val="217"/>
        </w:trPr>
        <w:tc>
          <w:tcPr>
            <w:tcW w:w="3320" w:type="dxa"/>
            <w:vAlign w:val="bottom"/>
          </w:tcPr>
          <w:p>
            <w:pPr>
              <w:ind w:left="40"/>
              <w:spacing w:after="0"/>
              <w:rPr>
                <w:sz w:val="20"/>
                <w:szCs w:val="20"/>
                <w:color w:val="auto"/>
              </w:rPr>
            </w:pPr>
            <w:r>
              <w:rPr>
                <w:rFonts w:ascii="Arial" w:cs="Arial" w:eastAsia="Arial" w:hAnsi="Arial"/>
                <w:sz w:val="16"/>
                <w:szCs w:val="16"/>
                <w:color w:val="auto"/>
              </w:rPr>
              <w:t>As of December 31, 2013</w:t>
            </w: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8,986,080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41,311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28,992</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70,335</w:t>
            </w: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Exercise of stock options</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234,432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1,337</w:t>
            </w:r>
          </w:p>
        </w:tc>
        <w:tc>
          <w:tcPr>
            <w:tcW w:w="0" w:type="dxa"/>
            <w:vAlign w:val="bottom"/>
          </w:tcPr>
          <w:p>
            <w:pPr>
              <w:spacing w:after="0"/>
              <w:rPr>
                <w:sz w:val="1"/>
                <w:szCs w:val="1"/>
                <w:color w:val="auto"/>
              </w:rPr>
            </w:pPr>
          </w:p>
        </w:tc>
      </w:tr>
      <w:tr>
        <w:trPr>
          <w:trHeight w:val="237"/>
        </w:trPr>
        <w:tc>
          <w:tcPr>
            <w:tcW w:w="3320" w:type="dxa"/>
            <w:vAlign w:val="bottom"/>
          </w:tcPr>
          <w:p>
            <w:pPr>
              <w:ind w:left="180"/>
              <w:spacing w:after="0"/>
              <w:rPr>
                <w:sz w:val="20"/>
                <w:szCs w:val="20"/>
                <w:color w:val="auto"/>
              </w:rPr>
            </w:pPr>
            <w:r>
              <w:rPr>
                <w:rFonts w:ascii="Arial" w:cs="Arial" w:eastAsia="Arial" w:hAnsi="Arial"/>
                <w:sz w:val="16"/>
                <w:szCs w:val="16"/>
                <w:color w:val="auto"/>
              </w:rPr>
              <w:t>Stock repurchased</w:t>
            </w:r>
          </w:p>
        </w:tc>
        <w:tc>
          <w:tcPr>
            <w:tcW w:w="1040" w:type="dxa"/>
            <w:vAlign w:val="bottom"/>
          </w:tcPr>
          <w:p>
            <w:pPr>
              <w:jc w:val="right"/>
              <w:spacing w:after="0"/>
              <w:rPr>
                <w:sz w:val="20"/>
                <w:szCs w:val="20"/>
                <w:color w:val="auto"/>
              </w:rPr>
            </w:pPr>
            <w:r>
              <w:rPr>
                <w:rFonts w:ascii="Arial" w:cs="Arial" w:eastAsia="Arial" w:hAnsi="Arial"/>
                <w:sz w:val="16"/>
                <w:szCs w:val="16"/>
                <w:color w:val="auto"/>
              </w:rPr>
              <w:t>(272,767)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(2,598)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(2,598)</w:t>
            </w: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dividends ($0.10 per share)</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(914)</w:t>
            </w:r>
          </w:p>
        </w:tc>
        <w:tc>
          <w:tcPr>
            <w:tcW w:w="0" w:type="dxa"/>
            <w:vAlign w:val="bottom"/>
          </w:tcPr>
          <w:p>
            <w:pPr>
              <w:spacing w:after="0"/>
              <w:rPr>
                <w:sz w:val="1"/>
                <w:szCs w:val="1"/>
                <w:color w:val="auto"/>
              </w:rPr>
            </w:pPr>
          </w:p>
        </w:tc>
      </w:tr>
      <w:tr>
        <w:trPr>
          <w:trHeight w:val="237"/>
        </w:trPr>
        <w:tc>
          <w:tcPr>
            <w:tcW w:w="3320" w:type="dxa"/>
            <w:vAlign w:val="bottom"/>
          </w:tcPr>
          <w:p>
            <w:pPr>
              <w:ind w:left="180"/>
              <w:spacing w:after="0"/>
              <w:rPr>
                <w:sz w:val="20"/>
                <w:szCs w:val="20"/>
                <w:color w:val="auto"/>
              </w:rPr>
            </w:pPr>
            <w:r>
              <w:rPr>
                <w:rFonts w:ascii="Arial" w:cs="Arial" w:eastAsia="Arial" w:hAnsi="Arial"/>
                <w:sz w:val="16"/>
                <w:szCs w:val="16"/>
                <w:color w:val="auto"/>
              </w:rPr>
              <w:t>Stock issued - Sabine acquisition</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150,000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1,679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1,679</w:t>
            </w: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Tax benefit - stock option exercises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37"/>
        </w:trPr>
        <w:tc>
          <w:tcPr>
            <w:tcW w:w="3320" w:type="dxa"/>
            <w:vAlign w:val="bottom"/>
          </w:tcPr>
          <w:p>
            <w:pPr>
              <w:ind w:left="180"/>
              <w:spacing w:after="0"/>
              <w:rPr>
                <w:sz w:val="20"/>
                <w:szCs w:val="20"/>
                <w:color w:val="auto"/>
              </w:rPr>
            </w:pPr>
            <w:r>
              <w:rPr>
                <w:rFonts w:ascii="Arial" w:cs="Arial" w:eastAsia="Arial" w:hAnsi="Arial"/>
                <w:sz w:val="16"/>
                <w:szCs w:val="16"/>
                <w:color w:val="auto"/>
              </w:rPr>
              <w:t>Stock-based compensation expense</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401</w:t>
            </w: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Employee stock purchase plan</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320" w:type="dxa"/>
            <w:vAlign w:val="bottom"/>
          </w:tcPr>
          <w:p>
            <w:pPr>
              <w:ind w:left="180"/>
              <w:spacing w:after="0"/>
              <w:rPr>
                <w:sz w:val="20"/>
                <w:szCs w:val="20"/>
                <w:color w:val="auto"/>
              </w:rPr>
            </w:pPr>
            <w:r>
              <w:rPr>
                <w:rFonts w:ascii="Arial" w:cs="Arial" w:eastAsia="Arial" w:hAnsi="Arial"/>
                <w:sz w:val="16"/>
                <w:szCs w:val="16"/>
                <w:color w:val="auto"/>
                <w:w w:val="92"/>
              </w:rPr>
              <w:t>Unrealized gain on available-for-sale securities,</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6"/>
        </w:trPr>
        <w:tc>
          <w:tcPr>
            <w:tcW w:w="3320" w:type="dxa"/>
            <w:vAlign w:val="bottom"/>
          </w:tcPr>
          <w:p>
            <w:pPr>
              <w:ind w:left="180"/>
              <w:spacing w:after="0"/>
              <w:rPr>
                <w:sz w:val="20"/>
                <w:szCs w:val="20"/>
                <w:color w:val="auto"/>
              </w:rPr>
            </w:pPr>
            <w:r>
              <w:rPr>
                <w:rFonts w:ascii="Arial" w:cs="Arial" w:eastAsia="Arial" w:hAnsi="Arial"/>
                <w:sz w:val="16"/>
                <w:szCs w:val="16"/>
                <w:color w:val="auto"/>
              </w:rPr>
              <w:t>net of tax</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37"/>
        </w:trPr>
        <w:tc>
          <w:tcPr>
            <w:tcW w:w="332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5,596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5,596</w:t>
            </w:r>
          </w:p>
        </w:tc>
        <w:tc>
          <w:tcPr>
            <w:tcW w:w="0" w:type="dxa"/>
            <w:vAlign w:val="bottom"/>
          </w:tcPr>
          <w:p>
            <w:pPr>
              <w:spacing w:after="0"/>
              <w:rPr>
                <w:sz w:val="1"/>
                <w:szCs w:val="1"/>
                <w:color w:val="auto"/>
              </w:rPr>
            </w:pPr>
          </w:p>
        </w:tc>
      </w:tr>
      <w:tr>
        <w:trPr>
          <w:trHeight w:val="33"/>
        </w:trPr>
        <w:tc>
          <w:tcPr>
            <w:tcW w:w="33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 of December 31, 2014</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9,097,827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44,939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62"/>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31,076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76,016</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F- 4 |</w:t>
      </w:r>
    </w:p>
    <w:p>
      <w:pPr>
        <w:sectPr>
          <w:pgSz w:w="11900" w:h="16838" w:orient="portrait"/>
          <w:cols w:equalWidth="0" w:num="1">
            <w:col w:w="11400"/>
          </w:cols>
          <w:pgMar w:left="240" w:top="122" w:right="25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20" w:type="dxa"/>
            <w:vAlign w:val="bottom"/>
            <w:gridSpan w:val="4"/>
          </w:tcPr>
          <w:p>
            <w:pPr>
              <w:jc w:val="right"/>
              <w:ind w:right="670"/>
              <w:spacing w:after="0"/>
              <w:rPr>
                <w:sz w:val="20"/>
                <w:szCs w:val="20"/>
                <w:color w:val="auto"/>
              </w:rPr>
            </w:pPr>
            <w:r>
              <w:rPr>
                <w:rFonts w:ascii="Arial" w:cs="Arial" w:eastAsia="Arial" w:hAnsi="Arial"/>
                <w:sz w:val="16"/>
                <w:szCs w:val="16"/>
                <w:b w:val="1"/>
                <w:bCs w:val="1"/>
                <w:color w:val="auto"/>
              </w:rPr>
              <w:t>Year ended December 31,</w:t>
            </w:r>
          </w:p>
        </w:tc>
      </w:tr>
      <w:tr>
        <w:trPr>
          <w:trHeight w:val="33"/>
        </w:trPr>
        <w:tc>
          <w:tcPr>
            <w:tcW w:w="8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0"/>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0"/>
              <w:spacing w:after="0"/>
              <w:rPr>
                <w:sz w:val="20"/>
                <w:szCs w:val="20"/>
                <w:color w:val="auto"/>
              </w:rPr>
            </w:pPr>
            <w:r>
              <w:rPr>
                <w:rFonts w:ascii="Arial" w:cs="Arial" w:eastAsia="Arial" w:hAnsi="Arial"/>
                <w:sz w:val="16"/>
                <w:szCs w:val="16"/>
                <w:b w:val="1"/>
                <w:bCs w:val="1"/>
                <w:color w:val="auto"/>
              </w:rPr>
              <w:t>2013</w:t>
            </w:r>
          </w:p>
        </w:tc>
      </w:tr>
      <w:tr>
        <w:trPr>
          <w:trHeight w:val="33"/>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5,596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5,179</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(used in)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Depreciation and amortization expense</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1,972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1,422</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deferred rent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296</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doubtful accounts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Write-down of inventory to net realizable value</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996</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disposal of assets</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r>
      <w:tr>
        <w:trPr>
          <w:trHeight w:val="243"/>
        </w:trPr>
        <w:tc>
          <w:tcPr>
            <w:tcW w:w="8120" w:type="dxa"/>
            <w:vAlign w:val="bottom"/>
          </w:tcPr>
          <w:p>
            <w:pPr>
              <w:ind w:left="120"/>
              <w:spacing w:after="0"/>
              <w:rPr>
                <w:sz w:val="20"/>
                <w:szCs w:val="20"/>
                <w:color w:val="auto"/>
              </w:rPr>
            </w:pPr>
            <w:r>
              <w:rPr>
                <w:rFonts w:ascii="Arial" w:cs="Arial" w:eastAsia="Arial" w:hAnsi="Arial"/>
                <w:sz w:val="18"/>
                <w:szCs w:val="18"/>
                <w:color w:val="auto"/>
              </w:rPr>
              <w:t>Tax benefit from exercise of stock options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Receivables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(1,059)</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assets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(1,251)</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428</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(14,782)</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product revenue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Other long-term liabilities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6,710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(9,952)</w:t>
            </w:r>
          </w:p>
        </w:tc>
      </w:tr>
      <w:tr>
        <w:trPr>
          <w:trHeight w:val="223"/>
        </w:trPr>
        <w:tc>
          <w:tcPr>
            <w:tcW w:w="8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Payment towards business acquisitions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(13,068)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property and equipment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Purchase of patents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maturities of marketable investment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Purchase of marketable securities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(25,502)</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(14,416)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(26,542)</w:t>
            </w:r>
          </w:p>
        </w:tc>
      </w:tr>
      <w:tr>
        <w:trPr>
          <w:trHeight w:val="210"/>
        </w:trPr>
        <w:tc>
          <w:tcPr>
            <w:tcW w:w="8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Proceeds from the exercise of stock options</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489</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benefit from the exercise of stock options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Stock registration costs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 payments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Treasury stock purchased</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(2,598)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(2,416)</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(1,823)</w:t>
            </w:r>
          </w:p>
        </w:tc>
      </w:tr>
      <w:tr>
        <w:trPr>
          <w:trHeight w:val="210"/>
        </w:trPr>
        <w:tc>
          <w:tcPr>
            <w:tcW w:w="81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spacing w:after="0"/>
              <w:rPr>
                <w:sz w:val="18"/>
                <w:szCs w:val="18"/>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(9,752)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(38,317)</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the beginning of the period</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17,192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55,509</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Cash and cash equivalents at the end of the period</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7,440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17,192</w:t>
            </w: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F- 5 |</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3300" w:type="dxa"/>
            <w:vAlign w:val="bottom"/>
            <w:gridSpan w:val="5"/>
          </w:tcPr>
          <w:p>
            <w:pPr>
              <w:jc w:val="right"/>
              <w:ind w:right="372"/>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2"/>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8120" w:type="dxa"/>
            <w:vAlign w:val="bottom"/>
            <w:vMerge w:val="restart"/>
          </w:tcPr>
          <w:p>
            <w:pPr>
              <w:ind w:left="40"/>
              <w:spacing w:after="0"/>
              <w:rPr>
                <w:sz w:val="20"/>
                <w:szCs w:val="20"/>
                <w:color w:val="auto"/>
              </w:rPr>
            </w:pPr>
            <w:r>
              <w:rPr>
                <w:rFonts w:ascii="Arial" w:cs="Arial" w:eastAsia="Arial" w:hAnsi="Arial"/>
                <w:sz w:val="18"/>
                <w:szCs w:val="18"/>
                <w:color w:val="auto"/>
              </w:rPr>
              <w:t>Supplemental disclosure of cash flow information:</w:t>
            </w: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vMerge w:val="continue"/>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 paid for interest</w:t>
            </w:r>
          </w:p>
        </w:tc>
        <w:tc>
          <w:tcPr>
            <w:tcW w:w="102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220"/>
              <w:spacing w:after="0"/>
              <w:rPr>
                <w:sz w:val="20"/>
                <w:szCs w:val="20"/>
                <w:color w:val="auto"/>
              </w:rPr>
            </w:pPr>
            <w:r>
              <w:rPr>
                <w:rFonts w:ascii="Arial" w:cs="Arial" w:eastAsia="Arial" w:hAnsi="Arial"/>
                <w:sz w:val="18"/>
                <w:szCs w:val="18"/>
                <w:color w:val="auto"/>
              </w:rPr>
              <w:t>Cash paid for income taxes</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3,017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18,021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Issuance of common stock in connection with acquisition of Sabine</w:t>
            </w:r>
          </w:p>
        </w:tc>
        <w:tc>
          <w:tcPr>
            <w:tcW w:w="102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F- 6 |</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Description, Basis of Presentation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Business Description:</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ClearOne, Inc., together with its subsidiaries (collectively, “ClearOne” or the “Company”), is a global company that designs, develops and sells conferencing, collaboration, streaming and digital signage solutions for audio and visual communications. The performance and simplicity of its advanced comprehensive solutions offer unprecedented levels of functionality, reliability and scalability.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Fiscal Year </w:t>
      </w:r>
      <w:r>
        <w:rPr>
          <w:rFonts w:ascii="Arial" w:cs="Arial" w:eastAsia="Arial" w:hAnsi="Arial"/>
          <w:sz w:val="18"/>
          <w:szCs w:val="18"/>
          <w:color w:val="auto"/>
        </w:rPr>
        <w:t>– This report on Form 10-K includes financial statements for the years ended December 31, 2014 and 2013.</w:t>
      </w:r>
    </w:p>
    <w:p>
      <w:pPr>
        <w:spacing w:after="0" w:line="2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i w:val="1"/>
          <w:iCs w:val="1"/>
          <w:color w:val="auto"/>
        </w:rPr>
        <w:t xml:space="preserve">Consolidation </w:t>
      </w:r>
      <w:r>
        <w:rPr>
          <w:rFonts w:ascii="Arial" w:cs="Arial" w:eastAsia="Arial" w:hAnsi="Arial"/>
          <w:sz w:val="18"/>
          <w:szCs w:val="18"/>
          <w:color w:val="auto"/>
        </w:rPr>
        <w:t>– These consolidated financial statements include the financial statements of ClearOne, Inc. and its wholly owned subsidiaries. All inter-company accounts and transactions have been eliminated in consolidation. Certain prior year amounts have been reclassified to conform to the current year presentation.</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 The preparation of financial statements in conformity with generally accepted accounting principles in the United States of America</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management to make estimates and assumptions that affect the reported amounts of assets and liabilities and the disclosure of contingent assets and liabilities at the date of the financial statements and the reported amounts of sales and expenses during the reporting periods. Key estimates in the accompanying consolidated financial statements include, among others, revenue recognition, allowances for doubtful accounts and product returns, provisions for obsolete inventory, valuation of long-lived assets, and deferred income tax asset valuation allowances. Actual results could differ materially from these estimates.</w:t>
      </w:r>
    </w:p>
    <w:p>
      <w:pPr>
        <w:spacing w:after="0" w:line="193"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i w:val="1"/>
          <w:iCs w:val="1"/>
          <w:color w:val="auto"/>
        </w:rPr>
        <w:t xml:space="preserve">Foreign Currency Translation </w:t>
      </w:r>
      <w:r>
        <w:rPr>
          <w:rFonts w:ascii="Arial" w:cs="Arial" w:eastAsia="Arial" w:hAnsi="Arial"/>
          <w:sz w:val="16"/>
          <w:szCs w:val="16"/>
          <w:color w:val="auto"/>
        </w:rPr>
        <w:t>– We are exposed to foreign currency exchange risk through our foreign subsidiaries. Other than our Spain subsidiary, our</w:t>
      </w:r>
      <w:r>
        <w:rPr>
          <w:rFonts w:ascii="Arial" w:cs="Arial" w:eastAsia="Arial" w:hAnsi="Arial"/>
          <w:sz w:val="16"/>
          <w:szCs w:val="16"/>
          <w:i w:val="1"/>
          <w:iCs w:val="1"/>
          <w:color w:val="auto"/>
        </w:rPr>
        <w:t xml:space="preserve"> </w:t>
      </w:r>
      <w:r>
        <w:rPr>
          <w:rFonts w:ascii="Arial" w:cs="Arial" w:eastAsia="Arial" w:hAnsi="Arial"/>
          <w:sz w:val="16"/>
          <w:szCs w:val="16"/>
          <w:color w:val="auto"/>
        </w:rPr>
        <w:t>foreign subsidiaries are U.S. dollar functional, for which gains and losses arising from remeasurement are included in earnings. Our Spain subsidiary is Euro functional, for which gains and losses arising from translation are included in accumulated other comprehensive income or loss. We translate and remeasure foreign assets and liabilities at exchange rates in effect at the balance sheet dates. We translate revenue and expenses using average rates during the year.</w:t>
      </w:r>
    </w:p>
    <w:p>
      <w:pPr>
        <w:spacing w:after="0" w:line="154"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Concentration Risk </w:t>
      </w:r>
      <w:r>
        <w:rPr>
          <w:rFonts w:ascii="Arial" w:cs="Arial" w:eastAsia="Arial" w:hAnsi="Arial"/>
          <w:sz w:val="16"/>
          <w:szCs w:val="16"/>
          <w:color w:val="auto"/>
        </w:rPr>
        <w:t>– We depend on an outsourced manufacturing strategy for our products. We outsource the manufacture of all of our products to third-party</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manufacturers located in both the U.S. and Asia. If any of these manufacturers experience difficulties in obtaining sufficient supplies of components, component prices significantly exceeding the anticipated costs, an interruption in their operations, or otherwise suffer capacity constraints, we would experience a delay in production and shipping of these products which would have a negative impact on our revenues. Should there be any disruption in services due to natural disaster, economic or political difficulties, transportation restrictions, acts of terror, quarantine or other restrictions associated with infectious diseases, or other similar events, or any other reason, such disruption may have a material adverse effect on our business. Operating in the international environment exposes us to certain inherent risks, including unexpected changes in regulatory requirements and tariffs, and potentially adverse tax consequences, which could materially affect our results of operations. Currently, we have no second source of manufacturing for a portion of our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Significant Accounting Policies:</w:t>
      </w:r>
    </w:p>
    <w:p>
      <w:pPr>
        <w:spacing w:after="0" w:line="22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 considers all highly-liquid investments with a maturity of three months or less, when purchased, to be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places its temporary cash investments with high-quality financial institutions. At times, such investments may be in excess of the Federal Deposit Insurance Corporation insurance limits.</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 xml:space="preserve">Marketable Securities - </w:t>
      </w:r>
      <w:r>
        <w:rPr>
          <w:rFonts w:ascii="Arial" w:cs="Arial" w:eastAsia="Arial" w:hAnsi="Arial"/>
          <w:sz w:val="18"/>
          <w:szCs w:val="18"/>
          <w:color w:val="auto"/>
        </w:rPr>
        <w:t>The Company has classified its marketable securities as available-for-sale securities. These securities are carried at estimated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with unrealized holding gains and losses included in accumulated other comprehensive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F- 7 |</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income/loss in stockholders' equity until realized. Gains and losses on marketable security transactions are reported on the specific-identification method.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Dividend and interest income are recognized when earned.</w:t>
      </w:r>
    </w:p>
    <w:p>
      <w:pPr>
        <w:spacing w:after="0" w:line="21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 decline in the market value of any available-for-sale security below cost that is deemed other than temporary results in a charge to earnings and establishes a new cost basis for the security. Losses are charged against “Other income” when a decline in fair value is determined to be other than temporary. We review several factors to determine whether a loss is other than temporary. These factors include, but are not limited to: (i) the extent to which the fair value is less than cost and the cause for the fair value decline, (ii) the financial condition and near term prospects of the issuer, (iii) the length of time a security is in an unrealized loss position and (iv) our ability to hold the security for a period of time sufficient to allow for any anticipated recovery in fair value. There were no other-than-temporary impairments recognized during the years ended December 31, 2014 and 2013.</w:t>
      </w:r>
    </w:p>
    <w:p>
      <w:pPr>
        <w:spacing w:after="0" w:line="178"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i w:val="1"/>
          <w:iCs w:val="1"/>
          <w:color w:val="auto"/>
        </w:rPr>
        <w:t xml:space="preserve">Accounts Receivable </w:t>
      </w:r>
      <w:r>
        <w:rPr>
          <w:rFonts w:ascii="Arial" w:cs="Arial" w:eastAsia="Arial" w:hAnsi="Arial"/>
          <w:sz w:val="16"/>
          <w:szCs w:val="16"/>
          <w:color w:val="auto"/>
        </w:rPr>
        <w:t>– Accounts receivable are recorded at the invoiced amount. Generally, credit is granted to customers on a short-term basis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requiring collateral, and as such, these accounts receivable, do not bear interest, although a finance charge may be applied to such receivables that are past due. The Company extends credit to customers who it believes have the financial strength to pay. The Company has in place credit policies and procedures, an approval process for sales returns and credit memos, and processes for managing and monitoring channel inventory levels.</w:t>
      </w:r>
    </w:p>
    <w:p>
      <w:pPr>
        <w:spacing w:after="0" w:line="15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allowance for doubtful accounts is the Company’s best estimate of the amount of probable credit losses in the Company’s existing accounts receivable. Management regularly analyzes accounts receivable including current aging, historical write-off experience, customer concentrations, customer creditworthiness, and current economic trends when evaluating the adequacy of the allowance for doubtful accounts. We review customer accounts quarterly by first assessing accounts with aging over a specific duration and balance over a specific amount. We review all other balances on a pooled basis based on past collection experience. Accounts identified in our customer-level review as exceeding certain thresholds are assessed for potential allowance adjustment if we conclude the financial condition of that customer has deteriorated, adversely affecting their ability to make payments. Delinquent account balances are written off if the Company determines that the likelihood of collection is not probable. If the assumptions that are used to determine the allowance for doubtful accounts change, the Company may have to provide for a greater level of expense in future periods or reverse amounts provided in prior periods.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allowance for doubtful accounts activity for the years ended December 31, 2014 and 2013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Year ended December 31,</w:t>
            </w:r>
          </w:p>
        </w:tc>
        <w:tc>
          <w:tcPr>
            <w:tcW w:w="106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w w:val="89"/>
              </w:rPr>
              <w:t>2013</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the year</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Allowance increase (decrease)</w:t>
            </w:r>
          </w:p>
        </w:tc>
        <w:tc>
          <w:tcPr>
            <w:tcW w:w="10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96</w:t>
            </w:r>
          </w:p>
        </w:tc>
      </w:tr>
      <w:tr>
        <w:trPr>
          <w:trHeight w:val="27"/>
        </w:trPr>
        <w:tc>
          <w:tcPr>
            <w:tcW w:w="7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Write offs, net of recoveries</w:t>
            </w:r>
          </w:p>
        </w:tc>
        <w:tc>
          <w:tcPr>
            <w:tcW w:w="10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Balance at end of the year</w:t>
            </w:r>
          </w:p>
        </w:tc>
        <w:tc>
          <w:tcPr>
            <w:tcW w:w="108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129</w:t>
            </w:r>
          </w:p>
        </w:tc>
      </w:tr>
      <w:tr>
        <w:trPr>
          <w:trHeight w:val="20"/>
        </w:trPr>
        <w:tc>
          <w:tcPr>
            <w:tcW w:w="76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i w:val="1"/>
          <w:iCs w:val="1"/>
          <w:color w:val="auto"/>
        </w:rPr>
        <w:t xml:space="preserve">Inventories </w:t>
      </w:r>
      <w:r>
        <w:rPr>
          <w:rFonts w:ascii="Arial" w:cs="Arial" w:eastAsia="Arial" w:hAnsi="Arial"/>
          <w:sz w:val="17"/>
          <w:szCs w:val="17"/>
          <w:color w:val="auto"/>
        </w:rPr>
        <w:t>– Inventories are valued at the lower of cost or market, with cost computed on a first-in, first-out (“FIFO”) basis. In addition to the price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purchased, the cost of inventory includes the Company’s internal manufacturing costs, including warehousing, engineering, material purchasing, quality and product planning expenses and applicable overhead, not in excess of estimated realizable value. Consideration is given to obsolescence, excessive levels, deterioration, direct selling expenses, and other factors in evaluating net realizable value.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Distributor channel inventories include products that have been delivered to customers for which revenue recognition criteria have not been met.</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The inventory also includes advance replacement units (valued at cost) provided by the Company to end-users to service defective products under warranty.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value of advance replacement units included in the inventory was $47 and $45, as of December 31, 2014 and 2013, respectively.</w:t>
      </w:r>
    </w:p>
    <w:p>
      <w:pPr>
        <w:spacing w:after="0" w:line="21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 xml:space="preserve">Property and Equipment </w:t>
      </w:r>
      <w:r>
        <w:rPr>
          <w:rFonts w:ascii="Arial" w:cs="Arial" w:eastAsia="Arial" w:hAnsi="Arial"/>
          <w:sz w:val="18"/>
          <w:szCs w:val="18"/>
          <w:color w:val="auto"/>
        </w:rPr>
        <w:t>– Property and equipment are stated at cost less accumulated depreciation and amortization. Expenditures that materially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values or capacities or extend useful lives of property and equipment are capitalized. Routine maintenance, repairs, and renewal costs are expensed as incurred. Gains or losses from the sale, trade-in or retirement of property and equipment are recorded in current operations and the related book value of the property is removed from</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F- 8 |</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399"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property and equipment accounts and the related accumulated depreciation and amortization accounts. Estimated useful lives are generally two to ten years. Depreciation and amortization are calculated over the estimated useful lives of the respective assets using the straight-line method. Leasehold improvement amortization is computed using the straight-line method over the shorter of the lease term or the estimated useful life of the related assets.</w:t>
      </w:r>
    </w:p>
    <w:p>
      <w:pPr>
        <w:spacing w:after="0" w:line="147" w:lineRule="exact"/>
        <w:rPr>
          <w:sz w:val="20"/>
          <w:szCs w:val="20"/>
          <w:color w:val="auto"/>
        </w:rPr>
      </w:pPr>
    </w:p>
    <w:p>
      <w:pPr>
        <w:spacing w:after="0" w:line="287" w:lineRule="auto"/>
        <w:rPr>
          <w:rFonts w:ascii="Arial" w:cs="Arial" w:eastAsia="Arial" w:hAnsi="Arial"/>
          <w:sz w:val="16"/>
          <w:szCs w:val="16"/>
          <w:color w:val="auto"/>
        </w:rPr>
      </w:pPr>
      <w:r>
        <w:rPr>
          <w:rFonts w:ascii="Arial" w:cs="Arial" w:eastAsia="Arial" w:hAnsi="Arial"/>
          <w:sz w:val="16"/>
          <w:szCs w:val="16"/>
          <w:i w:val="1"/>
          <w:iCs w:val="1"/>
          <w:color w:val="auto"/>
        </w:rPr>
        <w:t xml:space="preserve">Goodwill and Intangible Assets – </w:t>
      </w:r>
      <w:r>
        <w:rPr>
          <w:rFonts w:ascii="Arial" w:cs="Arial" w:eastAsia="Arial" w:hAnsi="Arial"/>
          <w:sz w:val="16"/>
          <w:szCs w:val="16"/>
          <w:color w:val="auto"/>
        </w:rPr>
        <w:t>Intangible assets acquired in a purchase business combination are amortized over their useful lives unless these lives are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determined to be indefinite. Intangible assets are carried at cost, less accumulated amortization. Amortization is computed over the estimated useful lives of the respective assets, which are generally three to ten years. Goodwill represents the excess of costs over the fair value of net assets of businesses acquired. Goodwill and intangible assets acquired in a purchase business combination and determined to have an indefinite useful life are not amortized. In accordance with the provisions of FASB ASC Topic 350,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xml:space="preserve">, the Company tests goodwill and other intangible assets with indefinite lives for impairment at least annually at the beginning of the fourth quarter, or sooner if a triggering event occurs suggesting possible impairment of the values of these assets. Impairment testing for these assets involves a two-step process. In the first step, the fair value of the reporting unit holding the assets is compared to its carrying amount. If the carrying amount of the reporting unit exceeds its fair value, the second step of the impairment test is performed to measure the amount of the impairment loss, if any. In the second step, the fair value of the reporting unit is allocated to all of its assets and liabilities, including intangible assets and liabilities not recorded on the balance sheet. The excess, if any, of the fair value of the reporting unit over the sum of the fair values allocated to identified assets and liabilities is the value of goodwill to be compared to its carrying value (See </w:t>
      </w:r>
      <w:hyperlink w:anchor="page47">
        <w:r>
          <w:rPr>
            <w:rFonts w:ascii="Arial" w:cs="Arial" w:eastAsia="Arial" w:hAnsi="Arial"/>
            <w:sz w:val="16"/>
            <w:szCs w:val="16"/>
            <w:u w:val="single" w:color="auto"/>
            <w:color w:val="0000EE"/>
          </w:rPr>
          <w:t>Note 3 – Business Combinations, Goodwill and Intangibles</w:t>
        </w:r>
      </w:hyperlink>
      <w:r>
        <w:rPr>
          <w:rFonts w:ascii="Arial" w:cs="Arial" w:eastAsia="Arial" w:hAnsi="Arial"/>
          <w:sz w:val="16"/>
          <w:szCs w:val="16"/>
          <w:color w:val="auto"/>
        </w:rPr>
        <w:t>). ClearOne and all of its subsidiaries are considered as one reporting unit for this purpose.</w:t>
      </w:r>
    </w:p>
    <w:p>
      <w:pPr>
        <w:spacing w:after="0" w:line="16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Impairment of Long-Lived Assets – </w:t>
      </w:r>
      <w:r>
        <w:rPr>
          <w:rFonts w:ascii="Arial" w:cs="Arial" w:eastAsia="Arial" w:hAnsi="Arial"/>
          <w:sz w:val="16"/>
          <w:szCs w:val="16"/>
          <w:color w:val="auto"/>
        </w:rPr>
        <w:t>Long-lived assets, such as property, equipment, and definite-lived intangibles subject to depreciation and amortization, are</w:t>
      </w:r>
      <w:r>
        <w:rPr>
          <w:rFonts w:ascii="Arial" w:cs="Arial" w:eastAsia="Arial" w:hAnsi="Arial"/>
          <w:sz w:val="16"/>
          <w:szCs w:val="16"/>
          <w:i w:val="1"/>
          <w:iCs w:val="1"/>
          <w:color w:val="auto"/>
        </w:rPr>
        <w:t xml:space="preserve"> </w:t>
      </w:r>
      <w:r>
        <w:rPr>
          <w:rFonts w:ascii="Arial" w:cs="Arial" w:eastAsia="Arial" w:hAnsi="Arial"/>
          <w:sz w:val="16"/>
          <w:szCs w:val="16"/>
          <w:color w:val="auto"/>
        </w:rPr>
        <w:t>reviewed for impairment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w:t>
      </w:r>
    </w:p>
    <w:p>
      <w:pPr>
        <w:spacing w:after="0" w:line="16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Product revenue is recognized when (i) the products are shipped, (ii) persuasive evidence of an arrangement exists, (iii) the price is</w:t>
      </w:r>
      <w:r>
        <w:rPr>
          <w:rFonts w:ascii="Arial" w:cs="Arial" w:eastAsia="Arial" w:hAnsi="Arial"/>
          <w:sz w:val="18"/>
          <w:szCs w:val="18"/>
          <w:i w:val="1"/>
          <w:iCs w:val="1"/>
          <w:color w:val="auto"/>
        </w:rPr>
        <w:t xml:space="preserve"> </w:t>
      </w:r>
      <w:r>
        <w:rPr>
          <w:rFonts w:ascii="Arial" w:cs="Arial" w:eastAsia="Arial" w:hAnsi="Arial"/>
          <w:sz w:val="18"/>
          <w:szCs w:val="18"/>
          <w:color w:val="auto"/>
        </w:rPr>
        <w:t>fixed and determinable, and (iv) collection is reasonably assured.</w:t>
      </w:r>
    </w:p>
    <w:p>
      <w:pPr>
        <w:spacing w:after="0" w:line="17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provides a right of return on product sales to certain distributors and other resellers under a product rotation program. Under this seldom-used program, once a quarter, a distributor or reseller is allowed to return products purchased during the prior 180 days for a total value generally not exceeding 15% of the distributor's or reseller’s net purchases during the preceding quarter. The distributor or reseller is, however, required to place a new purchase order for an amount not less than the value of products returned under the stock rotation program. When products are returned, the associated revenue, cost of goods sold, inventory and accounts receivable originally recorded are reversed. When the new order is fulfilled, the revenue, associated cost of goods sold, inventory and accounts receivable are recorded and the product revenue is subject to the deferral analysis described below. In a small number of cases, the distributors are also permitted to return products for other business reasons.</w:t>
      </w:r>
    </w:p>
    <w:p>
      <w:pPr>
        <w:spacing w:after="0" w:line="17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Revenue from product sales to distributors is not recognized until the return privilege has expired or until it can be determined with reasonable certainty that the return privilege has expired, which approximates when product is sold-through to customers of the Company’s distributors (dealers, system integrators, value-added resellers, and end-users) rather than when the product is initially shipped to a distributor. At each quarter-end, the Company evaluates the inventory in the channel through information provided by our distributors. The level of inventory in the channel will fluctuate up-ward or down-ward each quarter, based upon its distributors’ individual operations. Accordingly, at each quarter-end, the deferral for revenue and associated cost of goods sold are calculated and recorded based upon the actual channel inventory reported at quarter-end. Further, with respect to distributors and other channel partners not reporting the channel inventory, the revenue and associated cost of goods sold are deferred until the Company receives payment for the product sales made to such distributors or channel partners.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amount of deferred cost of goods sold is included in distributor channel inventories.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F- 9 |</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The details of deferred revenue and associated cost of goods sold and gross profit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8"/>
              </w:rPr>
              <w:t>As of 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2013</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118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5,004</w:t>
            </w:r>
          </w:p>
        </w:tc>
        <w:tc>
          <w:tcPr>
            <w:tcW w:w="120" w:type="dxa"/>
            <w:vAlign w:val="bottom"/>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4,158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Deferred cost of goods sold</w:t>
            </w:r>
          </w:p>
        </w:tc>
        <w:tc>
          <w:tcPr>
            <w:tcW w:w="1180" w:type="dxa"/>
            <w:vAlign w:val="bottom"/>
          </w:tcPr>
          <w:p>
            <w:pPr>
              <w:spacing w:after="0"/>
              <w:rPr>
                <w:sz w:val="21"/>
                <w:szCs w:val="21"/>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1,698</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1,520</w:t>
            </w:r>
          </w:p>
        </w:tc>
      </w:tr>
      <w:tr>
        <w:trPr>
          <w:trHeight w:val="27"/>
        </w:trPr>
        <w:tc>
          <w:tcPr>
            <w:tcW w:w="76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gross profit</w:t>
            </w:r>
          </w:p>
        </w:tc>
        <w:tc>
          <w:tcPr>
            <w:tcW w:w="1180" w:type="dxa"/>
            <w:vAlign w:val="bottom"/>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3,306</w:t>
            </w:r>
          </w:p>
        </w:tc>
        <w:tc>
          <w:tcPr>
            <w:tcW w:w="78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2,638</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offers rebates and market development funds to certain of its distributors, dealers/resellers, and end-users based upon the volume of product purchased by them. The Company records rebates as a reduction of revenue in accordance with GAAP.</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provides, at its discretion, advance replacement units to end-users on defective units of certain products under warranty. Since the purpose of these units is not revenue generating, the Company tracks the units due from the end-user, valued at retail price, until the defective unit has been returned, but no receivable balance is maintained on the Company’s balance sheet.</w:t>
      </w:r>
    </w:p>
    <w:p>
      <w:pPr>
        <w:spacing w:after="0" w:line="18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i w:val="1"/>
          <w:iCs w:val="1"/>
          <w:color w:val="auto"/>
        </w:rPr>
        <w:t xml:space="preserve">Sales and Similar Taxes - </w:t>
      </w:r>
      <w:r>
        <w:rPr>
          <w:rFonts w:ascii="Arial" w:cs="Arial" w:eastAsia="Arial" w:hAnsi="Arial"/>
          <w:sz w:val="18"/>
          <w:szCs w:val="18"/>
          <w:color w:val="auto"/>
        </w:rPr>
        <w:t>Taxes collected from customers and remitted to government authorities are reported on a net basis and thus are excluded from</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 xml:space="preserve">Shipping and Handling Costs – </w:t>
      </w:r>
      <w:r>
        <w:rPr>
          <w:rFonts w:ascii="Arial" w:cs="Arial" w:eastAsia="Arial" w:hAnsi="Arial"/>
          <w:sz w:val="18"/>
          <w:szCs w:val="18"/>
          <w:color w:val="auto"/>
        </w:rPr>
        <w:t>Shipping and handling billed to customers is recorded as revenue. Shipping and handling costs are included in cost of goods</w:t>
      </w:r>
      <w:r>
        <w:rPr>
          <w:rFonts w:ascii="Arial" w:cs="Arial" w:eastAsia="Arial" w:hAnsi="Arial"/>
          <w:sz w:val="18"/>
          <w:szCs w:val="18"/>
          <w:i w:val="1"/>
          <w:iCs w:val="1"/>
          <w:color w:val="auto"/>
        </w:rPr>
        <w:t xml:space="preserve"> </w:t>
      </w:r>
      <w:r>
        <w:rPr>
          <w:rFonts w:ascii="Arial" w:cs="Arial" w:eastAsia="Arial" w:hAnsi="Arial"/>
          <w:sz w:val="18"/>
          <w:szCs w:val="18"/>
          <w:color w:val="auto"/>
        </w:rPr>
        <w:t>sold.</w:t>
      </w:r>
    </w:p>
    <w:p>
      <w:pPr>
        <w:spacing w:after="0" w:line="170"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i w:val="1"/>
          <w:iCs w:val="1"/>
          <w:color w:val="auto"/>
        </w:rPr>
        <w:t xml:space="preserve">Warranty Costs </w:t>
      </w:r>
      <w:r>
        <w:rPr>
          <w:rFonts w:ascii="Arial" w:cs="Arial" w:eastAsia="Arial" w:hAnsi="Arial"/>
          <w:sz w:val="16"/>
          <w:szCs w:val="16"/>
          <w:color w:val="auto"/>
        </w:rPr>
        <w:t>– The Company accrues for warranty costs based on estimated warranty return rates and estimated costs to repair. These reserve costs are</w:t>
      </w:r>
      <w:r>
        <w:rPr>
          <w:rFonts w:ascii="Arial" w:cs="Arial" w:eastAsia="Arial" w:hAnsi="Arial"/>
          <w:sz w:val="16"/>
          <w:szCs w:val="16"/>
          <w:i w:val="1"/>
          <w:iCs w:val="1"/>
          <w:color w:val="auto"/>
        </w:rPr>
        <w:t xml:space="preserve"> </w:t>
      </w:r>
      <w:r>
        <w:rPr>
          <w:rFonts w:ascii="Arial" w:cs="Arial" w:eastAsia="Arial" w:hAnsi="Arial"/>
          <w:sz w:val="16"/>
          <w:szCs w:val="16"/>
          <w:color w:val="auto"/>
        </w:rPr>
        <w:t>classified as accrued liabilities on the consolidated balance sheets. Factors that affect the Company’s warranty liability include the number of units sold, historical and anticipated rates of warranty returns, and repair cost. The Company reviews the adequacy of its recorded warranty accrual on a quarterly basis.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details of changes in the Company’s warranty accrual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Year ended December 31,</w:t>
            </w:r>
          </w:p>
        </w:tc>
        <w:tc>
          <w:tcPr>
            <w:tcW w:w="106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w w:val="89"/>
              </w:rPr>
              <w:t>2013</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the beginning of year</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338</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385</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Accruals/additions</w:t>
            </w:r>
          </w:p>
        </w:tc>
        <w:tc>
          <w:tcPr>
            <w:tcW w:w="108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433</w:t>
            </w:r>
          </w:p>
        </w:tc>
      </w:tr>
      <w:tr>
        <w:trPr>
          <w:trHeight w:val="27"/>
        </w:trPr>
        <w:tc>
          <w:tcPr>
            <w:tcW w:w="7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Usage/claims</w:t>
            </w:r>
          </w:p>
        </w:tc>
        <w:tc>
          <w:tcPr>
            <w:tcW w:w="10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Balance at end of year</w:t>
            </w:r>
          </w:p>
        </w:tc>
        <w:tc>
          <w:tcPr>
            <w:tcW w:w="108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338</w:t>
            </w:r>
          </w:p>
        </w:tc>
      </w:tr>
      <w:tr>
        <w:trPr>
          <w:trHeight w:val="20"/>
        </w:trPr>
        <w:tc>
          <w:tcPr>
            <w:tcW w:w="76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Advertising </w:t>
      </w:r>
      <w:r>
        <w:rPr>
          <w:rFonts w:ascii="Arial" w:cs="Arial" w:eastAsia="Arial" w:hAnsi="Arial"/>
          <w:sz w:val="18"/>
          <w:szCs w:val="18"/>
          <w:color w:val="auto"/>
        </w:rPr>
        <w:t>– The Company expenses advertising costs as incurred. Advertising costs consist of trade shows, magazine advertisements, and other forms of</w:t>
      </w:r>
      <w:r>
        <w:rPr>
          <w:rFonts w:ascii="Arial" w:cs="Arial" w:eastAsia="Arial" w:hAnsi="Arial"/>
          <w:sz w:val="18"/>
          <w:szCs w:val="18"/>
          <w:i w:val="1"/>
          <w:iCs w:val="1"/>
          <w:color w:val="auto"/>
        </w:rPr>
        <w:t xml:space="preserve"> </w:t>
      </w:r>
      <w:r>
        <w:rPr>
          <w:rFonts w:ascii="Arial" w:cs="Arial" w:eastAsia="Arial" w:hAnsi="Arial"/>
          <w:sz w:val="18"/>
          <w:szCs w:val="18"/>
          <w:color w:val="auto"/>
        </w:rPr>
        <w:t>media. Advertising expenses for the years ended December 31, 2014 and 2013 totaled $768 and $472, respectively, and are included under the caption “Sales and Marketing”.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Research and Product Development Costs </w:t>
      </w:r>
      <w:r>
        <w:rPr>
          <w:rFonts w:ascii="Arial" w:cs="Arial" w:eastAsia="Arial" w:hAnsi="Arial"/>
          <w:sz w:val="18"/>
          <w:szCs w:val="18"/>
          <w:color w:val="auto"/>
        </w:rPr>
        <w:t>– The Company expenses research and product development costs as incurred.</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 The Company uses the asset and liability method of accounting for income taxes. Under the asset and liability method, deferred tax assets and</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are recognized for the future tax consequences attributable to temporary differences between the financial statement carrying amounts of existing assets and liabilities and their respective tax bases, and operating loss and tax credit carry-forwards. These temporary differences will result in deductible or taxable amounts in future years when the reported amounts of the assets or liabilities are recovered or settled.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provided when it is more likely than not that some or all of the deferred tax assets may not be realized. The Company evaluates the realizability of its net deferred tax assets on a quarterly basis and valuation allowances are provided, as necessary. Adjustments to the valuation allowance increase or decrease the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F- 10 |</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39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Company’s income tax provision or benefit. As of December 31, 2014 and 2013, the Company had a valuation allowance of $786 and $378 against foreign net operating losses, and state research and development credits, respectively.</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 xml:space="preserve">The Company follows the provisions contained in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The Company recognizes the tax benefit from an uncertain tax position only if it is at least more likely than not that the tax position will be sustained on examination by the taxing authorities, based on the technical merits of the position.</w:t>
      </w:r>
    </w:p>
    <w:p>
      <w:pPr>
        <w:spacing w:after="0" w:line="18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Judgment is required in determining the provision for income taxes and related accruals, deferred tax assets and liabilities. In the ordinary course of business, there are transactions and calculations where the ultimate tax outcome is uncertain. Additionally, the Company’s tax returns are subject to audit by various tax authorities. Although the Company believes that its estimates are reasonable, actual results could differ from these estimates.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Earnings Per Share </w:t>
      </w:r>
      <w:r>
        <w:rPr>
          <w:rFonts w:ascii="Arial" w:cs="Arial" w:eastAsia="Arial" w:hAnsi="Arial"/>
          <w:sz w:val="18"/>
          <w:szCs w:val="18"/>
          <w:color w:val="auto"/>
        </w:rPr>
        <w:t>– The following table sets forth the computation of basic and diluted earnings per common share: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06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w w:val="89"/>
              </w:rPr>
              <w:t>2013</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5,596</w:t>
            </w:r>
          </w:p>
        </w:tc>
        <w:tc>
          <w:tcPr>
            <w:tcW w:w="120" w:type="dxa"/>
            <w:vAlign w:val="bottom"/>
          </w:tcPr>
          <w:p>
            <w:pPr>
              <w:spacing w:after="0"/>
              <w:rPr>
                <w:sz w:val="21"/>
                <w:szCs w:val="21"/>
                <w:color w:val="auto"/>
              </w:rPr>
            </w:pP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5,179</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Basic weighted average shares</w:t>
            </w: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9,166,769</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9,064,340</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Dilutive common stock equivalents using treasury stock method</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414,557</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391,178</w:t>
            </w:r>
          </w:p>
        </w:tc>
      </w:tr>
      <w:tr>
        <w:trPr>
          <w:trHeight w:val="297"/>
        </w:trPr>
        <w:tc>
          <w:tcPr>
            <w:tcW w:w="76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Diluted weighted average shares</w:t>
            </w:r>
          </w:p>
        </w:tc>
        <w:tc>
          <w:tcPr>
            <w:tcW w:w="44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9,581,326</w:t>
            </w:r>
          </w:p>
        </w:tc>
        <w:tc>
          <w:tcPr>
            <w:tcW w:w="120" w:type="dxa"/>
            <w:vAlign w:val="bottom"/>
            <w:tcBorders>
              <w:bottom w:val="single" w:sz="8" w:color="CCEEFF"/>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9,455,518</w:t>
            </w:r>
          </w:p>
        </w:tc>
      </w:tr>
      <w:tr>
        <w:trPr>
          <w:trHeight w:val="311"/>
        </w:trPr>
        <w:tc>
          <w:tcPr>
            <w:tcW w:w="76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0.61</w:t>
            </w:r>
          </w:p>
        </w:tc>
        <w:tc>
          <w:tcPr>
            <w:tcW w:w="120" w:type="dxa"/>
            <w:vAlign w:val="bottom"/>
          </w:tcPr>
          <w:p>
            <w:pPr>
              <w:spacing w:after="0"/>
              <w:rPr>
                <w:sz w:val="21"/>
                <w:szCs w:val="21"/>
                <w:color w:val="auto"/>
              </w:rPr>
            </w:pP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0.57</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0.58</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0.55</w:t>
            </w:r>
          </w:p>
        </w:tc>
      </w:tr>
      <w:tr>
        <w:trPr>
          <w:trHeight w:val="324"/>
        </w:trPr>
        <w:tc>
          <w:tcPr>
            <w:tcW w:w="7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options outstanding</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975,696</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1,128,045</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Anti-dilutive options not included in the computation</w:t>
            </w: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209,751</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149,773</w:t>
            </w:r>
          </w:p>
        </w:tc>
      </w:tr>
    </w:tbl>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Share-Based Payment </w:t>
      </w:r>
      <w:r>
        <w:rPr>
          <w:rFonts w:ascii="Arial" w:cs="Arial" w:eastAsia="Arial" w:hAnsi="Arial"/>
          <w:sz w:val="18"/>
          <w:szCs w:val="18"/>
          <w:color w:val="auto"/>
        </w:rPr>
        <w:t>– We estimate the fair value of stock options using the Black-Scholes option pricing model, which requires certain estimates,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an expected forfeiture rate and expected term of options granted. We also make decisions regarding the method of calculating expected volatilities and the risk-free interest rate used in the option-pricing model. The resulting calculated fair value of stock options is recognized as compensation expense over the requisite service period, which is generally the vesting period. When there are changes to the assumptions used in the option-pricing model, including fluctuations in the market price of our common stock, there will be variations in the calculated fair value of our future stock option awards, which results in variation in the compensation cost recognized.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3"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In May 2014, the FASB issued ASU 2014-09, Revenue from Contracts with Customers (Topic 606), requiring an entity to recognize the amount of revenue to which it expects to be entitled for the transfer of promised goods or services to customers. The updated standard will replace most existing revenue recognition guidance in U.S. GAAP when it becomes effective and permits the use of either a full retrospective or retrospective with cumulative effect transition method. Early adoption is not permitted. The updated standard becomes effective for the Company on January 1, 2017. The Company has not yet selected a transition method and is currently evaluating the effect that the updated standard will have on the consolidated financial statements.</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Marketable Securities</w:t>
      </w:r>
    </w:p>
    <w:p>
      <w:pPr>
        <w:spacing w:after="0" w:line="31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Company has classified its marketable securities as available-for-sale securities. These securities are carried at estimated fair value with unrealized holding gains and losses included in accumulated other comprehensive income/loss in stockholders'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F- 11 |</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200" w:lineRule="exact"/>
        <w:rPr>
          <w:sz w:val="20"/>
          <w:szCs w:val="20"/>
          <w:color w:val="auto"/>
        </w:rPr>
      </w:pPr>
    </w:p>
    <w:p>
      <w:pPr>
        <w:spacing w:after="0" w:line="28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equity until realized. Gains and losses on marketable security transactions are reported on the specific-identification method. Dividend and interest income are recognized when earned.</w:t>
      </w:r>
    </w:p>
    <w:p>
      <w:pPr>
        <w:spacing w:after="0" w:line="116"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The amortized cost, gross unrealized holding gains, gross unrealized holding losses, and fair value for available-for-sale securities by major security type and class of security at December 31, 2014 and 2013 were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4"/>
                <w:szCs w:val="14"/>
                <w:color w:val="auto"/>
              </w:rPr>
            </w:pPr>
          </w:p>
        </w:tc>
        <w:tc>
          <w:tcPr>
            <w:tcW w:w="12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Amortized</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unrealized</w:t>
            </w:r>
          </w:p>
        </w:tc>
        <w:tc>
          <w:tcPr>
            <w:tcW w:w="240" w:type="dxa"/>
            <w:vAlign w:val="bottom"/>
          </w:tcPr>
          <w:p>
            <w:pPr>
              <w:spacing w:after="0"/>
              <w:rPr>
                <w:sz w:val="12"/>
                <w:szCs w:val="12"/>
                <w:color w:val="auto"/>
              </w:rPr>
            </w:pPr>
          </w:p>
        </w:tc>
        <w:tc>
          <w:tcPr>
            <w:tcW w:w="12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unrealized</w:t>
            </w:r>
          </w:p>
        </w:tc>
        <w:tc>
          <w:tcPr>
            <w:tcW w:w="240" w:type="dxa"/>
            <w:vAlign w:val="bottom"/>
          </w:tcPr>
          <w:p>
            <w:pPr>
              <w:spacing w:after="0"/>
              <w:rPr>
                <w:sz w:val="12"/>
                <w:szCs w:val="12"/>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holding</w:t>
            </w:r>
          </w:p>
        </w:tc>
        <w:tc>
          <w:tcPr>
            <w:tcW w:w="240" w:type="dxa"/>
            <w:vAlign w:val="bottom"/>
          </w:tcPr>
          <w:p>
            <w:pPr>
              <w:spacing w:after="0"/>
              <w:rPr>
                <w:sz w:val="12"/>
                <w:szCs w:val="12"/>
                <w:color w:val="auto"/>
              </w:rPr>
            </w:pPr>
          </w:p>
        </w:tc>
        <w:tc>
          <w:tcPr>
            <w:tcW w:w="12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holding</w:t>
            </w: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5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cost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7"/>
              </w:rPr>
              <w:t>gains</w:t>
            </w:r>
          </w:p>
        </w:tc>
        <w:tc>
          <w:tcPr>
            <w:tcW w:w="240" w:type="dxa"/>
            <w:vAlign w:val="bottom"/>
          </w:tcPr>
          <w:p>
            <w:pPr>
              <w:spacing w:after="0"/>
              <w:rPr>
                <w:sz w:val="16"/>
                <w:szCs w:val="16"/>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77"/>
              </w:rPr>
              <w:t>losses</w:t>
            </w:r>
          </w:p>
        </w:tc>
        <w:tc>
          <w:tcPr>
            <w:tcW w:w="240" w:type="dxa"/>
            <w:vAlign w:val="bottom"/>
          </w:tcPr>
          <w:p>
            <w:pPr>
              <w:spacing w:after="0"/>
              <w:rPr>
                <w:sz w:val="16"/>
                <w:szCs w:val="16"/>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2014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20" w:type="dxa"/>
            <w:vAlign w:val="bottom"/>
          </w:tcPr>
          <w:p>
            <w:pPr>
              <w:ind w:left="360"/>
              <w:spacing w:after="0"/>
              <w:rPr>
                <w:sz w:val="20"/>
                <w:szCs w:val="20"/>
                <w:color w:val="auto"/>
              </w:rPr>
            </w:pPr>
            <w:r>
              <w:rPr>
                <w:rFonts w:ascii="Arial" w:cs="Arial" w:eastAsia="Arial" w:hAnsi="Arial"/>
                <w:sz w:val="18"/>
                <w:szCs w:val="18"/>
                <w:color w:val="auto"/>
              </w:rPr>
              <w:t>Available-for-sale securities: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52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Corporate bonds and notes</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w w:val="99"/>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19,838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20" w:type="dxa"/>
            <w:vAlign w:val="bottom"/>
          </w:tcPr>
          <w:p>
            <w:pPr>
              <w:ind w:left="940"/>
              <w:spacing w:after="0"/>
              <w:rPr>
                <w:sz w:val="20"/>
                <w:szCs w:val="20"/>
                <w:color w:val="auto"/>
              </w:rPr>
            </w:pPr>
            <w:r>
              <w:rPr>
                <w:rFonts w:ascii="Arial" w:cs="Arial" w:eastAsia="Arial" w:hAnsi="Arial"/>
                <w:sz w:val="18"/>
                <w:szCs w:val="18"/>
                <w:color w:val="auto"/>
              </w:rPr>
              <w:t>Municipal bonds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6,292</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ind w:left="880"/>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55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520" w:type="dxa"/>
            <w:vAlign w:val="bottom"/>
          </w:tcPr>
          <w:p>
            <w:pPr>
              <w:ind w:left="360"/>
              <w:spacing w:after="0"/>
              <w:rPr>
                <w:sz w:val="20"/>
                <w:szCs w:val="20"/>
                <w:color w:val="auto"/>
              </w:rPr>
            </w:pPr>
            <w:r>
              <w:rPr>
                <w:rFonts w:ascii="Arial" w:cs="Arial" w:eastAsia="Arial" w:hAnsi="Arial"/>
                <w:sz w:val="18"/>
                <w:szCs w:val="18"/>
                <w:color w:val="auto"/>
              </w:rPr>
              <w:t>Total available-for-sale securities</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26,096</w:t>
            </w:r>
          </w:p>
        </w:tc>
        <w:tc>
          <w:tcPr>
            <w:tcW w:w="100" w:type="dxa"/>
            <w:vAlign w:val="bottom"/>
          </w:tcPr>
          <w:p>
            <w:pPr>
              <w:spacing w:after="0"/>
              <w:rPr>
                <w:sz w:val="22"/>
                <w:szCs w:val="22"/>
                <w:color w:val="auto"/>
              </w:rPr>
            </w:pP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117</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ind w:left="780"/>
              <w:spacing w:after="0"/>
              <w:rPr>
                <w:sz w:val="20"/>
                <w:szCs w:val="20"/>
                <w:color w:val="auto"/>
              </w:rPr>
            </w:pPr>
            <w:r>
              <w:rPr>
                <w:rFonts w:ascii="Arial" w:cs="Arial" w:eastAsia="Arial" w:hAnsi="Arial"/>
                <w:sz w:val="18"/>
                <w:szCs w:val="18"/>
                <w:color w:val="auto"/>
                <w:w w:val="99"/>
              </w:rPr>
              <w:t>(57)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26,156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24"/>
                <w:szCs w:val="24"/>
                <w:color w:val="auto"/>
              </w:rPr>
            </w:pPr>
          </w:p>
        </w:tc>
        <w:tc>
          <w:tcPr>
            <w:tcW w:w="12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Amortized</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unrealized</w:t>
            </w:r>
          </w:p>
        </w:tc>
        <w:tc>
          <w:tcPr>
            <w:tcW w:w="240" w:type="dxa"/>
            <w:vAlign w:val="bottom"/>
          </w:tcPr>
          <w:p>
            <w:pPr>
              <w:spacing w:after="0"/>
              <w:rPr>
                <w:sz w:val="12"/>
                <w:szCs w:val="12"/>
                <w:color w:val="auto"/>
              </w:rPr>
            </w:pPr>
          </w:p>
        </w:tc>
        <w:tc>
          <w:tcPr>
            <w:tcW w:w="12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unrealized</w:t>
            </w:r>
          </w:p>
        </w:tc>
        <w:tc>
          <w:tcPr>
            <w:tcW w:w="240" w:type="dxa"/>
            <w:vAlign w:val="bottom"/>
          </w:tcPr>
          <w:p>
            <w:pPr>
              <w:spacing w:after="0"/>
              <w:rPr>
                <w:sz w:val="12"/>
                <w:szCs w:val="12"/>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holding</w:t>
            </w:r>
          </w:p>
        </w:tc>
        <w:tc>
          <w:tcPr>
            <w:tcW w:w="240" w:type="dxa"/>
            <w:vAlign w:val="bottom"/>
          </w:tcPr>
          <w:p>
            <w:pPr>
              <w:spacing w:after="0"/>
              <w:rPr>
                <w:sz w:val="12"/>
                <w:szCs w:val="12"/>
                <w:color w:val="auto"/>
              </w:rPr>
            </w:pPr>
          </w:p>
        </w:tc>
        <w:tc>
          <w:tcPr>
            <w:tcW w:w="12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holding</w:t>
            </w: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5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cost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gains</w:t>
            </w:r>
          </w:p>
        </w:tc>
        <w:tc>
          <w:tcPr>
            <w:tcW w:w="240" w:type="dxa"/>
            <w:vAlign w:val="bottom"/>
          </w:tcPr>
          <w:p>
            <w:pPr>
              <w:spacing w:after="0"/>
              <w:rPr>
                <w:sz w:val="16"/>
                <w:szCs w:val="16"/>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77"/>
              </w:rPr>
              <w:t>losses</w:t>
            </w:r>
          </w:p>
        </w:tc>
        <w:tc>
          <w:tcPr>
            <w:tcW w:w="240" w:type="dxa"/>
            <w:vAlign w:val="bottom"/>
          </w:tcPr>
          <w:p>
            <w:pPr>
              <w:spacing w:after="0"/>
              <w:rPr>
                <w:sz w:val="16"/>
                <w:szCs w:val="16"/>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2013</w:t>
            </w: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20" w:type="dxa"/>
            <w:vAlign w:val="bottom"/>
          </w:tcPr>
          <w:p>
            <w:pPr>
              <w:ind w:left="360"/>
              <w:spacing w:after="0"/>
              <w:rPr>
                <w:sz w:val="20"/>
                <w:szCs w:val="20"/>
                <w:color w:val="auto"/>
              </w:rPr>
            </w:pPr>
            <w:r>
              <w:rPr>
                <w:rFonts w:ascii="Arial" w:cs="Arial" w:eastAsia="Arial" w:hAnsi="Arial"/>
                <w:sz w:val="18"/>
                <w:szCs w:val="18"/>
                <w:color w:val="auto"/>
              </w:rPr>
              <w:t>Available-for-sale securities: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Corporate bonds and notes</w:t>
            </w: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18,832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18,857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20" w:type="dxa"/>
            <w:vAlign w:val="bottom"/>
          </w:tcPr>
          <w:p>
            <w:pPr>
              <w:ind w:left="920"/>
              <w:spacing w:after="0"/>
              <w:rPr>
                <w:sz w:val="20"/>
                <w:szCs w:val="20"/>
                <w:color w:val="auto"/>
              </w:rPr>
            </w:pPr>
            <w:r>
              <w:rPr>
                <w:rFonts w:ascii="Arial" w:cs="Arial" w:eastAsia="Arial" w:hAnsi="Arial"/>
                <w:sz w:val="18"/>
                <w:szCs w:val="18"/>
                <w:color w:val="auto"/>
              </w:rPr>
              <w:t>Municipal bonds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6,658</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ind w:left="780"/>
              <w:spacing w:after="0"/>
              <w:rPr>
                <w:sz w:val="20"/>
                <w:szCs w:val="20"/>
                <w:color w:val="auto"/>
              </w:rPr>
            </w:pPr>
            <w:r>
              <w:rPr>
                <w:rFonts w:ascii="Arial" w:cs="Arial" w:eastAsia="Arial" w:hAnsi="Arial"/>
                <w:sz w:val="18"/>
                <w:szCs w:val="18"/>
                <w:color w:val="auto"/>
                <w:w w:val="99"/>
              </w:rPr>
              <w:t>(11)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6,669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520" w:type="dxa"/>
            <w:vAlign w:val="bottom"/>
            <w:shd w:val="clear" w:color="auto" w:fill="CCEEFF"/>
          </w:tcPr>
          <w:p>
            <w:pPr>
              <w:spacing w:after="0"/>
              <w:rPr>
                <w:sz w:val="23"/>
                <w:szCs w:val="23"/>
                <w:color w:val="auto"/>
              </w:rPr>
            </w:pPr>
          </w:p>
        </w:tc>
        <w:tc>
          <w:tcPr>
            <w:tcW w:w="280" w:type="dxa"/>
            <w:vAlign w:val="bottom"/>
            <w:tcBorders>
              <w:bottom w:val="single" w:sz="8" w:color="auto"/>
            </w:tcBorders>
            <w:gridSpan w:val="2"/>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60" w:type="dxa"/>
            <w:vAlign w:val="bottom"/>
            <w:tcBorders>
              <w:bottom w:val="single" w:sz="8" w:color="auto"/>
            </w:tcBorders>
            <w:gridSpan w:val="2"/>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520" w:type="dxa"/>
            <w:vAlign w:val="bottom"/>
          </w:tcPr>
          <w:p>
            <w:pPr>
              <w:ind w:left="360"/>
              <w:spacing w:after="0"/>
              <w:rPr>
                <w:sz w:val="20"/>
                <w:szCs w:val="20"/>
                <w:color w:val="auto"/>
              </w:rPr>
            </w:pPr>
            <w:r>
              <w:rPr>
                <w:rFonts w:ascii="Arial" w:cs="Arial" w:eastAsia="Arial" w:hAnsi="Arial"/>
                <w:sz w:val="18"/>
                <w:szCs w:val="18"/>
                <w:color w:val="auto"/>
              </w:rPr>
              <w:t>Total available-for-sale securities</w:t>
            </w: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25,490</w:t>
            </w:r>
          </w:p>
        </w:tc>
        <w:tc>
          <w:tcPr>
            <w:tcW w:w="100" w:type="dxa"/>
            <w:vAlign w:val="bottom"/>
          </w:tcPr>
          <w:p>
            <w:pPr>
              <w:spacing w:after="0"/>
              <w:rPr>
                <w:sz w:val="22"/>
                <w:szCs w:val="22"/>
                <w:color w:val="auto"/>
              </w:rPr>
            </w:pPr>
          </w:p>
        </w:tc>
        <w:tc>
          <w:tcPr>
            <w:tcW w:w="3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0"/>
              <w:spacing w:after="0"/>
              <w:rPr>
                <w:sz w:val="20"/>
                <w:szCs w:val="20"/>
                <w:color w:val="auto"/>
              </w:rPr>
            </w:pPr>
            <w:r>
              <w:rPr>
                <w:rFonts w:ascii="Arial" w:cs="Arial" w:eastAsia="Arial" w:hAnsi="Arial"/>
                <w:sz w:val="18"/>
                <w:szCs w:val="18"/>
                <w:color w:val="auto"/>
              </w:rPr>
              <w:t>90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ind w:left="76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25,526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Maturities of marketable securities classified as available-for-sale securities were as follows at December 31, 2014:</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Amortized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40" w:type="dxa"/>
            <w:vAlign w:val="bottom"/>
          </w:tcPr>
          <w:p>
            <w:pPr>
              <w:jc w:val="right"/>
              <w:ind w:right="576"/>
              <w:spacing w:after="0"/>
              <w:rPr>
                <w:sz w:val="20"/>
                <w:szCs w:val="20"/>
                <w:color w:val="auto"/>
              </w:rPr>
            </w:pPr>
            <w:r>
              <w:rPr>
                <w:rFonts w:ascii="Arial" w:cs="Arial" w:eastAsia="Arial" w:hAnsi="Arial"/>
                <w:sz w:val="14"/>
                <w:szCs w:val="14"/>
                <w:b w:val="1"/>
                <w:bCs w:val="1"/>
                <w:color w:val="auto"/>
              </w:rPr>
              <w:t>Estimated</w:t>
            </w:r>
          </w:p>
        </w:tc>
      </w:tr>
      <w:tr>
        <w:trPr>
          <w:trHeight w:val="192"/>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cost</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fair value</w:t>
            </w:r>
          </w:p>
        </w:tc>
      </w:tr>
      <w:tr>
        <w:trPr>
          <w:trHeight w:val="216"/>
        </w:trPr>
        <w:tc>
          <w:tcPr>
            <w:tcW w:w="7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43"/>
        </w:trPr>
        <w:tc>
          <w:tcPr>
            <w:tcW w:w="7440" w:type="dxa"/>
            <w:vAlign w:val="bottom"/>
          </w:tcPr>
          <w:p>
            <w:pPr>
              <w:ind w:left="500"/>
              <w:spacing w:after="0"/>
              <w:rPr>
                <w:sz w:val="20"/>
                <w:szCs w:val="20"/>
                <w:color w:val="auto"/>
              </w:rPr>
            </w:pPr>
            <w:r>
              <w:rPr>
                <w:rFonts w:ascii="Arial" w:cs="Arial" w:eastAsia="Arial" w:hAnsi="Arial"/>
                <w:sz w:val="18"/>
                <w:szCs w:val="18"/>
                <w:color w:val="auto"/>
              </w:rPr>
              <w:t>Due within one year</w:t>
            </w:r>
          </w:p>
        </w:tc>
        <w:tc>
          <w:tcPr>
            <w:tcW w:w="1320" w:type="dxa"/>
            <w:vAlign w:val="bottom"/>
          </w:tcPr>
          <w:p>
            <w:pPr>
              <w:jc w:val="right"/>
              <w:ind w:right="1119"/>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6,998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6"/>
              <w:spacing w:after="0"/>
              <w:rPr>
                <w:sz w:val="20"/>
                <w:szCs w:val="20"/>
                <w:color w:val="auto"/>
              </w:rPr>
            </w:pPr>
            <w:r>
              <w:rPr>
                <w:rFonts w:ascii="Arial" w:cs="Arial" w:eastAsia="Arial" w:hAnsi="Arial"/>
                <w:sz w:val="18"/>
                <w:szCs w:val="18"/>
                <w:color w:val="auto"/>
              </w:rPr>
              <w:t>6,994</w:t>
            </w:r>
          </w:p>
        </w:tc>
      </w:tr>
      <w:tr>
        <w:trPr>
          <w:trHeight w:val="27"/>
        </w:trPr>
        <w:tc>
          <w:tcPr>
            <w:tcW w:w="7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Due after one year through five years</w:t>
            </w:r>
          </w:p>
        </w:tc>
        <w:tc>
          <w:tcPr>
            <w:tcW w:w="13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18,733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18,796</w:t>
            </w:r>
          </w:p>
        </w:tc>
      </w:tr>
      <w:tr>
        <w:trPr>
          <w:trHeight w:val="243"/>
        </w:trPr>
        <w:tc>
          <w:tcPr>
            <w:tcW w:w="7440" w:type="dxa"/>
            <w:vAlign w:val="bottom"/>
          </w:tcPr>
          <w:p>
            <w:pPr>
              <w:ind w:left="500"/>
              <w:spacing w:after="0"/>
              <w:rPr>
                <w:sz w:val="20"/>
                <w:szCs w:val="20"/>
                <w:color w:val="auto"/>
              </w:rPr>
            </w:pPr>
            <w:r>
              <w:rPr>
                <w:rFonts w:ascii="Arial" w:cs="Arial" w:eastAsia="Arial" w:hAnsi="Arial"/>
                <w:sz w:val="18"/>
                <w:szCs w:val="18"/>
                <w:color w:val="auto"/>
              </w:rPr>
              <w:t>Due after five years through ten years</w:t>
            </w:r>
          </w:p>
        </w:tc>
        <w:tc>
          <w:tcPr>
            <w:tcW w:w="13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40" w:type="dxa"/>
            <w:vAlign w:val="bottom"/>
          </w:tcPr>
          <w:p>
            <w:pPr>
              <w:jc w:val="right"/>
              <w:ind w:right="16"/>
              <w:spacing w:after="0"/>
              <w:rPr>
                <w:sz w:val="20"/>
                <w:szCs w:val="20"/>
                <w:color w:val="auto"/>
              </w:rPr>
            </w:pPr>
            <w:r>
              <w:rPr>
                <w:rFonts w:ascii="Arial" w:cs="Arial" w:eastAsia="Arial" w:hAnsi="Arial"/>
                <w:sz w:val="18"/>
                <w:szCs w:val="18"/>
                <w:color w:val="auto"/>
              </w:rPr>
              <w:t>366</w:t>
            </w:r>
          </w:p>
        </w:tc>
      </w:tr>
      <w:tr>
        <w:trPr>
          <w:trHeight w:val="27"/>
        </w:trPr>
        <w:tc>
          <w:tcPr>
            <w:tcW w:w="74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0"/>
        </w:trPr>
        <w:tc>
          <w:tcPr>
            <w:tcW w:w="74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8"/>
                <w:szCs w:val="18"/>
                <w:color w:val="auto"/>
              </w:rPr>
              <w:t>Total available-for-sale securities</w:t>
            </w:r>
          </w:p>
        </w:tc>
        <w:tc>
          <w:tcPr>
            <w:tcW w:w="1320" w:type="dxa"/>
            <w:vAlign w:val="bottom"/>
            <w:tcBorders>
              <w:bottom w:val="single" w:sz="8" w:color="auto"/>
            </w:tcBorders>
          </w:tcPr>
          <w:p>
            <w:pPr>
              <w:jc w:val="right"/>
              <w:ind w:right="111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26,096</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26,156</w:t>
            </w:r>
          </w:p>
        </w:tc>
      </w:tr>
      <w:tr>
        <w:trPr>
          <w:trHeight w:val="20"/>
        </w:trPr>
        <w:tc>
          <w:tcPr>
            <w:tcW w:w="74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Debt securities in an unrealized loss position as of December 31, 2014 were not deemed impaired at acquisition and subsequent declines in fair value are not deemed attributed to declines in credit quality. Management believes that it is more likely than not that the securities will receive a full recovery of par value. The available-for-sale marketable securities in a gross unrealized loss position as of December 31, 2014 are summarized as follows: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F- 12 |</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5"/>
          </w:tcPr>
          <w:p>
            <w:pPr>
              <w:ind w:left="340"/>
              <w:spacing w:after="0"/>
              <w:rPr>
                <w:sz w:val="20"/>
                <w:szCs w:val="20"/>
                <w:color w:val="auto"/>
              </w:rPr>
            </w:pPr>
            <w:r>
              <w:rPr>
                <w:rFonts w:ascii="Arial" w:cs="Arial" w:eastAsia="Arial" w:hAnsi="Arial"/>
                <w:sz w:val="16"/>
                <w:szCs w:val="16"/>
                <w:b w:val="1"/>
                <w:bCs w:val="1"/>
                <w:color w:val="auto"/>
              </w:rPr>
              <w:t>Less than 12 months</w:t>
            </w:r>
          </w:p>
        </w:tc>
        <w:tc>
          <w:tcPr>
            <w:tcW w:w="180" w:type="dxa"/>
            <w:vAlign w:val="bottom"/>
          </w:tcPr>
          <w:p>
            <w:pPr>
              <w:spacing w:after="0"/>
              <w:rPr>
                <w:sz w:val="18"/>
                <w:szCs w:val="18"/>
                <w:color w:val="auto"/>
              </w:rPr>
            </w:pPr>
          </w:p>
        </w:tc>
        <w:tc>
          <w:tcPr>
            <w:tcW w:w="2300" w:type="dxa"/>
            <w:vAlign w:val="bottom"/>
            <w:gridSpan w:val="5"/>
          </w:tcPr>
          <w:p>
            <w:pPr>
              <w:ind w:left="280"/>
              <w:spacing w:after="0"/>
              <w:rPr>
                <w:sz w:val="20"/>
                <w:szCs w:val="20"/>
                <w:color w:val="auto"/>
              </w:rPr>
            </w:pPr>
            <w:r>
              <w:rPr>
                <w:rFonts w:ascii="Arial" w:cs="Arial" w:eastAsia="Arial" w:hAnsi="Arial"/>
                <w:sz w:val="16"/>
                <w:szCs w:val="16"/>
                <w:b w:val="1"/>
                <w:bCs w:val="1"/>
                <w:color w:val="auto"/>
              </w:rPr>
              <w:t>More than 12 months</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gridSpan w:val="3"/>
          </w:tcPr>
          <w:p>
            <w:pPr>
              <w:spacing w:after="0"/>
              <w:rPr>
                <w:sz w:val="20"/>
                <w:szCs w:val="20"/>
                <w:color w:val="auto"/>
              </w:rPr>
            </w:pPr>
            <w:r>
              <w:rPr>
                <w:rFonts w:ascii="Arial" w:cs="Arial" w:eastAsia="Arial" w:hAnsi="Arial"/>
                <w:sz w:val="16"/>
                <w:szCs w:val="16"/>
                <w:b w:val="1"/>
                <w:bCs w:val="1"/>
                <w:color w:val="auto"/>
              </w:rPr>
              <w:t>Total</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03"/>
              <w:spacing w:after="0" w:line="147"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Estimated</w:t>
            </w: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80" w:type="dxa"/>
            <w:vAlign w:val="bottom"/>
          </w:tcPr>
          <w:p>
            <w:pPr>
              <w:spacing w:after="0"/>
              <w:rPr>
                <w:sz w:val="12"/>
                <w:szCs w:val="12"/>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Estimated</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2"/>
                <w:szCs w:val="12"/>
                <w:color w:val="auto"/>
              </w:rPr>
            </w:pPr>
          </w:p>
        </w:tc>
        <w:tc>
          <w:tcPr>
            <w:tcW w:w="84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2"/>
              </w:rPr>
              <w:t>unrealized</w:t>
            </w:r>
          </w:p>
        </w:tc>
        <w:tc>
          <w:tcPr>
            <w:tcW w:w="0" w:type="dxa"/>
            <w:vAlign w:val="bottom"/>
          </w:tcPr>
          <w:p>
            <w:pPr>
              <w:spacing w:after="0"/>
              <w:rPr>
                <w:sz w:val="1"/>
                <w:szCs w:val="1"/>
                <w:color w:val="auto"/>
              </w:rPr>
            </w:pPr>
          </w:p>
        </w:tc>
      </w:tr>
      <w:tr>
        <w:trPr>
          <w:trHeight w:val="149"/>
        </w:trPr>
        <w:tc>
          <w:tcPr>
            <w:tcW w:w="400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holding</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holding</w:t>
            </w: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90"/>
              </w:rPr>
              <w:t>holding</w:t>
            </w:r>
          </w:p>
        </w:tc>
        <w:tc>
          <w:tcPr>
            <w:tcW w:w="0" w:type="dxa"/>
            <w:vAlign w:val="bottom"/>
          </w:tcPr>
          <w:p>
            <w:pPr>
              <w:spacing w:after="0"/>
              <w:rPr>
                <w:sz w:val="1"/>
                <w:szCs w:val="1"/>
                <w:color w:val="auto"/>
              </w:rPr>
            </w:pPr>
          </w:p>
        </w:tc>
      </w:tr>
      <w:tr>
        <w:trPr>
          <w:trHeight w:val="192"/>
        </w:trPr>
        <w:tc>
          <w:tcPr>
            <w:tcW w:w="40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7"/>
              </w:rPr>
              <w:t>losses</w:t>
            </w:r>
          </w:p>
        </w:tc>
        <w:tc>
          <w:tcPr>
            <w:tcW w:w="18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7"/>
              </w:rPr>
              <w:t>losses</w:t>
            </w:r>
          </w:p>
        </w:tc>
        <w:tc>
          <w:tcPr>
            <w:tcW w:w="180" w:type="dxa"/>
            <w:vAlign w:val="bottom"/>
          </w:tcPr>
          <w:p>
            <w:pPr>
              <w:spacing w:after="0"/>
              <w:rPr>
                <w:sz w:val="16"/>
                <w:szCs w:val="16"/>
                <w:color w:val="auto"/>
              </w:rPr>
            </w:pPr>
          </w:p>
        </w:tc>
        <w:tc>
          <w:tcPr>
            <w:tcW w:w="840" w:type="dxa"/>
            <w:vAlign w:val="bottom"/>
          </w:tcPr>
          <w:p>
            <w:pPr>
              <w:jc w:val="right"/>
              <w:ind w:right="81"/>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center"/>
              <w:ind w:right="123"/>
              <w:spacing w:after="0"/>
              <w:rPr>
                <w:sz w:val="20"/>
                <w:szCs w:val="20"/>
                <w:color w:val="auto"/>
              </w:rPr>
            </w:pPr>
            <w:r>
              <w:rPr>
                <w:rFonts w:ascii="Arial" w:cs="Arial" w:eastAsia="Arial" w:hAnsi="Arial"/>
                <w:sz w:val="14"/>
                <w:szCs w:val="14"/>
                <w:b w:val="1"/>
                <w:bCs w:val="1"/>
                <w:color w:val="auto"/>
                <w:w w:val="77"/>
              </w:rPr>
              <w:t>losses</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 of December 31, 2014</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6"/>
                <w:szCs w:val="16"/>
                <w:color w:val="auto"/>
              </w:rPr>
              <w:t>Corporate bonds and notes</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0"/>
              <w:spacing w:after="0"/>
              <w:rPr>
                <w:sz w:val="20"/>
                <w:szCs w:val="20"/>
                <w:color w:val="auto"/>
              </w:rPr>
            </w:pPr>
            <w:r>
              <w:rPr>
                <w:rFonts w:ascii="Arial" w:cs="Arial" w:eastAsia="Arial" w:hAnsi="Arial"/>
                <w:sz w:val="18"/>
                <w:szCs w:val="18"/>
                <w:color w:val="auto"/>
              </w:rPr>
              <w:t>1,601</w:t>
            </w:r>
          </w:p>
        </w:tc>
        <w:tc>
          <w:tcPr>
            <w:tcW w:w="12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40"/>
              <w:spacing w:after="0"/>
              <w:rPr>
                <w:sz w:val="20"/>
                <w:szCs w:val="20"/>
                <w:color w:val="auto"/>
              </w:rPr>
            </w:pPr>
            <w:r>
              <w:rPr>
                <w:rFonts w:ascii="Arial" w:cs="Arial" w:eastAsia="Arial" w:hAnsi="Arial"/>
                <w:sz w:val="18"/>
                <w:szCs w:val="18"/>
                <w:color w:val="auto"/>
              </w:rPr>
              <w:t>6,865</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8,466</w:t>
            </w:r>
          </w:p>
        </w:tc>
        <w:tc>
          <w:tcPr>
            <w:tcW w:w="42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Municipal bonds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6"/>
        </w:trPr>
        <w:tc>
          <w:tcPr>
            <w:tcW w:w="40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1,601</w:t>
            </w:r>
          </w:p>
        </w:tc>
        <w:tc>
          <w:tcPr>
            <w:tcW w:w="12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8,033</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9,634</w:t>
            </w:r>
          </w:p>
        </w:tc>
        <w:tc>
          <w:tcPr>
            <w:tcW w:w="420" w:type="dxa"/>
            <w:vAlign w:val="bottom"/>
            <w:gridSpan w:val="3"/>
          </w:tcPr>
          <w:p>
            <w:pPr>
              <w:ind w:left="2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Combinations, Goodwill and Intangibles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Acquisition of Sabine</w:t>
      </w:r>
    </w:p>
    <w:p>
      <w:pPr>
        <w:spacing w:after="0" w:line="9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On March 7, 2014, the Company completed the acquisition of Sabine, Inc. ("Sabine") through a stock purchase agreement ("SPA"). Sabine manufactures, designs and sells Sacom professional wireless microphone systems for live and installed audio. It also makes FBX Feedback Exterminator for reliable automatic feedback control. With the addition of Sabine, ClearOne will have reliable and exclusive access to the wireless microphones that are a critical component of ClearOne’s complete microphone portfolio.</w:t>
      </w:r>
    </w:p>
    <w:p>
      <w:pPr>
        <w:spacing w:after="0" w:line="187"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Pursuant to the SPA, the Company (i) paid initial consideration of $8,141 in cash, (ii) accrued for possible additional earn-out payments over the next two years, estimated to be $657, and (iii) issued 150,000 shares of restricted common stock of the Company, valued at $1,679 (determined on the basis of the closing market price of the Company's stock on the acquisition date). The purchase price was paid out of cash on hand. The SPA contains representations, warranties and indemnifications customary for a transaction of this type.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consideration paid for the acquisition: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tcPr>
          <w:p>
            <w:pPr>
              <w:jc w:val="right"/>
              <w:ind w:right="390"/>
              <w:spacing w:after="0"/>
              <w:rPr>
                <w:sz w:val="20"/>
                <w:szCs w:val="20"/>
                <w:color w:val="auto"/>
              </w:rPr>
            </w:pPr>
            <w:r>
              <w:rPr>
                <w:rFonts w:ascii="Arial" w:cs="Arial" w:eastAsia="Arial" w:hAnsi="Arial"/>
                <w:sz w:val="18"/>
                <w:szCs w:val="18"/>
                <w:b w:val="1"/>
                <w:bCs w:val="1"/>
                <w:color w:val="auto"/>
              </w:rPr>
              <w:t>Consideration</w:t>
            </w:r>
          </w:p>
        </w:tc>
      </w:tr>
      <w:tr>
        <w:trPr>
          <w:trHeight w:val="27"/>
        </w:trPr>
        <w:tc>
          <w:tcPr>
            <w:tcW w:w="9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Cash</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8,141</w:t>
            </w:r>
          </w:p>
        </w:tc>
      </w:tr>
      <w:tr>
        <w:trPr>
          <w:trHeight w:val="261"/>
        </w:trPr>
        <w:tc>
          <w:tcPr>
            <w:tcW w:w="9360" w:type="dxa"/>
            <w:vAlign w:val="bottom"/>
          </w:tcPr>
          <w:p>
            <w:pPr>
              <w:ind w:left="40"/>
              <w:spacing w:after="0"/>
              <w:rPr>
                <w:sz w:val="20"/>
                <w:szCs w:val="20"/>
                <w:color w:val="auto"/>
              </w:rPr>
            </w:pPr>
            <w:r>
              <w:rPr>
                <w:rFonts w:ascii="Arial" w:cs="Arial" w:eastAsia="Arial" w:hAnsi="Arial"/>
                <w:sz w:val="20"/>
                <w:szCs w:val="20"/>
                <w:color w:val="auto"/>
              </w:rPr>
              <w:t>Common stock</w:t>
            </w:r>
          </w:p>
        </w:tc>
        <w:tc>
          <w:tcPr>
            <w:tcW w:w="300" w:type="dxa"/>
            <w:vAlign w:val="bottom"/>
          </w:tcPr>
          <w:p>
            <w:pPr>
              <w:spacing w:after="0"/>
              <w:rPr>
                <w:sz w:val="22"/>
                <w:szCs w:val="22"/>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1,679</w:t>
            </w:r>
          </w:p>
        </w:tc>
      </w:tr>
      <w:tr>
        <w:trPr>
          <w:trHeight w:val="23"/>
        </w:trPr>
        <w:tc>
          <w:tcPr>
            <w:tcW w:w="9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8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Contingent consideration</w:t>
            </w:r>
          </w:p>
        </w:tc>
        <w:tc>
          <w:tcPr>
            <w:tcW w:w="30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w:t>
            </w:r>
          </w:p>
        </w:tc>
      </w:tr>
      <w:tr>
        <w:trPr>
          <w:trHeight w:val="259"/>
        </w:trPr>
        <w:tc>
          <w:tcPr>
            <w:tcW w:w="9360" w:type="dxa"/>
            <w:vAlign w:val="bottom"/>
          </w:tcPr>
          <w:p>
            <w:pPr>
              <w:ind w:left="40"/>
              <w:spacing w:after="0"/>
              <w:rPr>
                <w:sz w:val="20"/>
                <w:szCs w:val="20"/>
                <w:color w:val="auto"/>
              </w:rPr>
            </w:pPr>
            <w:r>
              <w:rPr>
                <w:rFonts w:ascii="Arial" w:cs="Arial" w:eastAsia="Arial" w:hAnsi="Arial"/>
                <w:sz w:val="20"/>
                <w:szCs w:val="20"/>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10,477</w:t>
            </w:r>
          </w:p>
        </w:tc>
      </w:tr>
      <w:tr>
        <w:trPr>
          <w:trHeight w:val="20"/>
        </w:trPr>
        <w:tc>
          <w:tcPr>
            <w:tcW w:w="9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F- 13 |</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39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fair values of Sabine assets acquired and liabilities assumed are based on the information that was available during the measurement period of twelve months from the date of acquisition. The fair value of identified assets and liabilities acquired and goodwill is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80" w:type="dxa"/>
            <w:vAlign w:val="bottom"/>
          </w:tcPr>
          <w:p>
            <w:pPr>
              <w:jc w:val="right"/>
              <w:ind w:right="55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9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255</w:t>
            </w:r>
          </w:p>
        </w:tc>
      </w:tr>
      <w:tr>
        <w:trPr>
          <w:trHeight w:val="27"/>
        </w:trPr>
        <w:tc>
          <w:tcPr>
            <w:tcW w:w="9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844</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Prepaid and other</w:t>
            </w:r>
          </w:p>
        </w:tc>
        <w:tc>
          <w:tcPr>
            <w:tcW w:w="38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105</w:t>
            </w:r>
          </w:p>
        </w:tc>
      </w:tr>
      <w:tr>
        <w:trPr>
          <w:trHeight w:val="27"/>
        </w:trPr>
        <w:tc>
          <w:tcPr>
            <w:tcW w:w="9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Intangibles</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38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292</w:t>
            </w:r>
          </w:p>
        </w:tc>
      </w:tr>
      <w:tr>
        <w:trPr>
          <w:trHeight w:val="27"/>
        </w:trPr>
        <w:tc>
          <w:tcPr>
            <w:tcW w:w="9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5,510</w:t>
            </w:r>
          </w:p>
        </w:tc>
      </w:tr>
      <w:tr>
        <w:trPr>
          <w:trHeight w:val="27"/>
        </w:trPr>
        <w:tc>
          <w:tcPr>
            <w:tcW w:w="9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Trade accounts payable</w:t>
            </w:r>
          </w:p>
        </w:tc>
        <w:tc>
          <w:tcPr>
            <w:tcW w:w="3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(420)</w:t>
            </w:r>
          </w:p>
        </w:tc>
      </w:tr>
      <w:tr>
        <w:trPr>
          <w:trHeight w:val="27"/>
        </w:trPr>
        <w:tc>
          <w:tcPr>
            <w:tcW w:w="9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Stock registration costs</w:t>
            </w:r>
          </w:p>
        </w:tc>
        <w:tc>
          <w:tcPr>
            <w:tcW w:w="3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9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10,477</w:t>
            </w:r>
          </w:p>
        </w:tc>
      </w:tr>
      <w:tr>
        <w:trPr>
          <w:trHeight w:val="20"/>
        </w:trPr>
        <w:tc>
          <w:tcPr>
            <w:tcW w:w="9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80"/>
        <w:spacing w:after="0" w:line="312" w:lineRule="auto"/>
        <w:rPr>
          <w:sz w:val="20"/>
          <w:szCs w:val="20"/>
          <w:color w:val="auto"/>
        </w:rPr>
      </w:pPr>
      <w:r>
        <w:rPr>
          <w:rFonts w:ascii="Arial" w:cs="Arial" w:eastAsia="Arial" w:hAnsi="Arial"/>
          <w:sz w:val="16"/>
          <w:szCs w:val="16"/>
          <w:color w:val="auto"/>
        </w:rPr>
        <w:t>The goodwill of $5,510 related to the acquisition of of Sabine is composed of expected synergies in utilizing Sabine technology in ClearOne product offerings, reduction in future combined research and development expenses, and intangible assets including acquired workforce that do not qualify for separate recognition. The goodwill balance of $5,510 related to the acquisition of Sabine is expected to be deductible for tax purposes.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Pro Forma Information:</w:t>
      </w:r>
    </w:p>
    <w:p>
      <w:pPr>
        <w:spacing w:after="0" w:line="225" w:lineRule="exact"/>
        <w:rPr>
          <w:sz w:val="20"/>
          <w:szCs w:val="20"/>
          <w:color w:val="auto"/>
        </w:rPr>
      </w:pPr>
    </w:p>
    <w:p>
      <w:pPr>
        <w:ind w:left="200" w:hanging="192"/>
        <w:spacing w:after="0"/>
        <w:tabs>
          <w:tab w:leader="none" w:pos="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Revenue and net income from the Sabine business from March 8, 2014 to December 31, 2014 was $3,841 and $619 respectively.</w:t>
      </w:r>
    </w:p>
    <w:p>
      <w:pPr>
        <w:spacing w:after="0" w:line="23" w:lineRule="exact"/>
        <w:rPr>
          <w:rFonts w:ascii="Arial" w:cs="Arial" w:eastAsia="Arial" w:hAnsi="Arial"/>
          <w:sz w:val="18"/>
          <w:szCs w:val="18"/>
          <w:color w:val="auto"/>
        </w:rPr>
      </w:pPr>
    </w:p>
    <w:p>
      <w:pPr>
        <w:ind w:left="200" w:hanging="192"/>
        <w:spacing w:after="0"/>
        <w:tabs>
          <w:tab w:leader="none" w:pos="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Revenue and earnings of the combined entity as though the business combination occurred as of January 1, 2013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91440</wp:posOffset>
            </wp:positionV>
            <wp:extent cx="26416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151"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6520" w:type="dxa"/>
            <w:vAlign w:val="bottom"/>
          </w:tcPr>
          <w:p>
            <w:pPr>
              <w:spacing w:after="0"/>
              <w:rPr>
                <w:sz w:val="18"/>
                <w:szCs w:val="18"/>
                <w:color w:val="auto"/>
              </w:rPr>
            </w:pPr>
          </w:p>
        </w:tc>
        <w:tc>
          <w:tcPr>
            <w:tcW w:w="1300" w:type="dxa"/>
            <w:vAlign w:val="bottom"/>
          </w:tcPr>
          <w:p>
            <w:pPr>
              <w:jc w:val="right"/>
              <w:ind w:right="32"/>
              <w:spacing w:after="0"/>
              <w:rPr>
                <w:sz w:val="20"/>
                <w:szCs w:val="20"/>
                <w:color w:val="auto"/>
              </w:rPr>
            </w:pPr>
            <w:r>
              <w:rPr>
                <w:rFonts w:ascii="Arial" w:cs="Arial" w:eastAsia="Arial" w:hAnsi="Arial"/>
                <w:sz w:val="16"/>
                <w:szCs w:val="16"/>
                <w:b w:val="1"/>
                <w:bCs w:val="1"/>
                <w:color w:val="auto"/>
              </w:rPr>
              <w:t>2014</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tcPr>
          <w:p>
            <w:pPr>
              <w:jc w:val="right"/>
              <w:ind w:right="772"/>
              <w:spacing w:after="0"/>
              <w:rPr>
                <w:sz w:val="20"/>
                <w:szCs w:val="20"/>
                <w:color w:val="auto"/>
              </w:rPr>
            </w:pPr>
            <w:r>
              <w:rPr>
                <w:rFonts w:ascii="Arial" w:cs="Arial" w:eastAsia="Arial" w:hAnsi="Arial"/>
                <w:sz w:val="16"/>
                <w:szCs w:val="16"/>
                <w:b w:val="1"/>
                <w:bCs w:val="1"/>
                <w:color w:val="auto"/>
              </w:rPr>
              <w:t>2013</w:t>
            </w:r>
          </w:p>
        </w:tc>
      </w:tr>
      <w:tr>
        <w:trPr>
          <w:trHeight w:val="33"/>
        </w:trPr>
        <w:tc>
          <w:tcPr>
            <w:tcW w:w="65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ind w:left="20"/>
              <w:spacing w:after="0"/>
              <w:rPr>
                <w:sz w:val="20"/>
                <w:szCs w:val="20"/>
                <w:color w:val="auto"/>
              </w:rPr>
            </w:pPr>
            <w:r>
              <w:rPr>
                <w:rFonts w:ascii="Arial" w:cs="Arial" w:eastAsia="Arial" w:hAnsi="Arial"/>
                <w:sz w:val="18"/>
                <w:szCs w:val="18"/>
                <w:color w:val="auto"/>
              </w:rPr>
              <w:t>Revenue</w:t>
            </w:r>
          </w:p>
        </w:tc>
        <w:tc>
          <w:tcPr>
            <w:tcW w:w="1300" w:type="dxa"/>
            <w:vAlign w:val="bottom"/>
          </w:tcPr>
          <w:p>
            <w:pPr>
              <w:jc w:val="right"/>
              <w:ind w:right="1092"/>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58,178</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53,003</w:t>
            </w:r>
          </w:p>
        </w:tc>
      </w:tr>
      <w:tr>
        <w:trPr>
          <w:trHeight w:val="27"/>
        </w:trPr>
        <w:tc>
          <w:tcPr>
            <w:tcW w:w="65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w:t>
            </w:r>
          </w:p>
        </w:tc>
        <w:tc>
          <w:tcPr>
            <w:tcW w:w="1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5,020</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Basic earnings per common share</w:t>
            </w:r>
          </w:p>
        </w:tc>
        <w:tc>
          <w:tcPr>
            <w:tcW w:w="1300" w:type="dxa"/>
            <w:vAlign w:val="bottom"/>
          </w:tcPr>
          <w:p>
            <w:pPr>
              <w:jc w:val="right"/>
              <w:ind w:right="1092"/>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0.55</w:t>
            </w:r>
          </w:p>
        </w:tc>
      </w:tr>
      <w:tr>
        <w:trPr>
          <w:trHeight w:val="27"/>
        </w:trPr>
        <w:tc>
          <w:tcPr>
            <w:tcW w:w="65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1300" w:type="dxa"/>
            <w:vAlign w:val="bottom"/>
            <w:shd w:val="clear" w:color="auto" w:fill="CCEEFF"/>
          </w:tcPr>
          <w:p>
            <w:pPr>
              <w:jc w:val="right"/>
              <w:ind w:right="1092"/>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0.56</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0.53</w:t>
            </w:r>
          </w:p>
        </w:tc>
      </w:tr>
      <w:tr>
        <w:trPr>
          <w:trHeight w:val="27"/>
        </w:trPr>
        <w:tc>
          <w:tcPr>
            <w:tcW w:w="65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3) There were no material, nonrecurring pro forma adjustments directly attributable to the acquisition included in this Supplemental Pro Forma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Spontania business of Spain-based Dialcom Networks, S.L.</w:t>
      </w:r>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On April 1, 2014 ClearOne, Inc. closed on the acquisition of the Spontania business of Spain-based Dialcom Networks, S.L. The Spontania cloud-based service empowers customers to deploy HD video conferencing, web collaboration, and more with equipment most businesses have and use every day - video-conferencing endpoints, desktops, laptops, web browsers, tablets, and smartphones. With Spontania there is no hardware investment and the service operates off of a reservation-less model, enabling on-demand video communications from virtually anywhere, anytime, with anyone on any device.</w:t>
      </w:r>
    </w:p>
    <w:p>
      <w:pPr>
        <w:spacing w:after="0" w:line="15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aggregate purchase price under the terms of the transaction was approximately €3.66 million in cash (approximately US$5.1 million), after certain closing adjustments. ClearOne did not assume any debt or cash. The cash purchase price was paid out of cash on hand. The addition of this technology was an integral part of the company’s strategy to build an all-inclusive video collaboration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F- 14 |</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bl>
      <w:tblPr>
        <w:tblLayout w:type="fixed"/>
        <w:tblInd w:w="0" w:type="dxa"/>
        <w:tblCellMar>
          <w:top w:w="0" w:type="dxa"/>
          <w:left w:w="0" w:type="dxa"/>
          <w:bottom w:w="0" w:type="dxa"/>
          <w:right w:w="0" w:type="dxa"/>
        </w:tblCellMar>
      </w:tblPr>
      <w:tr>
        <w:trPr>
          <w:trHeight w:val="200"/>
        </w:trPr>
        <w:tc>
          <w:tcPr>
            <w:tcW w:w="1020" w:type="dxa"/>
            <w:vAlign w:val="bottom"/>
            <w:tcBorders>
              <w:top w:val="single" w:sz="8" w:color="0000EE"/>
            </w:tcBorders>
          </w:tcPr>
          <w:p>
            <w:pPr>
              <w:spacing w:after="0"/>
              <w:rPr>
                <w:sz w:val="17"/>
                <w:szCs w:val="17"/>
                <w:color w:val="auto"/>
              </w:rPr>
            </w:pPr>
          </w:p>
        </w:tc>
        <w:tc>
          <w:tcPr>
            <w:tcW w:w="8340" w:type="dxa"/>
            <w:vAlign w:val="bottom"/>
          </w:tcPr>
          <w:p>
            <w:pPr>
              <w:jc w:val="center"/>
              <w:ind w:left="979"/>
              <w:spacing w:after="0" w:line="201" w:lineRule="exact"/>
              <w:rPr>
                <w:sz w:val="20"/>
                <w:szCs w:val="20"/>
                <w:color w:val="auto"/>
              </w:rPr>
            </w:pPr>
            <w:r>
              <w:rPr>
                <w:rFonts w:ascii="Arial" w:cs="Arial" w:eastAsia="Arial" w:hAnsi="Arial"/>
                <w:sz w:val="18"/>
                <w:szCs w:val="18"/>
                <w:b w:val="1"/>
                <w:bCs w:val="1"/>
                <w:color w:val="auto"/>
              </w:rPr>
              <w:t>NOTES TO CONSOLIDATED FINANCIAL STATEMENTS</w:t>
            </w:r>
          </w:p>
        </w:tc>
        <w:tc>
          <w:tcPr>
            <w:tcW w:w="3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86"/>
        </w:trPr>
        <w:tc>
          <w:tcPr>
            <w:tcW w:w="1020" w:type="dxa"/>
            <w:vAlign w:val="bottom"/>
          </w:tcPr>
          <w:p>
            <w:pPr>
              <w:spacing w:after="0"/>
              <w:rPr>
                <w:sz w:val="16"/>
                <w:szCs w:val="16"/>
                <w:color w:val="auto"/>
              </w:rPr>
            </w:pPr>
          </w:p>
        </w:tc>
        <w:tc>
          <w:tcPr>
            <w:tcW w:w="8340" w:type="dxa"/>
            <w:vAlign w:val="bottom"/>
          </w:tcPr>
          <w:p>
            <w:pPr>
              <w:jc w:val="center"/>
              <w:ind w:left="979"/>
              <w:spacing w:after="0"/>
              <w:rPr>
                <w:sz w:val="20"/>
                <w:szCs w:val="20"/>
                <w:color w:val="auto"/>
              </w:rPr>
            </w:pPr>
            <w:r>
              <w:rPr>
                <w:rFonts w:ascii="Arial" w:cs="Arial" w:eastAsia="Arial" w:hAnsi="Arial"/>
                <w:sz w:val="14"/>
                <w:szCs w:val="14"/>
                <w:b w:val="1"/>
                <w:bCs w:val="1"/>
                <w:color w:val="auto"/>
                <w:w w:val="91"/>
              </w:rPr>
              <w:t>(Dollars in thousands, except share and per share amounts)</w:t>
            </w:r>
          </w:p>
        </w:tc>
        <w:tc>
          <w:tcPr>
            <w:tcW w:w="3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620"/>
        </w:trPr>
        <w:tc>
          <w:tcPr>
            <w:tcW w:w="9360" w:type="dxa"/>
            <w:vAlign w:val="bottom"/>
            <w:gridSpan w:val="2"/>
          </w:tcPr>
          <w:p>
            <w:pPr>
              <w:spacing w:after="0"/>
              <w:rPr>
                <w:sz w:val="20"/>
                <w:szCs w:val="20"/>
                <w:color w:val="auto"/>
              </w:rPr>
            </w:pPr>
            <w:r>
              <w:rPr>
                <w:rFonts w:ascii="Arial" w:cs="Arial" w:eastAsia="Arial" w:hAnsi="Arial"/>
                <w:sz w:val="18"/>
                <w:szCs w:val="18"/>
                <w:color w:val="auto"/>
              </w:rPr>
              <w:t>The fair value of identified assets and liabilities acquired from the Spontania acquisition was as follows:</w:t>
            </w:r>
          </w:p>
        </w:tc>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78"/>
        </w:trPr>
        <w:tc>
          <w:tcPr>
            <w:tcW w:w="10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tcPr>
          <w:p>
            <w:pPr>
              <w:jc w:val="right"/>
              <w:ind w:right="55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1020" w:type="dxa"/>
            <w:vAlign w:val="bottom"/>
          </w:tcPr>
          <w:p>
            <w:pPr>
              <w:spacing w:after="0"/>
              <w:rPr>
                <w:sz w:val="2"/>
                <w:szCs w:val="2"/>
                <w:color w:val="auto"/>
              </w:rPr>
            </w:pPr>
          </w:p>
        </w:tc>
        <w:tc>
          <w:tcPr>
            <w:tcW w:w="8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1,335</w:t>
            </w: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Property and equipment</w:t>
            </w:r>
          </w:p>
        </w:tc>
        <w:tc>
          <w:tcPr>
            <w:tcW w:w="38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7"/>
        </w:trPr>
        <w:tc>
          <w:tcPr>
            <w:tcW w:w="1020" w:type="dxa"/>
            <w:vAlign w:val="bottom"/>
          </w:tcPr>
          <w:p>
            <w:pPr>
              <w:spacing w:after="0"/>
              <w:rPr>
                <w:sz w:val="2"/>
                <w:szCs w:val="2"/>
                <w:color w:val="auto"/>
              </w:rPr>
            </w:pPr>
          </w:p>
        </w:tc>
        <w:tc>
          <w:tcPr>
            <w:tcW w:w="8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3,741</w:t>
            </w: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Accrued liabilities</w:t>
            </w:r>
          </w:p>
        </w:tc>
        <w:tc>
          <w:tcPr>
            <w:tcW w:w="3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
        </w:trPr>
        <w:tc>
          <w:tcPr>
            <w:tcW w:w="1020" w:type="dxa"/>
            <w:vAlign w:val="bottom"/>
            <w:tcBorders>
              <w:bottom w:val="single" w:sz="8" w:color="CCEEFF"/>
            </w:tcBorders>
          </w:tcPr>
          <w:p>
            <w:pPr>
              <w:spacing w:after="0"/>
              <w:rPr>
                <w:sz w:val="2"/>
                <w:szCs w:val="2"/>
                <w:color w:val="auto"/>
              </w:rPr>
            </w:pPr>
          </w:p>
        </w:tc>
        <w:tc>
          <w:tcPr>
            <w:tcW w:w="83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5,052</w:t>
            </w:r>
          </w:p>
        </w:tc>
      </w:tr>
      <w:tr>
        <w:trPr>
          <w:trHeight w:val="20"/>
        </w:trPr>
        <w:tc>
          <w:tcPr>
            <w:tcW w:w="10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The goodwill of $3,741 relates to the acquisition of Spontania cloud-based technology and intangible assets including acquired workforce that does not qualify for separate recognition. The goodwill of $3,741 from the Spontania acquisition is expected to be deductible for tax purposes.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Pro Forma Information:</w:t>
      </w:r>
    </w:p>
    <w:p>
      <w:pPr>
        <w:spacing w:after="0" w:line="225" w:lineRule="exact"/>
        <w:rPr>
          <w:sz w:val="20"/>
          <w:szCs w:val="20"/>
          <w:color w:val="auto"/>
        </w:rPr>
      </w:pPr>
    </w:p>
    <w:p>
      <w:pPr>
        <w:ind w:left="860" w:hanging="204"/>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Revenue and net loss from the Spontania business from April 1, 2014 to December 31, 2014 was $753 and $1,629 respectively.</w:t>
      </w:r>
    </w:p>
    <w:p>
      <w:pPr>
        <w:spacing w:after="0" w:line="23" w:lineRule="exact"/>
        <w:rPr>
          <w:rFonts w:ascii="Arial" w:cs="Arial" w:eastAsia="Arial" w:hAnsi="Arial"/>
          <w:sz w:val="18"/>
          <w:szCs w:val="18"/>
          <w:color w:val="auto"/>
        </w:rPr>
      </w:pPr>
    </w:p>
    <w:p>
      <w:pPr>
        <w:ind w:right="180" w:firstLine="656"/>
        <w:spacing w:after="0" w:line="323" w:lineRule="auto"/>
        <w:tabs>
          <w:tab w:leader="none" w:pos="843"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Revenue and earnings of the combined entity as though the business combination occurred as of January 1, 2013 is not available. The Spontania business was part of a business unit of Dialcom Networks, S.L., and thus separate stand-alone financial information for Spontania is not available.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Expenses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incurred $588 in total acquisition related expenses for the Sabine and Spontania acquisitions, all of which are categorized under General and administrative expenses in the Consolidated Statement of Operations for the year ended December 31,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Goodwill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the company's goodwill for the years ended December 31, 2014 and 2013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b w:val="1"/>
                <w:bCs w:val="1"/>
                <w:color w:val="auto"/>
              </w:rPr>
              <w:t>2013</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Balance as of January 1,</w:t>
            </w:r>
          </w:p>
        </w:tc>
        <w:tc>
          <w:tcPr>
            <w:tcW w:w="5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3,472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3,472</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Accumulated impairment losses</w:t>
            </w:r>
          </w:p>
        </w:tc>
        <w:tc>
          <w:tcPr>
            <w:tcW w:w="500" w:type="dxa"/>
            <w:vAlign w:val="bottom"/>
          </w:tcPr>
          <w:p>
            <w:pPr>
              <w:spacing w:after="0"/>
              <w:rPr>
                <w:sz w:val="21"/>
                <w:szCs w:val="21"/>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3,472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3,472</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Goodwill acquired during the year</w:t>
            </w:r>
          </w:p>
        </w:tc>
        <w:tc>
          <w:tcPr>
            <w:tcW w:w="5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9,252</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Goodwill</w:t>
            </w:r>
          </w:p>
        </w:tc>
        <w:tc>
          <w:tcPr>
            <w:tcW w:w="50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12,724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3,472</w:t>
            </w:r>
          </w:p>
        </w:tc>
      </w:tr>
      <w:tr>
        <w:trPr>
          <w:trHeight w:val="27"/>
        </w:trPr>
        <w:tc>
          <w:tcPr>
            <w:tcW w:w="7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impairment losses</w:t>
            </w:r>
          </w:p>
        </w:tc>
        <w:tc>
          <w:tcPr>
            <w:tcW w:w="5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72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12,724</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3,472</w:t>
            </w:r>
          </w:p>
        </w:tc>
      </w:tr>
      <w:tr>
        <w:trPr>
          <w:trHeight w:val="27"/>
        </w:trPr>
        <w:tc>
          <w:tcPr>
            <w:tcW w:w="72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7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F- 15 |</w:t>
      </w:r>
    </w:p>
    <w:p>
      <w:pPr>
        <w:sectPr>
          <w:pgSz w:w="11900" w:h="16838" w:orient="portrait"/>
          <w:cols w:equalWidth="0" w:num="1">
            <w:col w:w="11420"/>
          </w:cols>
          <w:pgMar w:left="240" w:top="114"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December 31, 2014 and 2013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40" w:type="dxa"/>
            <w:vAlign w:val="bottom"/>
          </w:tcPr>
          <w:p>
            <w:pPr>
              <w:spacing w:after="0"/>
              <w:rPr>
                <w:sz w:val="16"/>
                <w:szCs w:val="16"/>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Estimated</w:t>
            </w:r>
          </w:p>
        </w:tc>
        <w:tc>
          <w:tcPr>
            <w:tcW w:w="1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80" w:type="dxa"/>
            <w:vAlign w:val="bottom"/>
            <w:tcBorders>
              <w:bottom w:val="single" w:sz="8" w:color="auto"/>
            </w:tcBorders>
          </w:tcPr>
          <w:p>
            <w:pPr>
              <w:spacing w:after="0"/>
              <w:rPr>
                <w:sz w:val="16"/>
                <w:szCs w:val="16"/>
                <w:color w:val="auto"/>
              </w:rPr>
            </w:pPr>
          </w:p>
        </w:tc>
      </w:tr>
      <w:tr>
        <w:trPr>
          <w:trHeight w:val="264"/>
        </w:trPr>
        <w:tc>
          <w:tcPr>
            <w:tcW w:w="624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useful lives</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2013</w:t>
            </w: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Tradename</w:t>
            </w:r>
          </w:p>
        </w:tc>
        <w:tc>
          <w:tcPr>
            <w:tcW w:w="16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5 to 7 years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435</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Patents and technological know-how</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10 years</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5,850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2,070</w:t>
            </w:r>
          </w:p>
        </w:tc>
      </w:tr>
      <w:tr>
        <w:trPr>
          <w:trHeight w:val="27"/>
        </w:trPr>
        <w:tc>
          <w:tcPr>
            <w:tcW w:w="6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Proprietary software</w:t>
            </w:r>
          </w:p>
        </w:tc>
        <w:tc>
          <w:tcPr>
            <w:tcW w:w="16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3 to 15 years</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4,341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2,961</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Other</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3 to 5 years</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208</w:t>
            </w:r>
          </w:p>
        </w:tc>
      </w:tr>
      <w:tr>
        <w:trPr>
          <w:trHeight w:val="27"/>
        </w:trPr>
        <w:tc>
          <w:tcPr>
            <w:tcW w:w="62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11,070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5,674</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(3,174)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(1,964)</w:t>
            </w:r>
          </w:p>
        </w:tc>
      </w:tr>
      <w:tr>
        <w:trPr>
          <w:trHeight w:val="27"/>
        </w:trPr>
        <w:tc>
          <w:tcPr>
            <w:tcW w:w="62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6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intangible assets, net</w:t>
            </w:r>
          </w:p>
        </w:tc>
        <w:tc>
          <w:tcPr>
            <w:tcW w:w="1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7,896</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3,710</w:t>
            </w:r>
          </w:p>
        </w:tc>
      </w:tr>
      <w:tr>
        <w:trPr>
          <w:trHeight w:val="20"/>
        </w:trPr>
        <w:tc>
          <w:tcPr>
            <w:tcW w:w="6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years ended December 31, 2014 and 2013, amortization of these intangible assets were $1,210 and $548,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future amortization expense of intangible assets is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88"/>
              </w:rPr>
              <w:t>Years ending December 31,</w:t>
            </w:r>
          </w:p>
        </w:tc>
        <w:tc>
          <w:tcPr>
            <w:tcW w:w="5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1920" w:type="dxa"/>
            <w:vAlign w:val="bottom"/>
            <w:gridSpan w:val="2"/>
          </w:tcPr>
          <w:p>
            <w:pPr>
              <w:ind w:left="40"/>
              <w:spacing w:after="0"/>
              <w:rPr>
                <w:sz w:val="20"/>
                <w:szCs w:val="20"/>
                <w:color w:val="auto"/>
              </w:rPr>
            </w:pPr>
            <w:r>
              <w:rPr>
                <w:rFonts w:ascii="Arial" w:cs="Arial" w:eastAsia="Arial" w:hAnsi="Arial"/>
                <w:sz w:val="18"/>
                <w:szCs w:val="18"/>
                <w:color w:val="auto"/>
              </w:rPr>
              <w:t>2015</w:t>
            </w:r>
          </w:p>
        </w:tc>
        <w:tc>
          <w:tcPr>
            <w:tcW w:w="5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57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43"/>
        </w:trPr>
        <w:tc>
          <w:tcPr>
            <w:tcW w:w="1920" w:type="dxa"/>
            <w:vAlign w:val="bottom"/>
            <w:gridSpan w:val="2"/>
          </w:tcPr>
          <w:p>
            <w:pPr>
              <w:ind w:left="40"/>
              <w:spacing w:after="0"/>
              <w:rPr>
                <w:sz w:val="20"/>
                <w:szCs w:val="20"/>
                <w:color w:val="auto"/>
              </w:rPr>
            </w:pPr>
            <w:r>
              <w:rPr>
                <w:rFonts w:ascii="Arial" w:cs="Arial" w:eastAsia="Arial" w:hAnsi="Arial"/>
                <w:sz w:val="18"/>
                <w:szCs w:val="18"/>
                <w:color w:val="auto"/>
              </w:rPr>
              <w:t>2017</w:t>
            </w:r>
          </w:p>
        </w:tc>
        <w:tc>
          <w:tcPr>
            <w:tcW w:w="5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57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43"/>
        </w:trPr>
        <w:tc>
          <w:tcPr>
            <w:tcW w:w="1920" w:type="dxa"/>
            <w:vAlign w:val="bottom"/>
            <w:gridSpan w:val="2"/>
          </w:tcPr>
          <w:p>
            <w:pPr>
              <w:ind w:left="40"/>
              <w:spacing w:after="0"/>
              <w:rPr>
                <w:sz w:val="20"/>
                <w:szCs w:val="20"/>
                <w:color w:val="auto"/>
              </w:rPr>
            </w:pPr>
            <w:r>
              <w:rPr>
                <w:rFonts w:ascii="Arial" w:cs="Arial" w:eastAsia="Arial" w:hAnsi="Arial"/>
                <w:sz w:val="18"/>
                <w:szCs w:val="18"/>
                <w:color w:val="auto"/>
              </w:rPr>
              <w:t>2019</w:t>
            </w:r>
          </w:p>
        </w:tc>
        <w:tc>
          <w:tcPr>
            <w:tcW w:w="5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7,896</w:t>
            </w:r>
          </w:p>
        </w:tc>
        <w:tc>
          <w:tcPr>
            <w:tcW w:w="0" w:type="dxa"/>
            <w:vAlign w:val="bottom"/>
          </w:tcPr>
          <w:p>
            <w:pPr>
              <w:spacing w:after="0"/>
              <w:rPr>
                <w:sz w:val="1"/>
                <w:szCs w:val="1"/>
                <w:color w:val="auto"/>
              </w:rPr>
            </w:pPr>
          </w:p>
        </w:tc>
      </w:tr>
      <w:tr>
        <w:trPr>
          <w:trHeight w:val="27"/>
        </w:trPr>
        <w:tc>
          <w:tcPr>
            <w:tcW w:w="76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4. Inventories</w:t>
            </w: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60" w:type="dxa"/>
            <w:vAlign w:val="bottom"/>
            <w:gridSpan w:val="3"/>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60" w:type="dxa"/>
            <w:vAlign w:val="bottom"/>
            <w:gridSpan w:val="3"/>
            <w:vMerge w:val="continue"/>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60" w:type="dxa"/>
            <w:vAlign w:val="bottom"/>
            <w:gridSpan w:val="3"/>
          </w:tcPr>
          <w:p>
            <w:pPr>
              <w:spacing w:after="0"/>
              <w:rPr>
                <w:sz w:val="20"/>
                <w:szCs w:val="20"/>
                <w:color w:val="auto"/>
              </w:rPr>
            </w:pPr>
            <w:r>
              <w:rPr>
                <w:rFonts w:ascii="Arial" w:cs="Arial" w:eastAsia="Arial" w:hAnsi="Arial"/>
                <w:sz w:val="18"/>
                <w:szCs w:val="18"/>
                <w:color w:val="auto"/>
              </w:rPr>
              <w:t>Inventories, net of reserves, consisted of the following:</w:t>
            </w: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1880" w:type="dxa"/>
            <w:vAlign w:val="bottom"/>
            <w:tcBorders>
              <w:bottom w:val="single" w:sz="8" w:color="CCEEFF"/>
            </w:tcBorders>
          </w:tcPr>
          <w:p>
            <w:pPr>
              <w:spacing w:after="0"/>
              <w:rPr>
                <w:sz w:val="22"/>
                <w:szCs w:val="22"/>
                <w:color w:val="auto"/>
              </w:rPr>
            </w:pPr>
          </w:p>
        </w:tc>
        <w:tc>
          <w:tcPr>
            <w:tcW w:w="574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Arial" w:cs="Arial" w:eastAsia="Arial" w:hAnsi="Arial"/>
                <w:sz w:val="18"/>
                <w:szCs w:val="18"/>
                <w:color w:val="auto"/>
              </w:rPr>
              <w:t>Raw materials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3,056</w:t>
            </w:r>
          </w:p>
        </w:tc>
        <w:tc>
          <w:tcPr>
            <w:tcW w:w="880" w:type="dxa"/>
            <w:vAlign w:val="bottom"/>
            <w:gridSpan w:val="3"/>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Finished goods (including distributor channel inventories)</w:t>
            </w:r>
          </w:p>
        </w:tc>
        <w:tc>
          <w:tcPr>
            <w:tcW w:w="4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11,408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10,916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14,464</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12,278</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880" w:type="dxa"/>
            <w:vAlign w:val="bottom"/>
            <w:tcBorders>
              <w:bottom w:val="single" w:sz="8" w:color="CCEEFF"/>
            </w:tcBorders>
          </w:tcPr>
          <w:p>
            <w:pPr>
              <w:spacing w:after="0"/>
              <w:rPr>
                <w:sz w:val="5"/>
                <w:szCs w:val="5"/>
                <w:color w:val="auto"/>
              </w:rPr>
            </w:pPr>
          </w:p>
        </w:tc>
        <w:tc>
          <w:tcPr>
            <w:tcW w:w="574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0" w:type="dxa"/>
            <w:vAlign w:val="bottom"/>
            <w:tcBorders>
              <w:bottom w:val="single" w:sz="8" w:color="CCEEFF"/>
            </w:tcBorders>
            <w:shd w:val="clear" w:color="auto" w:fill="CCEEFF"/>
          </w:tcPr>
          <w:p>
            <w:pPr>
              <w:spacing w:after="0"/>
              <w:rPr>
                <w:sz w:val="20"/>
                <w:szCs w:val="20"/>
                <w:color w:val="auto"/>
              </w:rPr>
            </w:pPr>
          </w:p>
        </w:tc>
        <w:tc>
          <w:tcPr>
            <w:tcW w:w="7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w:t>
            </w:r>
          </w:p>
        </w:tc>
        <w:tc>
          <w:tcPr>
            <w:tcW w:w="4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Arial" w:cs="Arial" w:eastAsia="Arial" w:hAnsi="Arial"/>
                <w:sz w:val="18"/>
                <w:szCs w:val="18"/>
                <w:color w:val="auto"/>
              </w:rPr>
              <w:t>Raw materials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880" w:type="dxa"/>
            <w:vAlign w:val="bottom"/>
            <w:gridSpan w:val="3"/>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Finished goods</w:t>
            </w:r>
          </w:p>
        </w:tc>
        <w:tc>
          <w:tcPr>
            <w:tcW w:w="4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876</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7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Long-term inventory represents inventory held in excess of our current (next 12 months) requirements based on our recent sales and forecasted level of sales. We have developed programs to reduce the inventory to normal operating levels in the near future. We expect to sell the above inventory, net of reserves, at or above the stated cost and believe that no loss will be incurred on its sale.</w:t>
      </w:r>
    </w:p>
    <w:p>
      <w:pPr>
        <w:spacing w:after="0" w:line="181"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Current finished goods include distributor channel inventories in the amounts of approximately $1,698 and $1,520 as of December 31, 2014 and 2013, respectively. Distributor channel inventories represent inventory at distributors and other customers where revenue recognition criteria have not been achieved.</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F- 16 |</w:t>
      </w:r>
    </w:p>
    <w:p>
      <w:pPr>
        <w:sectPr>
          <w:pgSz w:w="11900" w:h="16838" w:orient="portrait"/>
          <w:cols w:equalWidth="0" w:num="1">
            <w:col w:w="11420"/>
          </w:cols>
          <w:pgMar w:left="240" w:top="122" w:right="239" w:bottom="1440" w:gutter="0" w:footer="0" w:header="0"/>
          <w:type w:val="continuous"/>
        </w:sectPr>
      </w:pPr>
    </w:p>
    <w:bookmarkStart w:id="50" w:name="page51"/>
    <w:bookmarkEnd w:id="5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39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losses incurred on valuation of inventory at the lower of cost or market value and write-off of obsolete inventory amounted to $946 and $996 during the years ended December 31, 2014 and 2013,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Major classifications of property and equipment and estimated useful lives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Estimated</w:t>
            </w:r>
          </w:p>
        </w:tc>
        <w:tc>
          <w:tcPr>
            <w:tcW w:w="4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16"/>
                <w:szCs w:val="16"/>
                <w:color w:val="auto"/>
              </w:rPr>
            </w:pPr>
          </w:p>
        </w:tc>
      </w:tr>
      <w:tr>
        <w:trPr>
          <w:trHeight w:val="264"/>
        </w:trPr>
        <w:tc>
          <w:tcPr>
            <w:tcW w:w="5720" w:type="dxa"/>
            <w:vAlign w:val="bottom"/>
            <w:tcBorders>
              <w:bottom w:val="single" w:sz="8" w:color="CCEEFF"/>
            </w:tcBorders>
          </w:tcPr>
          <w:p>
            <w:pPr>
              <w:spacing w:after="0"/>
              <w:rPr>
                <w:sz w:val="22"/>
                <w:szCs w:val="22"/>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useful lives</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2013</w:t>
            </w: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 furniture and equipment</w:t>
            </w:r>
          </w:p>
        </w:tc>
        <w:tc>
          <w:tcPr>
            <w:tcW w:w="1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3 to 10 years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7,234</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6,676</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 to 6 years</w:t>
            </w: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1,474</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1,429</w:t>
            </w:r>
          </w:p>
        </w:tc>
      </w:tr>
      <w:tr>
        <w:trPr>
          <w:trHeight w:val="27"/>
        </w:trPr>
        <w:tc>
          <w:tcPr>
            <w:tcW w:w="57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 and test equipment</w:t>
            </w:r>
          </w:p>
        </w:tc>
        <w:tc>
          <w:tcPr>
            <w:tcW w:w="1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2 to 10 years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3,023</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2,681</w:t>
            </w:r>
          </w:p>
        </w:tc>
      </w:tr>
      <w:tr>
        <w:trPr>
          <w:trHeight w:val="237"/>
        </w:trPr>
        <w:tc>
          <w:tcPr>
            <w:tcW w:w="57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11,731</w:t>
            </w:r>
          </w:p>
        </w:tc>
        <w:tc>
          <w:tcPr>
            <w:tcW w:w="12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10,786</w:t>
            </w:r>
          </w:p>
        </w:tc>
      </w:tr>
      <w:tr>
        <w:trPr>
          <w:trHeight w:val="27"/>
        </w:trPr>
        <w:tc>
          <w:tcPr>
            <w:tcW w:w="57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1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(9,692)</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(8,961)</w:t>
            </w:r>
          </w:p>
        </w:tc>
      </w:tr>
      <w:tr>
        <w:trPr>
          <w:trHeight w:val="257"/>
        </w:trPr>
        <w:tc>
          <w:tcPr>
            <w:tcW w:w="572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1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2,039</w:t>
            </w:r>
          </w:p>
        </w:tc>
        <w:tc>
          <w:tcPr>
            <w:tcW w:w="12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1,825</w:t>
            </w:r>
          </w:p>
        </w:tc>
      </w:tr>
      <w:tr>
        <w:trPr>
          <w:trHeight w:val="20"/>
        </w:trPr>
        <w:tc>
          <w:tcPr>
            <w:tcW w:w="5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on property and equipment for the years ended December 31, 2014 and 2013 was $761 and $780,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 and Deferred Rent</w:t>
      </w:r>
    </w:p>
    <w:p>
      <w:pPr>
        <w:spacing w:after="0" w:line="229"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Rent expense is recognized on a straight-line basis over the period of the lease taking into account future rent escalation and holiday periods. Rent expense was $1,236 and $909, including amortization of deferred rent of $79 and $110, for the years ended December 31, 2014 and 2013, respectively.</w:t>
      </w:r>
    </w:p>
    <w:p>
      <w:pPr>
        <w:spacing w:after="0" w:line="12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occupy a 31,000 square-foot facility in Salt Lake City, Utah under the terms of an operating lease expiring in May 2016 which supports our principal administrative, sales, marketing, customer support, and research and product development activities.</w:t>
      </w:r>
    </w:p>
    <w:p>
      <w:pPr>
        <w:spacing w:after="0" w:line="170" w:lineRule="exact"/>
        <w:rPr>
          <w:sz w:val="20"/>
          <w:szCs w:val="20"/>
          <w:color w:val="auto"/>
        </w:rPr>
      </w:pPr>
    </w:p>
    <w:p>
      <w:pPr>
        <w:jc w:val="both"/>
        <w:ind w:right="260"/>
        <w:spacing w:after="0" w:line="342" w:lineRule="auto"/>
        <w:rPr>
          <w:sz w:val="20"/>
          <w:szCs w:val="20"/>
          <w:color w:val="auto"/>
        </w:rPr>
      </w:pPr>
      <w:r>
        <w:rPr>
          <w:rFonts w:ascii="Arial" w:cs="Arial" w:eastAsia="Arial" w:hAnsi="Arial"/>
          <w:sz w:val="16"/>
          <w:szCs w:val="16"/>
          <w:color w:val="auto"/>
        </w:rPr>
        <w:t>We occupy a 46,000 square-foot manufacturing facility in Alachua, Florida under the terms of an operation lease expiring in March 2016 with an option to extend the lease by two years. The Alachua facility is used primarily to manufacture our wireless microphone products and to support this line of business.</w:t>
      </w:r>
    </w:p>
    <w:p>
      <w:pPr>
        <w:spacing w:after="0" w:line="124"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We occupy a 40,000 square-foot warehouse in Salt Lake City, Utah under the terms of an operating lease expiring in December 2017, which serves as our primary inventory fulfillment and repair center. This facility also serves as our assembly workshop for digital signage products.</w:t>
      </w:r>
    </w:p>
    <w:p>
      <w:pPr>
        <w:spacing w:after="0" w:line="14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We occupy a 7,070 square-foot facility in Austin, Texas under the terms of an operating lease expiring in October 2019 which serves as an additional facility to support our administrative, sales, marketing, customer support, and research and development activities. Our previous lease for a 11,100 square-foot facility in Austin, Texas under the terms of an operating lease expiring in August 2016 is still intact while we search for a sub-lease arrangement.</w:t>
      </w:r>
    </w:p>
    <w:p>
      <w:pPr>
        <w:spacing w:after="0" w:line="14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occupied 5,600 square-feet of warehouse space in Hong Kong to support our partners and customers located in the Asia-Pacific region. This operating lease expired in February 2014 and has not been renewed.</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occupy a 4,700 square-foot office facility in Hod Hasharon, Israel under the terms of an operating lease expiring in December 2015 which serves to support our research and development activities. Upon expiration, we will have the option to extend the lease for two to four additional years. The prior 1,000 square-foot warehouse lease expired in August 2013 and was not renewed.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non-cancellable operating leases with initial terms of one year or more are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F- 17 |</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bl>
      <w:tblPr>
        <w:tblLayout w:type="fixed"/>
        <w:tblInd w:w="0" w:type="dxa"/>
        <w:tblCellMar>
          <w:top w:w="0" w:type="dxa"/>
          <w:left w:w="0" w:type="dxa"/>
          <w:bottom w:w="0" w:type="dxa"/>
          <w:right w:w="0" w:type="dxa"/>
        </w:tblCellMar>
      </w:tblPr>
      <w:tr>
        <w:trPr>
          <w:trHeight w:val="200"/>
        </w:trPr>
        <w:tc>
          <w:tcPr>
            <w:tcW w:w="1020" w:type="dxa"/>
            <w:vAlign w:val="bottom"/>
            <w:tcBorders>
              <w:top w:val="single" w:sz="8" w:color="0000EE"/>
            </w:tcBorders>
          </w:tcPr>
          <w:p>
            <w:pPr>
              <w:spacing w:after="0"/>
              <w:rPr>
                <w:sz w:val="17"/>
                <w:szCs w:val="17"/>
                <w:color w:val="auto"/>
              </w:rPr>
            </w:pPr>
          </w:p>
        </w:tc>
        <w:tc>
          <w:tcPr>
            <w:tcW w:w="2220" w:type="dxa"/>
            <w:vAlign w:val="bottom"/>
          </w:tcPr>
          <w:p>
            <w:pPr>
              <w:spacing w:after="0"/>
              <w:rPr>
                <w:sz w:val="17"/>
                <w:szCs w:val="17"/>
                <w:color w:val="auto"/>
              </w:rPr>
            </w:pPr>
          </w:p>
        </w:tc>
        <w:tc>
          <w:tcPr>
            <w:tcW w:w="5320" w:type="dxa"/>
            <w:vAlign w:val="bottom"/>
            <w:gridSpan w:val="2"/>
          </w:tcPr>
          <w:p>
            <w:pPr>
              <w:jc w:val="right"/>
              <w:ind w:right="399"/>
              <w:spacing w:after="0" w:line="201" w:lineRule="exact"/>
              <w:rPr>
                <w:sz w:val="20"/>
                <w:szCs w:val="20"/>
                <w:color w:val="auto"/>
              </w:rPr>
            </w:pPr>
            <w:r>
              <w:rPr>
                <w:rFonts w:ascii="Arial" w:cs="Arial" w:eastAsia="Arial" w:hAnsi="Arial"/>
                <w:sz w:val="18"/>
                <w:szCs w:val="18"/>
                <w:b w:val="1"/>
                <w:bCs w:val="1"/>
                <w:color w:val="auto"/>
              </w:rPr>
              <w:t>NOTES TO CONSOLIDATED FINANCIAL STATEMENTS</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0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320" w:type="dxa"/>
            <w:vAlign w:val="bottom"/>
            <w:gridSpan w:val="2"/>
          </w:tcPr>
          <w:p>
            <w:pPr>
              <w:jc w:val="right"/>
              <w:ind w:right="939"/>
              <w:spacing w:after="0"/>
              <w:rPr>
                <w:sz w:val="20"/>
                <w:szCs w:val="20"/>
                <w:color w:val="auto"/>
              </w:rPr>
            </w:pPr>
            <w:r>
              <w:rPr>
                <w:rFonts w:ascii="Arial" w:cs="Arial" w:eastAsia="Arial" w:hAnsi="Arial"/>
                <w:sz w:val="14"/>
                <w:szCs w:val="14"/>
                <w:b w:val="1"/>
                <w:bCs w:val="1"/>
                <w:color w:val="auto"/>
              </w:rPr>
              <w:t>(Dollars in thousands, except share and per share amounts)</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3"/>
        </w:trPr>
        <w:tc>
          <w:tcPr>
            <w:tcW w:w="324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Years ending December 31,</w:t>
            </w:r>
          </w:p>
        </w:tc>
        <w:tc>
          <w:tcPr>
            <w:tcW w:w="3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2220" w:type="dxa"/>
            <w:vAlign w:val="bottom"/>
            <w:tcBorders>
              <w:bottom w:val="single" w:sz="8" w:color="CCEEFF"/>
            </w:tcBorders>
            <w:shd w:val="clear" w:color="auto" w:fill="CCEEFF"/>
          </w:tcPr>
          <w:p>
            <w:pPr>
              <w:spacing w:after="0"/>
              <w:rPr>
                <w:sz w:val="22"/>
                <w:szCs w:val="22"/>
                <w:color w:val="auto"/>
              </w:rPr>
            </w:pPr>
          </w:p>
        </w:tc>
        <w:tc>
          <w:tcPr>
            <w:tcW w:w="39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rPr>
                <w:sz w:val="20"/>
                <w:szCs w:val="20"/>
                <w:color w:val="auto"/>
              </w:rPr>
            </w:pPr>
            <w:r>
              <w:rPr>
                <w:rFonts w:ascii="Arial" w:cs="Arial" w:eastAsia="Arial" w:hAnsi="Arial"/>
                <w:sz w:val="18"/>
                <w:szCs w:val="18"/>
                <w:color w:val="auto"/>
              </w:rPr>
              <w:t>2016</w:t>
            </w:r>
          </w:p>
        </w:tc>
        <w:tc>
          <w:tcPr>
            <w:tcW w:w="222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22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rPr>
                <w:sz w:val="20"/>
                <w:szCs w:val="20"/>
                <w:color w:val="auto"/>
              </w:rPr>
            </w:pPr>
            <w:r>
              <w:rPr>
                <w:rFonts w:ascii="Arial" w:cs="Arial" w:eastAsia="Arial" w:hAnsi="Arial"/>
                <w:sz w:val="18"/>
                <w:szCs w:val="18"/>
                <w:color w:val="auto"/>
              </w:rPr>
              <w:t>2018</w:t>
            </w:r>
          </w:p>
        </w:tc>
        <w:tc>
          <w:tcPr>
            <w:tcW w:w="222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220" w:type="dxa"/>
            <w:vAlign w:val="bottom"/>
            <w:tcBorders>
              <w:bottom w:val="single" w:sz="8" w:color="CCEEFF"/>
            </w:tcBorders>
            <w:shd w:val="clear" w:color="auto" w:fill="CCEEFF"/>
          </w:tcPr>
          <w:p>
            <w:pPr>
              <w:spacing w:after="0"/>
              <w:rPr>
                <w:sz w:val="23"/>
                <w:szCs w:val="23"/>
                <w:color w:val="auto"/>
              </w:rPr>
            </w:pPr>
          </w:p>
        </w:tc>
        <w:tc>
          <w:tcPr>
            <w:tcW w:w="39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57"/>
        </w:trPr>
        <w:tc>
          <w:tcPr>
            <w:tcW w:w="3240" w:type="dxa"/>
            <w:vAlign w:val="bottom"/>
            <w:gridSpan w:val="2"/>
          </w:tcPr>
          <w:p>
            <w:pPr>
              <w:ind w:left="180"/>
              <w:spacing w:after="0"/>
              <w:rPr>
                <w:sz w:val="20"/>
                <w:szCs w:val="20"/>
                <w:color w:val="auto"/>
              </w:rPr>
            </w:pPr>
            <w:r>
              <w:rPr>
                <w:rFonts w:ascii="Arial" w:cs="Arial" w:eastAsia="Arial" w:hAnsi="Arial"/>
                <w:sz w:val="18"/>
                <w:szCs w:val="18"/>
                <w:color w:val="auto"/>
              </w:rPr>
              <w:t>Total minimum lease payments</w:t>
            </w:r>
          </w:p>
        </w:tc>
        <w:tc>
          <w:tcPr>
            <w:tcW w:w="39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3,823</w:t>
            </w: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7. Accrued Liabilities</w:t>
            </w:r>
          </w:p>
        </w:tc>
        <w:tc>
          <w:tcPr>
            <w:tcW w:w="3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240" w:type="dxa"/>
            <w:vAlign w:val="bottom"/>
            <w:gridSpan w:val="2"/>
            <w:vMerge w:val="continue"/>
          </w:tcPr>
          <w:p>
            <w:pPr>
              <w:spacing w:after="0"/>
              <w:rPr>
                <w:sz w:val="24"/>
                <w:szCs w:val="24"/>
                <w:color w:val="auto"/>
              </w:rPr>
            </w:pPr>
          </w:p>
        </w:tc>
        <w:tc>
          <w:tcPr>
            <w:tcW w:w="3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240" w:type="dxa"/>
            <w:vAlign w:val="bottom"/>
            <w:gridSpan w:val="2"/>
          </w:tcPr>
          <w:p>
            <w:pPr>
              <w:spacing w:after="0"/>
              <w:rPr>
                <w:sz w:val="20"/>
                <w:szCs w:val="20"/>
                <w:color w:val="auto"/>
              </w:rPr>
            </w:pPr>
            <w:r>
              <w:rPr>
                <w:rFonts w:ascii="Arial" w:cs="Arial" w:eastAsia="Arial" w:hAnsi="Arial"/>
                <w:sz w:val="18"/>
                <w:szCs w:val="18"/>
                <w:color w:val="auto"/>
                <w:w w:val="97"/>
              </w:rPr>
              <w:t>Accrued liabilities consist of the following:</w:t>
            </w:r>
          </w:p>
        </w:tc>
        <w:tc>
          <w:tcPr>
            <w:tcW w:w="3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0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As of December 31,</w:t>
            </w: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20" w:type="dxa"/>
            <w:vAlign w:val="bottom"/>
            <w:tcBorders>
              <w:bottom w:val="single" w:sz="8" w:color="CCEEFF"/>
            </w:tcBorders>
          </w:tcPr>
          <w:p>
            <w:pPr>
              <w:spacing w:after="0"/>
              <w:rPr>
                <w:sz w:val="22"/>
                <w:szCs w:val="22"/>
                <w:color w:val="auto"/>
              </w:rPr>
            </w:pPr>
          </w:p>
        </w:tc>
        <w:tc>
          <w:tcPr>
            <w:tcW w:w="2220" w:type="dxa"/>
            <w:vAlign w:val="bottom"/>
            <w:tcBorders>
              <w:bottom w:val="single" w:sz="8" w:color="CCEEFF"/>
            </w:tcBorders>
          </w:tcPr>
          <w:p>
            <w:pPr>
              <w:spacing w:after="0"/>
              <w:rPr>
                <w:sz w:val="22"/>
                <w:szCs w:val="22"/>
                <w:color w:val="auto"/>
              </w:rPr>
            </w:pPr>
          </w:p>
        </w:tc>
        <w:tc>
          <w:tcPr>
            <w:tcW w:w="396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2014</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79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6"/>
              </w:rPr>
              <w:t>Accrued salaries and other compensation</w:t>
            </w:r>
          </w:p>
        </w:tc>
        <w:tc>
          <w:tcPr>
            <w:tcW w:w="5320" w:type="dxa"/>
            <w:vAlign w:val="bottom"/>
            <w:tcBorders>
              <w:bottom w:val="single" w:sz="8" w:color="CCEEFF"/>
            </w:tcBorders>
            <w:gridSpan w:val="2"/>
            <w:shd w:val="clear" w:color="auto" w:fill="CCEEFF"/>
          </w:tcPr>
          <w:p>
            <w:pPr>
              <w:jc w:val="right"/>
              <w:ind w:right="1159"/>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43"/>
        </w:trPr>
        <w:tc>
          <w:tcPr>
            <w:tcW w:w="3240" w:type="dxa"/>
            <w:vAlign w:val="bottom"/>
            <w:gridSpan w:val="2"/>
          </w:tcPr>
          <w:p>
            <w:pPr>
              <w:ind w:left="40"/>
              <w:spacing w:after="0"/>
              <w:rPr>
                <w:sz w:val="20"/>
                <w:szCs w:val="20"/>
                <w:color w:val="auto"/>
              </w:rPr>
            </w:pPr>
            <w:r>
              <w:rPr>
                <w:rFonts w:ascii="Arial" w:cs="Arial" w:eastAsia="Arial" w:hAnsi="Arial"/>
                <w:sz w:val="18"/>
                <w:szCs w:val="18"/>
                <w:color w:val="auto"/>
              </w:rPr>
              <w:t>Dividends payable</w:t>
            </w:r>
          </w:p>
        </w:tc>
        <w:tc>
          <w:tcPr>
            <w:tcW w:w="39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Sales and marketing programs</w:t>
            </w:r>
          </w:p>
        </w:tc>
        <w:tc>
          <w:tcPr>
            <w:tcW w:w="39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43"/>
        </w:trPr>
        <w:tc>
          <w:tcPr>
            <w:tcW w:w="3240" w:type="dxa"/>
            <w:vAlign w:val="bottom"/>
            <w:gridSpan w:val="2"/>
          </w:tcPr>
          <w:p>
            <w:pPr>
              <w:ind w:left="40"/>
              <w:spacing w:after="0"/>
              <w:rPr>
                <w:sz w:val="20"/>
                <w:szCs w:val="20"/>
                <w:color w:val="auto"/>
              </w:rPr>
            </w:pPr>
            <w:r>
              <w:rPr>
                <w:rFonts w:ascii="Arial" w:cs="Arial" w:eastAsia="Arial" w:hAnsi="Arial"/>
                <w:sz w:val="18"/>
                <w:szCs w:val="18"/>
                <w:color w:val="auto"/>
              </w:rPr>
              <w:t>Product warranty</w:t>
            </w:r>
          </w:p>
        </w:tc>
        <w:tc>
          <w:tcPr>
            <w:tcW w:w="39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accrued liabilities</w:t>
            </w:r>
          </w:p>
        </w:tc>
        <w:tc>
          <w:tcPr>
            <w:tcW w:w="39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57"/>
        </w:trPr>
        <w:tc>
          <w:tcPr>
            <w:tcW w:w="324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396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ind w:right="1159"/>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2,694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We establish contingent liabilities when a particular contingency is both probable and estimable. The Company is not aware of any pending claims or assessments, other than as described below, which may have a material adverse impact on the Company’s financial position or results of operations.</w:t>
      </w:r>
    </w:p>
    <w:p>
      <w:pPr>
        <w:spacing w:after="0" w:line="12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color w:val="auto"/>
        </w:rPr>
        <w:t xml:space="preserve">Outsource Manufacturers. </w:t>
      </w:r>
      <w:r>
        <w:rPr>
          <w:rFonts w:ascii="Arial" w:cs="Arial" w:eastAsia="Arial" w:hAnsi="Arial"/>
          <w:sz w:val="18"/>
          <w:szCs w:val="18"/>
          <w:color w:val="auto"/>
        </w:rPr>
        <w:t>We have manufacturing agreements with electronics manufacturing service ("EMS") providers related to the outsourced</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of our products. Certain manufacturing agreements establish annual volume commitments. We are also obligated to repurchase Company-forecasted but unused materials. The Company has non-cancellable, non-returnable, and long-lead time commitments with its EMS providers and certain suppliers for inventory components that will be used in production. The Company’s purchase commitments under such agreements is approximately $3,830 as of December 31, 2014.</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Uncertain Tax Positions. </w:t>
      </w:r>
      <w:r>
        <w:rPr>
          <w:rFonts w:ascii="Arial" w:cs="Arial" w:eastAsia="Arial" w:hAnsi="Arial"/>
          <w:sz w:val="18"/>
          <w:szCs w:val="18"/>
          <w:color w:val="auto"/>
        </w:rPr>
        <w:t>As further discussed in Note 12, we had $1,678 of uncertain tax positions as of December 31, 2014. Due to the inherent uncertainty</w:t>
      </w:r>
      <w:r>
        <w:rPr>
          <w:rFonts w:ascii="Arial" w:cs="Arial" w:eastAsia="Arial" w:hAnsi="Arial"/>
          <w:sz w:val="18"/>
          <w:szCs w:val="18"/>
          <w:i w:val="1"/>
          <w:iCs w:val="1"/>
          <w:color w:val="auto"/>
        </w:rPr>
        <w:t xml:space="preserve"> </w:t>
      </w:r>
      <w:r>
        <w:rPr>
          <w:rFonts w:ascii="Arial" w:cs="Arial" w:eastAsia="Arial" w:hAnsi="Arial"/>
          <w:sz w:val="18"/>
          <w:szCs w:val="18"/>
          <w:color w:val="auto"/>
        </w:rPr>
        <w:t>of the underlying tax positions, it is not possible to forecast the payment of this liability to any particular year.</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Legal Proceedings. </w:t>
      </w:r>
      <w:r>
        <w:rPr>
          <w:rFonts w:ascii="Arial" w:cs="Arial" w:eastAsia="Arial" w:hAnsi="Arial"/>
          <w:sz w:val="18"/>
          <w:szCs w:val="18"/>
          <w:color w:val="auto"/>
        </w:rPr>
        <w:t>In addition to the legal proceedings described below, we are also involved from time to time in various claims and other legal proceedings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arise in the normal course of our business. Such matters are subject to many uncertainties and outcomes that are not predictable. However, based on the information available to us, we do not believe any such proceedings will have a material adverse effect on our business, results of operations, financial position, or liquidity, except as described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Former Officer Indemnification</w:t>
      </w:r>
    </w:p>
    <w:p>
      <w:pPr>
        <w:spacing w:after="0" w:line="22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 July 2007 and January 2008, the U.S. Attorney for the District of Utah indicted two of our former officers, Frances Flood (“Flood”) and Susie Strohm (“Strohm”), for allegedly causing us to issue materially misstated financial statements for our 2001 and 2002 fiscal years and for perjury in connection with the investigation by the SEC into the alleged misstatements. In December 2003, we entered into indemnification agreements with each former officer, requiring payment of all reasonable attorneys’ fees and costs incurred in defending against the charges in certain circumstances consistent with and subject 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F- 18 |</w:t>
      </w:r>
    </w:p>
    <w:p>
      <w:pPr>
        <w:sectPr>
          <w:pgSz w:w="11900" w:h="16838" w:orient="portrait"/>
          <w:cols w:equalWidth="0" w:num="1">
            <w:col w:w="11420"/>
          </w:cols>
          <w:pgMar w:left="240" w:top="114"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39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limitations imposed by our bylaws and applicable law. In total, we paid approximately $3,630 in attorneys’ fees and costs to defend against the charges. In February 2009, Flood was convicted on nine counts and Strohm was convicted on one count. In June 2010, Flood was sentenced to four years in prison and three years of probation and Strohm was sentenced to two years of probation plus 150 hours of community service. In April 2011, the Tenth Circuit Court of Appeals in Denver affirmed Flood’s conviction, but has allowed her to assert in a collateral proceeding her claim that she received ineffective assistance of counsel. In November 2011, the Tenth Circuit affirmed Strohm’s perjury conviction as well.</w:t>
      </w:r>
    </w:p>
    <w:p>
      <w:pPr>
        <w:spacing w:after="0" w:line="169" w:lineRule="exact"/>
        <w:rPr>
          <w:sz w:val="20"/>
          <w:szCs w:val="20"/>
          <w:color w:val="auto"/>
        </w:rPr>
      </w:pPr>
    </w:p>
    <w:p>
      <w:pPr>
        <w:ind w:right="60"/>
        <w:spacing w:after="0" w:line="281" w:lineRule="auto"/>
        <w:rPr>
          <w:sz w:val="20"/>
          <w:szCs w:val="20"/>
          <w:color w:val="auto"/>
        </w:rPr>
      </w:pPr>
      <w:r>
        <w:rPr>
          <w:rFonts w:ascii="Arial" w:cs="Arial" w:eastAsia="Arial" w:hAnsi="Arial"/>
          <w:sz w:val="17"/>
          <w:szCs w:val="17"/>
          <w:b w:val="1"/>
          <w:bCs w:val="1"/>
          <w:color w:val="auto"/>
        </w:rPr>
        <w:t>Flood</w:t>
      </w:r>
      <w:r>
        <w:rPr>
          <w:rFonts w:ascii="Arial" w:cs="Arial" w:eastAsia="Arial" w:hAnsi="Arial"/>
          <w:sz w:val="17"/>
          <w:szCs w:val="17"/>
          <w:color w:val="auto"/>
        </w:rPr>
        <w:t>: In August 2008, Flood filed a lawsuit in Federal District Court for the District of Utah, seeking to compel us to pay her attorneys’ fees and costs to</w:t>
      </w:r>
      <w:r>
        <w:rPr>
          <w:rFonts w:ascii="Arial" w:cs="Arial" w:eastAsia="Arial" w:hAnsi="Arial"/>
          <w:sz w:val="17"/>
          <w:szCs w:val="17"/>
          <w:b w:val="1"/>
          <w:bCs w:val="1"/>
          <w:color w:val="auto"/>
        </w:rPr>
        <w:t xml:space="preserve"> </w:t>
      </w:r>
      <w:r>
        <w:rPr>
          <w:rFonts w:ascii="Arial" w:cs="Arial" w:eastAsia="Arial" w:hAnsi="Arial"/>
          <w:sz w:val="17"/>
          <w:szCs w:val="17"/>
          <w:color w:val="auto"/>
        </w:rPr>
        <w:t>defend against the criminal charges. The District Court issued a preliminary injunction in January 2009 requiring us to pay Flood’s criminal legal fees and costs through trial. Pursuant to the Court’s order, ClearOne paid approximately $373 to Flood’s attorneys and approximately $248 into the Court’s escrow. In July 2009, ClearOne asserted counterclaims against Flood and sought to recover $3,390 plus interest, costs and attorneys' fees.</w:t>
      </w:r>
    </w:p>
    <w:p>
      <w:pPr>
        <w:spacing w:after="0" w:line="16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Tenth Circuit Court of Appeals issued a ruling in August 2010 vacating the District Court’s preliminary injunction on the grounds that it rested on a legally erroneous interpretation of Flood’s Employment Separation Agreement. ClearOne filed a motion in the United States District Court for the District of Utah seeking a return of the monies paid by ClearOne pursuant to the Court’s order. The District Court granted ClearOne’s motion in January 2012 for return of the $248 held in the Court’s escrow, but denied ClearOne’s motion with respect to the $373 paid to Flood’s attorneys.</w:t>
      </w:r>
    </w:p>
    <w:p>
      <w:pPr>
        <w:spacing w:after="0" w:line="17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On or about March 1, 2013, Flood filed for personal bankruptcy in the U.S. Bankruptcy Court for the Eastern District of Virginia. On March 19, 2013, the US District Court for the District of Utah issued an order staying this case. On June 2, 2014, on the parties’ cross-motions for summary judgment, the bankruptcy judge ruled that Flood’s debt to ClearOne for the criminal defense fees advanced on her behalf is dischargeable in bankruptcy. On August 5, 2014, ClearOne and Flood entered into a settlement agreement whereby ClearOne released Flood from any claims in exchange for Flood’s release of ClearOne.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Theft of Intellectual Property and Related Cases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January 2007, we filed a lawsuit in the Third Judicial District Court, Salt Lake County, Utah against WideBand Solutions, Inc. (“WideBand”) and two of its principals, Dr. Jun Yang, and Andrew Chiang for misappropriation of our trade secrets (the “Trade Secret Case”). We also brought claims against Biamp Systems Corporation, Inc. (“Biamp”). The litigation eventually included other defendants, namely Lonny Bowers, Donald Bowers, David Sullivan, Dial HD and Versatile DSP. The matter was subsequently removed to federal court. The United States District Court, District of Utah, Central Division.</w:t>
      </w:r>
    </w:p>
    <w:p>
      <w:pPr>
        <w:spacing w:after="0" w:line="17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litigation involved various appeals filed by all parties extended to various state courts, federal courts and the federal appeal court. The court found the defendants guilty of willfully and maliciously misappropriating our trade secrets. Various awards were made in ClearOne's favor and against the defendants. Biamp settled with us and paid $3,860 after we won the appeal in the Tenth Circuit court. We also settled with one of the defendants and received $250 in February 2012. We have various awards against other defendants amounting to approximately $7,658 owed jointly and severally by them. While we intend to vigorously pursue collection of these outstanding awards, there can be no assurance that we will ultimately collect on all or a portion of these awards.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Conclusion</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These legal proceedings are subject to all of the risks and uncertainties of legal proceedings and there can be no assurance as to the probable result of the legal proceedings.</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believes it is adequately accrued for the aforementioned contingent liabilities. While we intend to defend ourselves in the above matters vigorously and diligently, there exists the possibility of adverse outcomes that we estimate could be up to $1,000 over and above amounts already provided for. If these adverse outcomes were to occur, our financial position, results of operations and cash flows could be negatively affected materially for the period in which the adverse outcomes are known.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F- 19 |</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Share-Based Payments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Company’s share-based compensation primarily consists of two share-based compensation plans, one which was replaced on November 20, 2007, and one which became active on the same date. The plans are described below.</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Company’s 1998 Incentive Plan (the “1998 Plan”) had shares of common stock available for issuance to employees and directors. Through December 1999, 1,066,000 options were granted that would cliff vest after 9.8 years; however, such vesting was accelerated for 637,089 of these options upon meeting certain earnings per share goals through the fiscal year ended June 30, 2003. Subsequent to December 1999 and through June 2002, 1,248,250 options were granted that would cliff vest after 6.0 years; however, such vesting was accelerated for 300,494 of these options upon meeting certain earnings per share goals through the fiscal year ended June 30, 2005.</w:t>
      </w:r>
    </w:p>
    <w:p>
      <w:pPr>
        <w:spacing w:after="0" w:line="18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Company also has a 2007 Equity Incentive Plan (the “2007 Plan”). Provisions of the 2007 Plan include the granting of up to 2,000,000 incentive and non-qualified stock options, stock appreciation rights, restricted stock and restricted stock units. Options may be granted to employees, officers, non-employee directors and other service providers and may be granted upon such terms as the Compensation Committee of the Board of Directors determines in their sole discretion. Under both plans, one new share is issued for each stock option exercised.</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Of the options granted subsequent to June 2002, all vesting schedules are based on 3 or 4-year vesting schedules, with either one-third or one-fourth vesting on the first anniversary and the remaining options vesting ratably over the remainder of the vesting term. Generally, directors and officers have 3-year vesting schedules and all other employees have 4-year vesting schedules. Additionally, in the event of a change in control or the occurrence of a corporate transaction, the Company’s Board of Directors has the authority to elect that all unvested options shall vest and become exercisable immediately prior to the event or closing of the transaction. All options outstanding as of December 31, 2014 had contractual lives of ten years. Under the 1998 Plan, 2,500,000 shares were authorized for grant. As of December 31, 2014, there were 346,000 options outstanding under the 1998 Plan, which includes the cliff vesting and 3 or 4-year vesting options discussed above. As of December 31, 2014, there were 694,081 options outstanding under the 2007 Plan. As of December 31, 2014, the 2007 Plan had 95,915 authorized unissued options, while there were no options remaining that could be granted under the 1998 Plan.</w:t>
      </w:r>
    </w:p>
    <w:p>
      <w:pPr>
        <w:spacing w:after="0" w:line="166"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During 2014, the Company also had an Employee Stock Purchase Plan (“ESPP”) wherein employees could purchase common stock through payroll deductions of up to 10 percent of their base pay. Amounts deducted and accumulated by the employees were used to purchase shares of common stock on or about the first day of each month. The Company contributed to the account of the employee one share of common stock for every nine shares purchased by the employee under the ESPP. The details of the company's ESPP were modified for future periods.</w:t>
      </w:r>
    </w:p>
    <w:p>
      <w:pPr>
        <w:spacing w:after="0" w:line="17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Company uses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and the expected dividends of the awards. The Company uses the Black-Scholes option pricing model to determine the fair value of share-based payments granted under the guidelines of ASC Topic 718.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In applying the Black-Scholes methodology to the options granted, the Company used the following assumptions: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76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766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 average</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Expected option life, average</w:t>
            </w:r>
          </w:p>
        </w:tc>
        <w:tc>
          <w:tcPr>
            <w:tcW w:w="1940" w:type="dxa"/>
            <w:vAlign w:val="bottom"/>
            <w:gridSpan w:val="2"/>
          </w:tcPr>
          <w:p>
            <w:pPr>
              <w:ind w:left="600"/>
              <w:spacing w:after="0"/>
              <w:rPr>
                <w:sz w:val="20"/>
                <w:szCs w:val="20"/>
                <w:color w:val="auto"/>
              </w:rPr>
            </w:pPr>
            <w:r>
              <w:rPr>
                <w:rFonts w:ascii="Arial" w:cs="Arial" w:eastAsia="Arial" w:hAnsi="Arial"/>
                <w:sz w:val="18"/>
                <w:szCs w:val="18"/>
                <w:color w:val="auto"/>
              </w:rPr>
              <w:t>8.2 years</w:t>
            </w:r>
          </w:p>
        </w:tc>
        <w:tc>
          <w:tcPr>
            <w:tcW w:w="1820" w:type="dxa"/>
            <w:vAlign w:val="bottom"/>
          </w:tcPr>
          <w:p>
            <w:pPr>
              <w:ind w:left="580"/>
              <w:spacing w:after="0"/>
              <w:rPr>
                <w:sz w:val="20"/>
                <w:szCs w:val="20"/>
                <w:color w:val="auto"/>
              </w:rPr>
            </w:pPr>
            <w:r>
              <w:rPr>
                <w:rFonts w:ascii="Arial" w:cs="Arial" w:eastAsia="Arial" w:hAnsi="Arial"/>
                <w:sz w:val="18"/>
                <w:szCs w:val="18"/>
                <w:color w:val="auto"/>
              </w:rPr>
              <w:t>6.8 years</w:t>
            </w: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price volatility, average</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47.6%</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49.8%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risk-free interest rate is determined using the U.S. Treasury rate in effect as of the date of the grant, based on the expected life of the stock option. The expected life of the stock option is determined using historical data.</w:t>
      </w:r>
    </w:p>
    <w:p>
      <w:pPr>
        <w:spacing w:after="0" w:line="17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expected price volatility is determined using a weighted average of daily historical volatility of the Company’s stock price over the corresponding expected option life.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F- 20 |</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Under guidelines of ASC Topic 718, the Company recognizes compensation cost net of an expected forfeiture rate and recognized the associated compensation cost for only those awards expected to vest on a straight-line basis over the underlying requisite service period. The Company estimated the forfeiture rates based on its historical experience and expectations about future forfeitures.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stock option activity: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Weighted Average</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97"/>
              </w:rPr>
              <w:t>Weighted Average</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Contractual Term</w:t>
            </w:r>
          </w:p>
        </w:tc>
        <w:tc>
          <w:tcPr>
            <w:tcW w:w="1360" w:type="dxa"/>
            <w:vAlign w:val="bottom"/>
            <w:gridSpan w:val="2"/>
          </w:tcPr>
          <w:p>
            <w:pPr>
              <w:spacing w:after="0"/>
              <w:rPr>
                <w:sz w:val="20"/>
                <w:szCs w:val="20"/>
                <w:color w:val="auto"/>
              </w:rPr>
            </w:pPr>
            <w:r>
              <w:rPr>
                <w:rFonts w:ascii="Arial" w:cs="Arial" w:eastAsia="Arial" w:hAnsi="Arial"/>
                <w:sz w:val="16"/>
                <w:szCs w:val="16"/>
                <w:b w:val="1"/>
                <w:bCs w:val="1"/>
                <w:color w:val="auto"/>
                <w:w w:val="91"/>
              </w:rPr>
              <w:t>Aggregate Intrinsic</w:t>
            </w:r>
          </w:p>
        </w:tc>
      </w:tr>
      <w:tr>
        <w:trPr>
          <w:trHeight w:val="210"/>
        </w:trPr>
        <w:tc>
          <w:tcPr>
            <w:tcW w:w="5160" w:type="dxa"/>
            <w:vAlign w:val="bottom"/>
          </w:tcPr>
          <w:p>
            <w:pPr>
              <w:spacing w:after="0"/>
              <w:rPr>
                <w:sz w:val="18"/>
                <w:szCs w:val="18"/>
                <w:color w:val="auto"/>
              </w:rPr>
            </w:pPr>
          </w:p>
        </w:tc>
        <w:tc>
          <w:tcPr>
            <w:tcW w:w="1600" w:type="dxa"/>
            <w:vAlign w:val="bottom"/>
          </w:tcPr>
          <w:p>
            <w:pPr>
              <w:jc w:val="right"/>
              <w:ind w:right="91"/>
              <w:spacing w:after="0"/>
              <w:rPr>
                <w:sz w:val="20"/>
                <w:szCs w:val="20"/>
                <w:color w:val="auto"/>
              </w:rPr>
            </w:pPr>
            <w:r>
              <w:rPr>
                <w:rFonts w:ascii="Arial" w:cs="Arial" w:eastAsia="Arial" w:hAnsi="Arial"/>
                <w:sz w:val="16"/>
                <w:szCs w:val="16"/>
                <w:b w:val="1"/>
                <w:bCs w:val="1"/>
                <w:color w:val="auto"/>
              </w:rPr>
              <w:t>Number of Shares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Exercise Price</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(Years)</w:t>
            </w:r>
          </w:p>
        </w:tc>
        <w:tc>
          <w:tcPr>
            <w:tcW w:w="300" w:type="dxa"/>
            <w:vAlign w:val="bottom"/>
          </w:tcPr>
          <w:p>
            <w:pPr>
              <w:spacing w:after="0"/>
              <w:rPr>
                <w:sz w:val="18"/>
                <w:szCs w:val="18"/>
                <w:color w:val="auto"/>
              </w:rPr>
            </w:pPr>
          </w:p>
        </w:tc>
        <w:tc>
          <w:tcPr>
            <w:tcW w:w="1060" w:type="dxa"/>
            <w:vAlign w:val="bottom"/>
          </w:tcPr>
          <w:p>
            <w:pPr>
              <w:jc w:val="right"/>
              <w:ind w:right="392"/>
              <w:spacing w:after="0"/>
              <w:rPr>
                <w:sz w:val="20"/>
                <w:szCs w:val="20"/>
                <w:color w:val="auto"/>
              </w:rPr>
            </w:pPr>
            <w:r>
              <w:rPr>
                <w:rFonts w:ascii="Arial" w:cs="Arial" w:eastAsia="Arial" w:hAnsi="Arial"/>
                <w:sz w:val="16"/>
                <w:szCs w:val="16"/>
                <w:b w:val="1"/>
                <w:bCs w:val="1"/>
                <w:color w:val="auto"/>
              </w:rPr>
              <w:t>Value</w:t>
            </w:r>
          </w:p>
        </w:tc>
      </w:tr>
      <w:tr>
        <w:trPr>
          <w:trHeight w:val="33"/>
        </w:trPr>
        <w:tc>
          <w:tcPr>
            <w:tcW w:w="516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December 31, 2013</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1,111,274</w:t>
            </w:r>
          </w:p>
        </w:tc>
        <w:tc>
          <w:tcPr>
            <w:tcW w:w="12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193,500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8.83</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Expired and canceled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6.87</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Forfeited prior to vesting</w:t>
            </w:r>
          </w:p>
        </w:tc>
        <w:tc>
          <w:tcPr>
            <w:tcW w:w="1600" w:type="dxa"/>
            <w:vAlign w:val="bottom"/>
          </w:tcPr>
          <w:p>
            <w:pPr>
              <w:jc w:val="right"/>
              <w:spacing w:after="0"/>
              <w:rPr>
                <w:sz w:val="20"/>
                <w:szCs w:val="20"/>
                <w:color w:val="auto"/>
              </w:rPr>
            </w:pPr>
            <w:r>
              <w:rPr>
                <w:rFonts w:ascii="Arial" w:cs="Arial" w:eastAsia="Arial" w:hAnsi="Arial"/>
                <w:sz w:val="18"/>
                <w:szCs w:val="18"/>
                <w:color w:val="auto"/>
              </w:rPr>
              <w:t>(729)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8.88</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(234,432)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5.72</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As of December 31, 2014</w:t>
            </w:r>
          </w:p>
        </w:tc>
        <w:tc>
          <w:tcPr>
            <w:tcW w:w="16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1,040,081</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5.65</w:t>
            </w:r>
          </w:p>
        </w:tc>
        <w:tc>
          <w:tcPr>
            <w:tcW w:w="120" w:type="dxa"/>
            <w:vAlign w:val="bottom"/>
            <w:tcBorders>
              <w:bottom w:val="single" w:sz="8" w:color="CCEEFF"/>
            </w:tcBorders>
          </w:tcPr>
          <w:p>
            <w:pPr>
              <w:spacing w:after="0"/>
              <w:rPr>
                <w:sz w:val="24"/>
                <w:szCs w:val="24"/>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4,286</w:t>
            </w:r>
          </w:p>
        </w:tc>
      </w:tr>
      <w:tr>
        <w:trPr>
          <w:trHeight w:val="25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Expected to Vest at December 31, 2014</w:t>
            </w:r>
          </w:p>
        </w:tc>
        <w:tc>
          <w:tcPr>
            <w:tcW w:w="16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1,040,081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5.65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4,286</w:t>
            </w:r>
          </w:p>
        </w:tc>
      </w:tr>
      <w:tr>
        <w:trPr>
          <w:trHeight w:val="20"/>
        </w:trPr>
        <w:tc>
          <w:tcPr>
            <w:tcW w:w="51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51"/>
        </w:trPr>
        <w:tc>
          <w:tcPr>
            <w:tcW w:w="5160" w:type="dxa"/>
            <w:vAlign w:val="bottom"/>
          </w:tcPr>
          <w:p>
            <w:pPr>
              <w:ind w:left="40"/>
              <w:spacing w:after="0"/>
              <w:rPr>
                <w:sz w:val="20"/>
                <w:szCs w:val="20"/>
                <w:color w:val="auto"/>
              </w:rPr>
            </w:pPr>
            <w:r>
              <w:rPr>
                <w:rFonts w:ascii="Arial" w:cs="Arial" w:eastAsia="Arial" w:hAnsi="Arial"/>
                <w:sz w:val="18"/>
                <w:szCs w:val="18"/>
                <w:color w:val="auto"/>
              </w:rPr>
              <w:t>Vested at December 31, 2014</w:t>
            </w: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730,016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3,721</w:t>
            </w:r>
          </w:p>
        </w:tc>
      </w:tr>
      <w:tr>
        <w:trPr>
          <w:trHeight w:val="20"/>
        </w:trPr>
        <w:tc>
          <w:tcPr>
            <w:tcW w:w="516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weighted average per share fair value of options granted during the years ending December 31, 2014 and 2013 was $4.85 and $4.38 respectively. The total intrinsic value of options exercised during the years ended December 31, 2014 and 2013 was $1,337 and $489, respectively.</w:t>
      </w:r>
    </w:p>
    <w:p>
      <w:pPr>
        <w:spacing w:after="0" w:line="147"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The total pre-tax compensation cost related to stock options recognized during the years ended December 31, 2014 and 2013 was $401 and $296, respectively. Tax benefit from compensation cost related to stock options during the years ended December 31, 2014 and 2013 was $211 and $96, respectively. As of December 31, 2014, the total compensation cost related to stock options not yet recognized and before the effect of any forfeitures was $1,230, which is expected to be recognized over approximately the next 2.7 years on a straight-line basis.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Repurchase Program and Cash Dividends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May 2012, our Board of Directors authorized a stock repurchase program to purchase the Company's common stock in the open market. A total of 272,767 and 300,087 shares costing $2,598 and $2,416 were purchased under this program during the years ended December 31, 2014 and 2013. The cost of shares purchased is recorded as a reduction to shareholders' equity. On December 2, 2014, the Company announced the discontinuance of the stock repurchase program along with the initiation of a cash dividend plan. The first of such dividends was of $0.10 per share of ClearOne common stock, payable on January 5, 2015, to stockholders of record on December 12, 2014.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Significant Customers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Sales to significant customers that represented more than 10 percent of total revenues are as follows:</w:t>
      </w:r>
    </w:p>
    <w:p>
      <w:pPr>
        <w:spacing w:after="0" w:line="230" w:lineRule="exact"/>
        <w:rPr>
          <w:sz w:val="20"/>
          <w:szCs w:val="20"/>
          <w:color w:val="auto"/>
        </w:rPr>
      </w:pPr>
    </w:p>
    <w:p>
      <w:pPr>
        <w:ind w:left="86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23495</wp:posOffset>
            </wp:positionV>
            <wp:extent cx="25215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2013</w:t>
            </w:r>
          </w:p>
        </w:tc>
      </w:tr>
      <w:tr>
        <w:trPr>
          <w:trHeight w:val="250"/>
        </w:trPr>
        <w:tc>
          <w:tcPr>
            <w:tcW w:w="8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A</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43"/>
        </w:trPr>
        <w:tc>
          <w:tcPr>
            <w:tcW w:w="8680" w:type="dxa"/>
            <w:vAlign w:val="bottom"/>
            <w:gridSpan w:val="2"/>
          </w:tcPr>
          <w:p>
            <w:pPr>
              <w:ind w:left="40"/>
              <w:spacing w:after="0"/>
              <w:rPr>
                <w:sz w:val="20"/>
                <w:szCs w:val="20"/>
                <w:color w:val="auto"/>
              </w:rPr>
            </w:pPr>
            <w:r>
              <w:rPr>
                <w:rFonts w:ascii="Arial" w:cs="Arial" w:eastAsia="Arial" w:hAnsi="Arial"/>
                <w:sz w:val="18"/>
                <w:szCs w:val="18"/>
                <w:color w:val="auto"/>
              </w:rPr>
              <w:t>Customer B</w:t>
            </w: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7"/>
        </w:trPr>
        <w:tc>
          <w:tcPr>
            <w:tcW w:w="74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57"/>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2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 Sales didn't exceed 10% of the revenue.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percentage of total gross accounts receivable from significant customers:</w:t>
      </w:r>
    </w:p>
    <w:p>
      <w:pPr>
        <w:spacing w:after="0" w:line="252"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 F- 21 |</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890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4798695</wp:posOffset>
            </wp:positionH>
            <wp:positionV relativeFrom="paragraph">
              <wp:posOffset>23495</wp:posOffset>
            </wp:positionV>
            <wp:extent cx="24523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2013</w:t>
            </w:r>
          </w:p>
        </w:tc>
      </w:tr>
      <w:tr>
        <w:trPr>
          <w:trHeight w:val="250"/>
        </w:trPr>
        <w:tc>
          <w:tcPr>
            <w:tcW w:w="8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A</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43"/>
        </w:trPr>
        <w:tc>
          <w:tcPr>
            <w:tcW w:w="8780" w:type="dxa"/>
            <w:vAlign w:val="bottom"/>
            <w:gridSpan w:val="2"/>
          </w:tcPr>
          <w:p>
            <w:pPr>
              <w:ind w:left="40"/>
              <w:spacing w:after="0"/>
              <w:rPr>
                <w:sz w:val="20"/>
                <w:szCs w:val="20"/>
                <w:color w:val="auto"/>
              </w:rPr>
            </w:pPr>
            <w:r>
              <w:rPr>
                <w:rFonts w:ascii="Arial" w:cs="Arial" w:eastAsia="Arial" w:hAnsi="Arial"/>
                <w:sz w:val="18"/>
                <w:szCs w:val="18"/>
                <w:color w:val="auto"/>
              </w:rPr>
              <w:t>Customer B</w:t>
            </w:r>
          </w:p>
        </w:tc>
        <w:tc>
          <w:tcPr>
            <w:tcW w:w="6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7"/>
        </w:trPr>
        <w:tc>
          <w:tcPr>
            <w:tcW w:w="75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57"/>
        </w:trPr>
        <w:tc>
          <w:tcPr>
            <w:tcW w:w="8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These customers facilitate product sales to a large number of end-users, none of which is known to account for more than 10 percent of the Company’s revenue from product sales. Nevertheless, the loss of one or more of these customers could reduce revenue and have a material adverse effect on the Company’s business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w:t>
      </w:r>
    </w:p>
    <w:p>
      <w:pPr>
        <w:spacing w:after="0" w:line="94"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fair value of the Company's financial instruments reflects the amounts that the Company estimates it will receive in connection with the sale of an asset or pay in connection with the transfer of a liability in an orderly transaction between market participants at the measurement date (exit price). The fair value hierarchy prioritizes the use of inputs used in valuation techniques into the following three levels: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Quoted prices in active markets for identical assets and liabilities.</w:t>
      </w:r>
    </w:p>
    <w:p>
      <w:pPr>
        <w:spacing w:after="0" w:line="198" w:lineRule="exact"/>
        <w:rPr>
          <w:sz w:val="20"/>
          <w:szCs w:val="20"/>
          <w:color w:val="auto"/>
        </w:rPr>
      </w:pPr>
    </w:p>
    <w:p>
      <w:pPr>
        <w:ind w:left="660" w:right="60"/>
        <w:spacing w:after="0" w:line="312" w:lineRule="auto"/>
        <w:rPr>
          <w:sz w:val="20"/>
          <w:szCs w:val="20"/>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Observable inputs other than quoted prices in active markets for identical assets and liabilities; quoted prices in markets that are not active; or other inputs that are observable or can be corroborated by observable market data for substantially the full term of the assets or liabilities. This category generally includes U.S. Government and agency securities; municipal securities; mutual funds and securities sold and not yet settled.</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Unobservable inputs.</w:t>
      </w:r>
    </w:p>
    <w:p>
      <w:pPr>
        <w:spacing w:after="0" w:line="225"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substantial majority of the Company’s financial instruments are valued using quoted prices in active markets or based on other observable inputs. The following tables set forth the fair value of the financial instruments re-measured by the Company as of December 31, 2014 and 2013:</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300" w:type="dxa"/>
            <w:vAlign w:val="bottom"/>
          </w:tcPr>
          <w:p>
            <w:pPr>
              <w:jc w:val="right"/>
              <w:ind w:right="153"/>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3"/>
          </w:tcPr>
          <w:p>
            <w:pPr>
              <w:ind w:left="240"/>
              <w:spacing w:after="0"/>
              <w:rPr>
                <w:sz w:val="20"/>
                <w:szCs w:val="20"/>
                <w:color w:val="auto"/>
              </w:rPr>
            </w:pPr>
            <w:r>
              <w:rPr>
                <w:rFonts w:ascii="Arial" w:cs="Arial" w:eastAsia="Arial" w:hAnsi="Arial"/>
                <w:sz w:val="16"/>
                <w:szCs w:val="16"/>
                <w:b w:val="1"/>
                <w:bCs w:val="1"/>
                <w:color w:val="auto"/>
              </w:rPr>
              <w:t>Level 2</w:t>
            </w:r>
          </w:p>
        </w:tc>
        <w:tc>
          <w:tcPr>
            <w:tcW w:w="1180" w:type="dxa"/>
            <w:vAlign w:val="bottom"/>
          </w:tcPr>
          <w:p>
            <w:pPr>
              <w:jc w:val="right"/>
              <w:ind w:right="33"/>
              <w:spacing w:after="0"/>
              <w:rPr>
                <w:sz w:val="20"/>
                <w:szCs w:val="20"/>
                <w:color w:val="auto"/>
              </w:rPr>
            </w:pPr>
            <w:r>
              <w:rPr>
                <w:rFonts w:ascii="Arial" w:cs="Arial" w:eastAsia="Arial" w:hAnsi="Arial"/>
                <w:sz w:val="16"/>
                <w:szCs w:val="16"/>
                <w:b w:val="1"/>
                <w:bCs w:val="1"/>
                <w:color w:val="auto"/>
              </w:rPr>
              <w:t>Level 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3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700" w:type="dxa"/>
            <w:vAlign w:val="bottom"/>
            <w:vMerge w:val="restart"/>
          </w:tcPr>
          <w:p>
            <w:pPr>
              <w:ind w:left="40"/>
              <w:spacing w:after="0"/>
              <w:rPr>
                <w:sz w:val="20"/>
                <w:szCs w:val="20"/>
                <w:color w:val="auto"/>
              </w:rPr>
            </w:pPr>
            <w:r>
              <w:rPr>
                <w:rFonts w:ascii="Arial" w:cs="Arial" w:eastAsia="Arial" w:hAnsi="Arial"/>
                <w:sz w:val="13"/>
                <w:szCs w:val="13"/>
                <w:i w:val="1"/>
                <w:iCs w:val="1"/>
                <w:color w:val="auto"/>
              </w:rPr>
              <w:t>(In thousands)</w:t>
            </w: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4700" w:type="dxa"/>
            <w:vAlign w:val="bottom"/>
            <w:vMerge w:val="continue"/>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2014</w:t>
            </w:r>
          </w:p>
        </w:tc>
        <w:tc>
          <w:tcPr>
            <w:tcW w:w="13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Corporate bonds and notes</w:t>
            </w:r>
          </w:p>
        </w:tc>
        <w:tc>
          <w:tcPr>
            <w:tcW w:w="1300" w:type="dxa"/>
            <w:vAlign w:val="bottom"/>
          </w:tcPr>
          <w:p>
            <w:pPr>
              <w:jc w:val="right"/>
              <w:ind w:right="1093"/>
              <w:spacing w:after="0"/>
              <w:rPr>
                <w:sz w:val="20"/>
                <w:szCs w:val="20"/>
                <w:color w:val="auto"/>
              </w:rPr>
            </w:pPr>
            <w:r>
              <w:rPr>
                <w:rFonts w:ascii="Arial" w:cs="Arial" w:eastAsia="Arial" w:hAnsi="Arial"/>
                <w:sz w:val="18"/>
                <w:szCs w:val="18"/>
                <w:color w:val="auto"/>
                <w:w w:val="99"/>
              </w:rPr>
              <w:t>$</w:t>
            </w:r>
          </w:p>
        </w:tc>
        <w:tc>
          <w:tcPr>
            <w:tcW w:w="420" w:type="dxa"/>
            <w:vAlign w:val="bottom"/>
            <w:gridSpan w:val="4"/>
          </w:tcPr>
          <w:p>
            <w:pPr>
              <w:ind w:left="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19,838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ind w:right="973"/>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19,838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Municipal bonds</w:t>
            </w:r>
          </w:p>
        </w:tc>
        <w:tc>
          <w:tcPr>
            <w:tcW w:w="13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6,318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6,318</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300" w:type="dxa"/>
            <w:vAlign w:val="bottom"/>
            <w:shd w:val="clear" w:color="auto" w:fill="CCEEFF"/>
          </w:tcPr>
          <w:p>
            <w:pPr>
              <w:jc w:val="right"/>
              <w:ind w:right="1093"/>
              <w:spacing w:after="0"/>
              <w:rPr>
                <w:sz w:val="20"/>
                <w:szCs w:val="20"/>
                <w:color w:val="auto"/>
              </w:rPr>
            </w:pPr>
            <w:r>
              <w:rPr>
                <w:rFonts w:ascii="Arial" w:cs="Arial" w:eastAsia="Arial" w:hAnsi="Arial"/>
                <w:sz w:val="18"/>
                <w:szCs w:val="18"/>
                <w:color w:val="auto"/>
                <w:w w:val="99"/>
              </w:rPr>
              <w:t>$</w:t>
            </w:r>
          </w:p>
        </w:tc>
        <w:tc>
          <w:tcPr>
            <w:tcW w:w="4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26,156</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973"/>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26,156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00" w:type="dxa"/>
            <w:vAlign w:val="bottom"/>
          </w:tcPr>
          <w:p>
            <w:pPr>
              <w:spacing w:after="0"/>
              <w:rPr>
                <w:sz w:val="24"/>
                <w:szCs w:val="24"/>
                <w:color w:val="auto"/>
              </w:rPr>
            </w:pPr>
          </w:p>
        </w:tc>
        <w:tc>
          <w:tcPr>
            <w:tcW w:w="1300" w:type="dxa"/>
            <w:vAlign w:val="bottom"/>
          </w:tcPr>
          <w:p>
            <w:pPr>
              <w:jc w:val="right"/>
              <w:ind w:right="173"/>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gridSpan w:val="3"/>
          </w:tcPr>
          <w:p>
            <w:pPr>
              <w:ind w:left="220"/>
              <w:spacing w:after="0"/>
              <w:rPr>
                <w:sz w:val="20"/>
                <w:szCs w:val="20"/>
                <w:color w:val="auto"/>
              </w:rPr>
            </w:pPr>
            <w:r>
              <w:rPr>
                <w:rFonts w:ascii="Arial" w:cs="Arial" w:eastAsia="Arial" w:hAnsi="Arial"/>
                <w:sz w:val="16"/>
                <w:szCs w:val="16"/>
                <w:b w:val="1"/>
                <w:bCs w:val="1"/>
                <w:color w:val="auto"/>
              </w:rPr>
              <w:t>Level 2</w:t>
            </w:r>
          </w:p>
        </w:tc>
        <w:tc>
          <w:tcPr>
            <w:tcW w:w="1180" w:type="dxa"/>
            <w:vAlign w:val="bottom"/>
          </w:tcPr>
          <w:p>
            <w:pPr>
              <w:jc w:val="right"/>
              <w:ind w:right="33"/>
              <w:spacing w:after="0"/>
              <w:rPr>
                <w:sz w:val="20"/>
                <w:szCs w:val="20"/>
                <w:color w:val="auto"/>
              </w:rPr>
            </w:pPr>
            <w:r>
              <w:rPr>
                <w:rFonts w:ascii="Arial" w:cs="Arial" w:eastAsia="Arial" w:hAnsi="Arial"/>
                <w:sz w:val="16"/>
                <w:szCs w:val="16"/>
                <w:b w:val="1"/>
                <w:bCs w:val="1"/>
                <w:color w:val="auto"/>
              </w:rPr>
              <w:t>Level 3</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ind w:right="53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700" w:type="dxa"/>
            <w:vAlign w:val="bottom"/>
            <w:vMerge w:val="restart"/>
          </w:tcPr>
          <w:p>
            <w:pPr>
              <w:ind w:left="40"/>
              <w:spacing w:after="0"/>
              <w:rPr>
                <w:sz w:val="20"/>
                <w:szCs w:val="20"/>
                <w:color w:val="auto"/>
              </w:rPr>
            </w:pPr>
            <w:r>
              <w:rPr>
                <w:rFonts w:ascii="Arial" w:cs="Arial" w:eastAsia="Arial" w:hAnsi="Arial"/>
                <w:sz w:val="13"/>
                <w:szCs w:val="13"/>
                <w:i w:val="1"/>
                <w:iCs w:val="1"/>
                <w:color w:val="auto"/>
              </w:rPr>
              <w:t>(In thousands)</w:t>
            </w: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4700" w:type="dxa"/>
            <w:vAlign w:val="bottom"/>
            <w:vMerge w:val="continue"/>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2013</w:t>
            </w:r>
          </w:p>
        </w:tc>
        <w:tc>
          <w:tcPr>
            <w:tcW w:w="13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Corporate bonds and notes</w:t>
            </w:r>
          </w:p>
        </w:tc>
        <w:tc>
          <w:tcPr>
            <w:tcW w:w="1300" w:type="dxa"/>
            <w:vAlign w:val="bottom"/>
          </w:tcPr>
          <w:p>
            <w:pPr>
              <w:jc w:val="right"/>
              <w:ind w:right="1093"/>
              <w:spacing w:after="0"/>
              <w:rPr>
                <w:sz w:val="20"/>
                <w:szCs w:val="20"/>
                <w:color w:val="auto"/>
              </w:rPr>
            </w:pPr>
            <w:r>
              <w:rPr>
                <w:rFonts w:ascii="Arial" w:cs="Arial" w:eastAsia="Arial" w:hAnsi="Arial"/>
                <w:sz w:val="18"/>
                <w:szCs w:val="18"/>
                <w:color w:val="auto"/>
                <w:w w:val="99"/>
              </w:rPr>
              <w:t>$</w:t>
            </w:r>
          </w:p>
        </w:tc>
        <w:tc>
          <w:tcPr>
            <w:tcW w:w="420" w:type="dxa"/>
            <w:vAlign w:val="bottom"/>
            <w:gridSpan w:val="4"/>
          </w:tcPr>
          <w:p>
            <w:pPr>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18,857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ind w:right="973"/>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18,857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Municipal bonds</w:t>
            </w:r>
          </w:p>
        </w:tc>
        <w:tc>
          <w:tcPr>
            <w:tcW w:w="13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6,669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6,669</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300" w:type="dxa"/>
            <w:vAlign w:val="bottom"/>
            <w:shd w:val="clear" w:color="auto" w:fill="CCEEFF"/>
          </w:tcPr>
          <w:p>
            <w:pPr>
              <w:jc w:val="right"/>
              <w:ind w:right="1093"/>
              <w:spacing w:after="0"/>
              <w:rPr>
                <w:sz w:val="20"/>
                <w:szCs w:val="20"/>
                <w:color w:val="auto"/>
              </w:rPr>
            </w:pPr>
            <w:r>
              <w:rPr>
                <w:rFonts w:ascii="Arial" w:cs="Arial" w:eastAsia="Arial" w:hAnsi="Arial"/>
                <w:sz w:val="18"/>
                <w:szCs w:val="18"/>
                <w:color w:val="auto"/>
                <w:w w:val="99"/>
              </w:rPr>
              <w:t>$</w:t>
            </w:r>
          </w:p>
        </w:tc>
        <w:tc>
          <w:tcPr>
            <w:tcW w:w="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25,526</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973"/>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25,526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7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 F- 22 |</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Consolidated income before taxes for domestic and foreign operations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4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w w:val="96"/>
              </w:rPr>
              <w:t>2013</w:t>
            </w:r>
          </w:p>
        </w:tc>
        <w:tc>
          <w:tcPr>
            <w:tcW w:w="0" w:type="dxa"/>
            <w:vAlign w:val="bottom"/>
          </w:tcPr>
          <w:p>
            <w:pPr>
              <w:spacing w:after="0"/>
              <w:rPr>
                <w:sz w:val="1"/>
                <w:szCs w:val="1"/>
                <w:color w:val="auto"/>
              </w:rPr>
            </w:pP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5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9,615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8,714</w:t>
            </w:r>
          </w:p>
        </w:tc>
        <w:tc>
          <w:tcPr>
            <w:tcW w:w="0" w:type="dxa"/>
            <w:vAlign w:val="bottom"/>
          </w:tcPr>
          <w:p>
            <w:pPr>
              <w:spacing w:after="0"/>
              <w:rPr>
                <w:sz w:val="1"/>
                <w:szCs w:val="1"/>
                <w:color w:val="auto"/>
              </w:rPr>
            </w:pP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Foreign</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(1,386)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7"/>
        </w:trPr>
        <w:tc>
          <w:tcPr>
            <w:tcW w:w="7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8,229</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7,769</w:t>
            </w: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Arial" w:cs="Arial" w:eastAsia="Arial" w:hAnsi="Arial"/>
                <w:sz w:val="18"/>
                <w:szCs w:val="18"/>
                <w:color w:val="auto"/>
              </w:rPr>
              <w:t>The Company's (provision) for income taxes consisted of the following:</w:t>
            </w: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4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6"/>
          </w:tcPr>
          <w:p>
            <w:pPr>
              <w:jc w:val="right"/>
              <w:ind w:right="992"/>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4"/>
        </w:trPr>
        <w:tc>
          <w:tcPr>
            <w:tcW w:w="748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80" w:type="dxa"/>
            <w:vAlign w:val="bottom"/>
          </w:tcPr>
          <w:p>
            <w:pPr>
              <w:ind w:left="180"/>
              <w:spacing w:after="0"/>
              <w:rPr>
                <w:sz w:val="20"/>
                <w:szCs w:val="20"/>
                <w:color w:val="auto"/>
              </w:rPr>
            </w:pPr>
            <w:r>
              <w:rPr>
                <w:rFonts w:ascii="Arial" w:cs="Arial" w:eastAsia="Arial" w:hAnsi="Arial"/>
                <w:sz w:val="18"/>
                <w:szCs w:val="18"/>
                <w:color w:val="auto"/>
              </w:rPr>
              <w:t>Federal</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(2,750)</w:t>
            </w:r>
          </w:p>
        </w:tc>
        <w:tc>
          <w:tcPr>
            <w:tcW w:w="20" w:type="dxa"/>
            <w:vAlign w:val="bottom"/>
          </w:tcPr>
          <w:p>
            <w:pPr>
              <w:spacing w:after="0"/>
              <w:rPr>
                <w:sz w:val="21"/>
                <w:szCs w:val="21"/>
                <w:color w:val="auto"/>
              </w:rPr>
            </w:pPr>
          </w:p>
        </w:tc>
        <w:tc>
          <w:tcPr>
            <w:tcW w:w="7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43"/>
        </w:trPr>
        <w:tc>
          <w:tcPr>
            <w:tcW w:w="7480" w:type="dxa"/>
            <w:vAlign w:val="bottom"/>
          </w:tcPr>
          <w:p>
            <w:pPr>
              <w:ind w:left="180"/>
              <w:spacing w:after="0"/>
              <w:rPr>
                <w:sz w:val="20"/>
                <w:szCs w:val="20"/>
                <w:color w:val="auto"/>
              </w:rPr>
            </w:pPr>
            <w:r>
              <w:rPr>
                <w:rFonts w:ascii="Arial" w:cs="Arial" w:eastAsia="Arial" w:hAnsi="Arial"/>
                <w:sz w:val="18"/>
                <w:szCs w:val="18"/>
                <w:color w:val="auto"/>
              </w:rPr>
              <w:t>Foreign</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74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w:t>
            </w:r>
          </w:p>
        </w:tc>
        <w:tc>
          <w:tcPr>
            <w:tcW w:w="1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(3,032)</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(2,614)</w:t>
            </w:r>
          </w:p>
        </w:tc>
        <w:tc>
          <w:tcPr>
            <w:tcW w:w="0" w:type="dxa"/>
            <w:vAlign w:val="bottom"/>
          </w:tcPr>
          <w:p>
            <w:pPr>
              <w:spacing w:after="0"/>
              <w:rPr>
                <w:sz w:val="1"/>
                <w:szCs w:val="1"/>
                <w:color w:val="auto"/>
              </w:rPr>
            </w:pPr>
          </w:p>
        </w:tc>
      </w:tr>
      <w:tr>
        <w:trPr>
          <w:trHeight w:val="237"/>
        </w:trPr>
        <w:tc>
          <w:tcPr>
            <w:tcW w:w="7480" w:type="dxa"/>
            <w:vAlign w:val="bottom"/>
          </w:tcPr>
          <w:p>
            <w:pPr>
              <w:ind w:left="40"/>
              <w:spacing w:after="0"/>
              <w:rPr>
                <w:sz w:val="20"/>
                <w:szCs w:val="20"/>
                <w:color w:val="auto"/>
              </w:rPr>
            </w:pPr>
            <w:r>
              <w:rPr>
                <w:rFonts w:ascii="Arial" w:cs="Arial" w:eastAsia="Arial" w:hAnsi="Arial"/>
                <w:sz w:val="18"/>
                <w:szCs w:val="18"/>
                <w:color w:val="auto"/>
              </w:rPr>
              <w:t>Deferred:</w:t>
            </w:r>
          </w:p>
        </w:tc>
        <w:tc>
          <w:tcPr>
            <w:tcW w:w="1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43"/>
        </w:trPr>
        <w:tc>
          <w:tcPr>
            <w:tcW w:w="7480" w:type="dxa"/>
            <w:vAlign w:val="bottom"/>
          </w:tcPr>
          <w:p>
            <w:pPr>
              <w:ind w:left="180"/>
              <w:spacing w:after="0"/>
              <w:rPr>
                <w:sz w:val="20"/>
                <w:szCs w:val="20"/>
                <w:color w:val="auto"/>
              </w:rPr>
            </w:pPr>
            <w:r>
              <w:rPr>
                <w:rFonts w:ascii="Arial" w:cs="Arial" w:eastAsia="Arial" w:hAnsi="Arial"/>
                <w:sz w:val="18"/>
                <w:szCs w:val="18"/>
                <w:color w:val="auto"/>
              </w:rPr>
              <w:t>State</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1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7"/>
        </w:trPr>
        <w:tc>
          <w:tcPr>
            <w:tcW w:w="7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valuation allowance</w:t>
            </w:r>
          </w:p>
        </w:tc>
        <w:tc>
          <w:tcPr>
            <w:tcW w:w="1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7"/>
        </w:trPr>
        <w:tc>
          <w:tcPr>
            <w:tcW w:w="7480" w:type="dxa"/>
            <w:vAlign w:val="bottom"/>
          </w:tcPr>
          <w:p>
            <w:pPr>
              <w:ind w:left="40"/>
              <w:spacing w:after="0"/>
              <w:rPr>
                <w:sz w:val="20"/>
                <w:szCs w:val="20"/>
                <w:color w:val="auto"/>
              </w:rPr>
            </w:pPr>
            <w:r>
              <w:rPr>
                <w:rFonts w:ascii="Arial" w:cs="Arial" w:eastAsia="Arial" w:hAnsi="Arial"/>
                <w:sz w:val="18"/>
                <w:szCs w:val="18"/>
                <w:color w:val="auto"/>
              </w:rPr>
              <w:t>Total deferred</w:t>
            </w:r>
          </w:p>
        </w:tc>
        <w:tc>
          <w:tcPr>
            <w:tcW w:w="1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74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(2,633)</w:t>
            </w:r>
          </w:p>
        </w:tc>
        <w:tc>
          <w:tcPr>
            <w:tcW w:w="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gridSpan w:val="2"/>
          </w:tcPr>
          <w:p>
            <w:pPr>
              <w:spacing w:after="0" w:line="20" w:lineRule="exact"/>
              <w:rPr>
                <w:sz w:val="1"/>
                <w:szCs w:val="1"/>
                <w:color w:val="auto"/>
              </w:rPr>
            </w:pPr>
          </w:p>
        </w:tc>
        <w:tc>
          <w:tcPr>
            <w:tcW w:w="182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500" w:type="dxa"/>
            <w:vAlign w:val="bottom"/>
            <w:gridSpan w:val="6"/>
          </w:tcPr>
          <w:p>
            <w:pPr>
              <w:spacing w:after="0"/>
              <w:rPr>
                <w:sz w:val="20"/>
                <w:szCs w:val="20"/>
                <w:color w:val="auto"/>
              </w:rPr>
            </w:pPr>
            <w:r>
              <w:rPr>
                <w:rFonts w:ascii="Arial" w:cs="Arial" w:eastAsia="Arial" w:hAnsi="Arial"/>
                <w:sz w:val="18"/>
                <w:szCs w:val="18"/>
                <w:color w:val="auto"/>
              </w:rPr>
              <w:t>The income tax (provision) differs from that computed at the federal statutory corporate income tax rate as follows:</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6"/>
          </w:tcPr>
          <w:p>
            <w:pPr>
              <w:jc w:val="right"/>
              <w:ind w:right="992"/>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4"/>
        </w:trPr>
        <w:tc>
          <w:tcPr>
            <w:tcW w:w="748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(provision) at Federal statutory rate</w:t>
            </w:r>
          </w:p>
        </w:tc>
        <w:tc>
          <w:tcPr>
            <w:tcW w:w="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(2,798)</w:t>
            </w:r>
          </w:p>
        </w:tc>
        <w:tc>
          <w:tcPr>
            <w:tcW w:w="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0" w:type="dxa"/>
            <w:vAlign w:val="bottom"/>
          </w:tcPr>
          <w:p>
            <w:pPr>
              <w:spacing w:after="0"/>
              <w:rPr>
                <w:sz w:val="1"/>
                <w:szCs w:val="1"/>
                <w:color w:val="auto"/>
              </w:rPr>
            </w:pP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State income tax (provision), net of federal benefit</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(257)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tax credits</w:t>
            </w:r>
          </w:p>
        </w:tc>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Foreign earnings or losses taxed at different rates</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Change in valuation allowance</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(408)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74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(provision)</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(2,633)</w:t>
            </w:r>
          </w:p>
        </w:tc>
        <w:tc>
          <w:tcPr>
            <w:tcW w:w="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F- 23 |</w:t>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The tax effects of significant temporary differences representing net deferred tax assets and liabilities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As of December 31, 2014</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551"/>
              <w:spacing w:after="0"/>
              <w:rPr>
                <w:sz w:val="20"/>
                <w:szCs w:val="20"/>
                <w:color w:val="auto"/>
              </w:rPr>
            </w:pPr>
            <w:r>
              <w:rPr>
                <w:rFonts w:ascii="Arial" w:cs="Arial" w:eastAsia="Arial" w:hAnsi="Arial"/>
                <w:sz w:val="14"/>
                <w:szCs w:val="14"/>
                <w:b w:val="1"/>
                <w:bCs w:val="1"/>
                <w:color w:val="auto"/>
              </w:rPr>
              <w:t>As of December 31, 2013</w:t>
            </w:r>
          </w:p>
        </w:tc>
      </w:tr>
      <w:tr>
        <w:trPr>
          <w:trHeight w:val="264"/>
        </w:trPr>
        <w:tc>
          <w:tcPr>
            <w:tcW w:w="56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Current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Long-term</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Current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Long-term</w:t>
            </w:r>
          </w:p>
        </w:tc>
      </w:tr>
      <w:tr>
        <w:trPr>
          <w:trHeight w:val="250"/>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spacing w:after="0"/>
              <w:rPr>
                <w:sz w:val="20"/>
                <w:szCs w:val="20"/>
                <w:color w:val="auto"/>
              </w:rPr>
            </w:pPr>
            <w:r>
              <w:rPr>
                <w:rFonts w:ascii="Arial" w:cs="Arial" w:eastAsia="Arial" w:hAnsi="Arial"/>
                <w:sz w:val="18"/>
                <w:szCs w:val="18"/>
                <w:color w:val="auto"/>
              </w:rPr>
              <w:t>Basis difference in intangible assets</w:t>
            </w:r>
          </w:p>
        </w:tc>
        <w:tc>
          <w:tcPr>
            <w:tcW w:w="2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82</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Inventory reserve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2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682</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 tax credits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r>
      <w:tr>
        <w:trPr>
          <w:trHeight w:val="243"/>
        </w:trPr>
        <w:tc>
          <w:tcPr>
            <w:tcW w:w="5620" w:type="dxa"/>
            <w:vAlign w:val="bottom"/>
          </w:tcPr>
          <w:p>
            <w:pPr>
              <w:spacing w:after="0"/>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679</w:t>
            </w:r>
          </w:p>
        </w:tc>
      </w:tr>
      <w:tr>
        <w:trPr>
          <w:trHeight w:val="243"/>
        </w:trPr>
        <w:tc>
          <w:tcPr>
            <w:tcW w:w="5620" w:type="dxa"/>
            <w:vAlign w:val="bottom"/>
          </w:tcPr>
          <w:p>
            <w:pPr>
              <w:spacing w:after="0"/>
              <w:rPr>
                <w:sz w:val="20"/>
                <w:szCs w:val="20"/>
                <w:color w:val="auto"/>
              </w:rPr>
            </w:pPr>
            <w:r>
              <w:rPr>
                <w:rFonts w:ascii="Arial" w:cs="Arial" w:eastAsia="Arial" w:hAnsi="Arial"/>
                <w:sz w:val="18"/>
                <w:szCs w:val="18"/>
                <w:color w:val="auto"/>
              </w:rPr>
              <w:t>Allowance for sales returns and doubtful accounts</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Difference in property and equipment basis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r>
      <w:tr>
        <w:trPr>
          <w:trHeight w:val="243"/>
        </w:trPr>
        <w:tc>
          <w:tcPr>
            <w:tcW w:w="5620" w:type="dxa"/>
            <w:vAlign w:val="bottom"/>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51</w:t>
            </w: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deferred income tax asset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1,137</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Less: Valuation allowance</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deferred income tax asset (liability)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3,824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1,265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3,325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1,024</w:t>
            </w: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 xml:space="preserve">The Company has not provided for U.S. deferred income taxes or foreign withholding taxes on undistributed earnings of its non-U.S. subsidiaries since these earnings are intended to be reinvested indefinitely, in accordance with guidelines contained in ASC Topic 740, </w:t>
      </w:r>
      <w:r>
        <w:rPr>
          <w:rFonts w:ascii="Arial" w:cs="Arial" w:eastAsia="Arial" w:hAnsi="Arial"/>
          <w:sz w:val="17"/>
          <w:szCs w:val="17"/>
          <w:i w:val="1"/>
          <w:iCs w:val="1"/>
          <w:color w:val="auto"/>
        </w:rPr>
        <w:t>Accounting for Income Taxes</w:t>
      </w:r>
      <w:r>
        <w:rPr>
          <w:rFonts w:ascii="Arial" w:cs="Arial" w:eastAsia="Arial" w:hAnsi="Arial"/>
          <w:sz w:val="17"/>
          <w:szCs w:val="17"/>
          <w:color w:val="auto"/>
        </w:rPr>
        <w:t>. It is not practical to estimate the amount of additional taxes that might be payable on such undistributed earnings.</w:t>
      </w:r>
    </w:p>
    <w:p>
      <w:pPr>
        <w:spacing w:after="0" w:line="166"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accordance with ASC Topic 740, the Company analyzed its valuation allowance at December 31, 2014 and determined that, based upon available evidence, it is more likely than not that certain of its deferred tax assets may not be realized and, as such, has established a valuation allowance against certain deferred tax assets. These deferred tax assets include state research and development credits, and foreign net operating loss carryforwards.</w:t>
      </w:r>
    </w:p>
    <w:p>
      <w:pPr>
        <w:spacing w:after="0" w:line="14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As of December 31, 2014, the Company had state research credit carryforwards of $60, which will begin to expire in 2027 if not utilized. The Company has federal net operating loss (“NOL”) carryforwards of approximately $881 (pre-tax), Hong Kong NOL carryforwards of approximately $1,223, and Spain NOL carryforwards of approximately $1,820. The federal NOL carryforwards will begin to expire in 2029. The Hong Kong and Spain NOL carryforwards do not expire.</w:t>
      </w:r>
    </w:p>
    <w:p>
      <w:pPr>
        <w:spacing w:after="0" w:line="18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Effective July 1, 2007, the Company adopted the accounting standards related to uncertain tax positions. This standard requires that tax positions be assessed using a two-step process. A tax position is recognized if it meets a "more likely than not" threshold, and is measured at the largest amount of benefit that is greater than 50 percent likely of being realized. Uncertain tax positions must be reviewed at each balance sheet date. Liabilities recorded as a result of this analysis must generally be recorded separately from any current or deferred income tax accounts.</w:t>
      </w:r>
    </w:p>
    <w:p>
      <w:pPr>
        <w:spacing w:after="0" w:line="17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total amount of unrecognized tax benefits at December 31, 2014 and 2013, that would favorably impact our effective tax rate if recognized was $723 and $623, respectively. As of December 31, 2014 and 2013, we accrued $40 and $51, respectively, in interest and penalties related to unrecognized tax benefits. We account for interest expense and penalties for unrecognized tax benefits as part of our income tax provision.</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Although we believe our estimates are reasonable, we can make no assurance that the final tax outcome of these matters will not be different from that which we have reflected in our historical income tax provisions and accruals. Such difference could have a material impact on our income tax provision and operating results in the period in which we make such determination.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liabilities associated with uncertain tax positions is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F- 24 |</w:t>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Year ended December 31,</w:t>
            </w:r>
          </w:p>
        </w:tc>
        <w:tc>
          <w:tcPr>
            <w:tcW w:w="106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w w:val="89"/>
              </w:rPr>
              <w:t>2013</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 beginning of year</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1,901</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2,384</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Additions based on tax positions related to the current year</w:t>
            </w:r>
          </w:p>
        </w:tc>
        <w:tc>
          <w:tcPr>
            <w:tcW w:w="108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84</w:t>
            </w:r>
          </w:p>
        </w:tc>
      </w:tr>
      <w:tr>
        <w:trPr>
          <w:trHeight w:val="27"/>
        </w:trPr>
        <w:tc>
          <w:tcPr>
            <w:tcW w:w="7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for tax positions of prior years</w:t>
            </w:r>
          </w:p>
        </w:tc>
        <w:tc>
          <w:tcPr>
            <w:tcW w:w="10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Reductions for tax positions of prior years</w:t>
            </w:r>
          </w:p>
        </w:tc>
        <w:tc>
          <w:tcPr>
            <w:tcW w:w="10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(518)</w:t>
            </w:r>
          </w:p>
        </w:tc>
      </w:tr>
      <w:tr>
        <w:trPr>
          <w:trHeight w:val="27"/>
        </w:trPr>
        <w:tc>
          <w:tcPr>
            <w:tcW w:w="7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1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Lapse in statutes of limitations</w:t>
            </w:r>
          </w:p>
        </w:tc>
        <w:tc>
          <w:tcPr>
            <w:tcW w:w="10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7"/>
        </w:trPr>
        <w:tc>
          <w:tcPr>
            <w:tcW w:w="76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Uncertain tax positions, ending balance</w:t>
            </w: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1,678</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1,901</w:t>
            </w:r>
          </w:p>
        </w:tc>
      </w:tr>
      <w:tr>
        <w:trPr>
          <w:trHeight w:val="20"/>
        </w:trPr>
        <w:tc>
          <w:tcPr>
            <w:tcW w:w="76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Company’s U.S. federal income tax returns for 2011 through 2013 are subject to examination. The Company also files in various state and foreign jurisdictions. With few exceptions, the Company is no longer subject to federal, state, or non-U.S. income tax examinations by tax authorities for years prior to 2011. The Company completed its audit by the Internal Revenue Service (“IRS”) for its 2006 tax return in 2010. As a result of the audit by the IRS, there were no material adjustments made to the Company’s tax return. The IRS commenced an examination of the Company's 2012 tax return. We do not anticipate the examination will result in a material change to its financial position.</w:t>
      </w:r>
    </w:p>
    <w:p>
      <w:pPr>
        <w:spacing w:after="0" w:line="18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Inland Revenue Department of Hong Kong, a Special Administrative Region (the “IRD”), commenced an examination of the Company's Hong Kong profits tax returns for 2009 through 2011 in the fourth quarter of 2012 that is anticipated to be completed in 2015. The Company does not anticipate the examination will result in a material change to its financial position. During the next twelve months, it is reasonably possible that the amount of the Company's unrecognized income tax benefits could change significantly. These changes could be the result of our ongoing tax audits or the settlement of outstanding audit issues. However, due to the issues being examined, at the current time, an estimate of the range of reasonably possible outcomes cannot be made, beyond amounts currently accrued.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Geographic Sales Information</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United States was the only country to contribute more than 10 percent of total revenues in each fiscal year. The Company’s revenues are substantially denominated in U.S. dollars and are summarized geographically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Year ended December 31,</w:t>
            </w:r>
          </w:p>
        </w:tc>
        <w:tc>
          <w:tcPr>
            <w:tcW w:w="106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w w:val="89"/>
              </w:rPr>
              <w:t>2013</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39,598</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32,292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All other countries</w:t>
            </w:r>
          </w:p>
        </w:tc>
        <w:tc>
          <w:tcPr>
            <w:tcW w:w="108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18,311</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17,300</w:t>
            </w:r>
          </w:p>
        </w:tc>
      </w:tr>
      <w:tr>
        <w:trPr>
          <w:trHeight w:val="27"/>
        </w:trPr>
        <w:tc>
          <w:tcPr>
            <w:tcW w:w="76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57,909</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49,592</w:t>
            </w:r>
          </w:p>
        </w:tc>
      </w:tr>
      <w:tr>
        <w:trPr>
          <w:trHeight w:val="20"/>
        </w:trPr>
        <w:tc>
          <w:tcPr>
            <w:tcW w:w="76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29"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Company evaluated its consolidated financial statements as of the year ended December 31, 2014 for subsequent events through the date the financial statements were issued. The Company is not aware of any subsequent event which would require recognition or disclosure in the financial statements.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F- 25 |</w:t>
      </w:r>
    </w:p>
    <w:p>
      <w:pPr>
        <w:sectPr>
          <w:pgSz w:w="11900" w:h="16838" w:orient="portrait"/>
          <w:cols w:equalWidth="0" w:num="1">
            <w:col w:w="11420"/>
          </w:cols>
          <w:pgMar w:left="240" w:top="122"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THE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NetStreams, Inc. (DE)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NetStreams, LLC. (TX)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ClearOne Web Solutions, Inc. (DE)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ClearOne Communications Hong Kong Limited (Hong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ClearOne Communications Limited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ClearOne Ltd. (Israel)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ClearOne Middle East FZE (Dubai)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ClearOne Spain SL (Spain)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Gentner Communications Limited (Ireland)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Gentner Ventures, Inc. (UT)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E.mergent, Inc. (DE)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Sabine, Inc. (FL)</w:t>
      </w:r>
    </w:p>
    <w:p>
      <w:pPr>
        <w:sectPr>
          <w:pgSz w:w="11900" w:h="16838" w:orient="portrait"/>
          <w:cols w:equalWidth="0" w:num="1">
            <w:col w:w="11420"/>
          </w:cols>
          <w:pgMar w:left="240" w:top="580"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consent to the incorporation by reference in Registration Statements (Nos. 333-148789 and 333-137859) on Form S-8 and Registration Statement (No. 333-195591) on Form S-3 of ClearOne, Inc. of our report dated March 30, 2015, relating to our audit of the consolidated financial statements, which appears in this Annual Report on Form 10-K of ClearOne, Inc. for the year ended December 31, 2014.</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McGladrey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30, 2015</w:t>
      </w:r>
    </w:p>
    <w:p>
      <w:pPr>
        <w:sectPr>
          <w:pgSz w:w="11900" w:h="16838" w:orient="portrait"/>
          <w:cols w:equalWidth="0" w:num="1">
            <w:col w:w="11420"/>
          </w:cols>
          <w:pgMar w:left="240" w:top="580"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171" w:lineRule="exact"/>
        <w:rPr>
          <w:sz w:val="20"/>
          <w:szCs w:val="20"/>
          <w:color w:val="auto"/>
        </w:rPr>
      </w:pPr>
    </w:p>
    <w:p>
      <w:pPr>
        <w:ind w:left="480" w:hanging="472"/>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annual report of ClearOne, Inc. on Form 10-K;</w:t>
      </w:r>
    </w:p>
    <w:p>
      <w:pPr>
        <w:spacing w:after="0" w:line="171" w:lineRule="exact"/>
        <w:rPr>
          <w:rFonts w:ascii="Arial" w:cs="Arial" w:eastAsia="Arial" w:hAnsi="Arial"/>
          <w:sz w:val="18"/>
          <w:szCs w:val="18"/>
          <w:color w:val="auto"/>
        </w:rPr>
      </w:pPr>
    </w:p>
    <w:p>
      <w:pPr>
        <w:jc w:val="both"/>
        <w:ind w:left="480" w:right="460" w:hanging="472"/>
        <w:spacing w:after="0" w:line="264" w:lineRule="auto"/>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480" w:right="440" w:hanging="472"/>
        <w:spacing w:after="0" w:line="308" w:lineRule="auto"/>
        <w:tabs>
          <w:tab w:leader="none" w:pos="4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480" w:right="40" w:hanging="472"/>
        <w:spacing w:after="0" w:line="318" w:lineRule="auto"/>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Arial" w:cs="Arial" w:eastAsia="Arial" w:hAnsi="Arial"/>
          <w:sz w:val="18"/>
          <w:szCs w:val="18"/>
          <w:color w:val="auto"/>
        </w:rPr>
      </w:pPr>
    </w:p>
    <w:p>
      <w:pPr>
        <w:ind w:left="980" w:right="220" w:hanging="513"/>
        <w:spacing w:after="0" w:line="264"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513"/>
        <w:spacing w:after="0" w:line="264"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513"/>
        <w:spacing w:after="0" w:line="342" w:lineRule="auto"/>
        <w:tabs>
          <w:tab w:leader="none" w:pos="9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60" w:hanging="513"/>
        <w:spacing w:after="0" w:line="264"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7" w:lineRule="exact"/>
        <w:rPr>
          <w:rFonts w:ascii="Arial" w:cs="Arial" w:eastAsia="Arial" w:hAnsi="Arial"/>
          <w:sz w:val="18"/>
          <w:szCs w:val="18"/>
          <w:color w:val="auto"/>
        </w:rPr>
      </w:pPr>
    </w:p>
    <w:p>
      <w:pPr>
        <w:ind w:left="480" w:right="380" w:hanging="472"/>
        <w:spacing w:after="0" w:line="308" w:lineRule="auto"/>
        <w:tabs>
          <w:tab w:leader="none" w:pos="4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513"/>
        <w:spacing w:after="0" w:line="277"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00" w:hanging="513"/>
        <w:spacing w:after="0" w:line="277"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40"/>
        <w:spacing w:after="0"/>
        <w:tabs>
          <w:tab w:leader="none" w:pos="5520" w:val="left"/>
          <w:tab w:leader="none" w:pos="6160" w:val="left"/>
        </w:tabs>
        <w:rPr>
          <w:sz w:val="20"/>
          <w:szCs w:val="20"/>
          <w:color w:val="auto"/>
        </w:rPr>
      </w:pPr>
      <w:r>
        <w:rPr>
          <w:rFonts w:ascii="Arial" w:cs="Arial" w:eastAsia="Arial" w:hAnsi="Arial"/>
          <w:sz w:val="18"/>
          <w:szCs w:val="18"/>
          <w:color w:val="auto"/>
        </w:rPr>
        <w:t>March 30,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31750</wp:posOffset>
            </wp:positionV>
            <wp:extent cx="30873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5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Narsi Narayanan, certify that:</w:t>
      </w:r>
    </w:p>
    <w:p>
      <w:pPr>
        <w:spacing w:after="0" w:line="117" w:lineRule="exact"/>
        <w:rPr>
          <w:sz w:val="20"/>
          <w:szCs w:val="20"/>
          <w:color w:val="auto"/>
        </w:rPr>
      </w:pPr>
    </w:p>
    <w:p>
      <w:pPr>
        <w:ind w:left="480" w:hanging="472"/>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annual report of ClearOne, Inc. on Form 10-K;</w:t>
      </w:r>
    </w:p>
    <w:p>
      <w:pPr>
        <w:spacing w:after="0" w:line="117" w:lineRule="exact"/>
        <w:rPr>
          <w:rFonts w:ascii="Arial" w:cs="Arial" w:eastAsia="Arial" w:hAnsi="Arial"/>
          <w:sz w:val="18"/>
          <w:szCs w:val="18"/>
          <w:color w:val="auto"/>
        </w:rPr>
      </w:pPr>
    </w:p>
    <w:p>
      <w:pPr>
        <w:jc w:val="both"/>
        <w:ind w:left="480" w:right="460" w:hanging="472"/>
        <w:spacing w:after="0" w:line="264" w:lineRule="auto"/>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480" w:right="440" w:hanging="472"/>
        <w:spacing w:after="0" w:line="308" w:lineRule="auto"/>
        <w:tabs>
          <w:tab w:leader="none" w:pos="4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480" w:right="40" w:hanging="472"/>
        <w:spacing w:after="0" w:line="318" w:lineRule="auto"/>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Arial" w:cs="Arial" w:eastAsia="Arial" w:hAnsi="Arial"/>
          <w:sz w:val="18"/>
          <w:szCs w:val="18"/>
          <w:color w:val="auto"/>
        </w:rPr>
      </w:pPr>
    </w:p>
    <w:p>
      <w:pPr>
        <w:ind w:left="980" w:right="220" w:hanging="513"/>
        <w:spacing w:after="0" w:line="264"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513"/>
        <w:spacing w:after="0" w:line="264"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20" w:hanging="513"/>
        <w:spacing w:after="0" w:line="342" w:lineRule="auto"/>
        <w:tabs>
          <w:tab w:leader="none" w:pos="9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60" w:hanging="513"/>
        <w:spacing w:after="0" w:line="264"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left="480" w:right="380" w:hanging="472"/>
        <w:spacing w:after="0" w:line="308" w:lineRule="auto"/>
        <w:tabs>
          <w:tab w:leader="none" w:pos="4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513"/>
        <w:spacing w:after="0" w:line="277"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100" w:hanging="513"/>
        <w:spacing w:after="0" w:line="277"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40"/>
        <w:spacing w:after="0"/>
        <w:tabs>
          <w:tab w:leader="none" w:pos="5520" w:val="left"/>
          <w:tab w:leader="none" w:pos="6160" w:val="left"/>
        </w:tabs>
        <w:rPr>
          <w:sz w:val="20"/>
          <w:szCs w:val="20"/>
          <w:color w:val="auto"/>
        </w:rPr>
      </w:pPr>
      <w:r>
        <w:rPr>
          <w:rFonts w:ascii="Arial" w:cs="Arial" w:eastAsia="Arial" w:hAnsi="Arial"/>
          <w:sz w:val="18"/>
          <w:szCs w:val="18"/>
          <w:color w:val="auto"/>
        </w:rPr>
        <w:t>March 30,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31750</wp:posOffset>
            </wp:positionV>
            <wp:extent cx="30873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5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Senior Vice President of Finance</w:t>
      </w:r>
    </w:p>
    <w:p>
      <w:pPr>
        <w:sectPr>
          <w:pgSz w:w="11900" w:h="16838" w:orient="portrait"/>
          <w:cols w:equalWidth="0" w:num="1">
            <w:col w:w="11420"/>
          </w:cols>
          <w:pgMar w:left="240" w:top="580"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 Zeynep Hakimoglu, certify, to my best knowledge and belief, pursuant to 18 U.S.C. Section 1350, as adopted pursuant to Section 906 of the Sarbanes-Oxley Act of 2002, that the annual report of ClearOne, Inc. on Form 10-K for the year ended December 31, 2014, fully complies with the requirements of Section 13(a) or 15(d) of the Securities Exchange Act of 1934 and that information contained in such annual report on Form 10-K fairly presents, in all material respects, the financial condition and results of operations of ClearOne,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40"/>
        <w:spacing w:after="0"/>
        <w:tabs>
          <w:tab w:leader="none" w:pos="5520" w:val="left"/>
          <w:tab w:leader="none" w:pos="6160" w:val="left"/>
        </w:tabs>
        <w:rPr>
          <w:sz w:val="20"/>
          <w:szCs w:val="20"/>
          <w:color w:val="auto"/>
        </w:rPr>
      </w:pPr>
      <w:r>
        <w:rPr>
          <w:rFonts w:ascii="Arial" w:cs="Arial" w:eastAsia="Arial" w:hAnsi="Arial"/>
          <w:sz w:val="18"/>
          <w:szCs w:val="18"/>
          <w:color w:val="auto"/>
        </w:rPr>
        <w:t>March 30,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31750</wp:posOffset>
            </wp:positionV>
            <wp:extent cx="30873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5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 Narsi Narayanan, certify, to my best knowledge and belief, pursuant to 18 U.S.C. Section 1350, as adopted pursuant to Section 906 of the Sarbanes-Oxley Act of 2002, that the annual report of ClearOne Inc. on Form 10-K for the year ended December 31, 2014, fully complies with the requirements of Section 13(a) or 15(d) of the Securities Exchange Act of 1934 and that information contained in such annual report on Form 10-K fairly presents, in all material respects, the financial condition and results of operations of ClearOne, Inc.</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40"/>
        <w:spacing w:after="0"/>
        <w:tabs>
          <w:tab w:leader="none" w:pos="5520" w:val="left"/>
          <w:tab w:leader="none" w:pos="6160" w:val="left"/>
        </w:tabs>
        <w:rPr>
          <w:sz w:val="20"/>
          <w:szCs w:val="20"/>
          <w:color w:val="auto"/>
        </w:rPr>
      </w:pPr>
      <w:r>
        <w:rPr>
          <w:rFonts w:ascii="Arial" w:cs="Arial" w:eastAsia="Arial" w:hAnsi="Arial"/>
          <w:sz w:val="18"/>
          <w:szCs w:val="18"/>
          <w:color w:val="auto"/>
        </w:rPr>
        <w:t>March 30,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31750</wp:posOffset>
            </wp:positionV>
            <wp:extent cx="30873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5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Vice President of Finance</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lowerRoman"/>
      <w:start w:val="10"/>
    </w:lvl>
  </w:abstractNum>
  <w:abstractNum w:abstractNumId="1">
    <w:nsid w:val="216231B"/>
    <w:multiLevelType w:val="hybridMultilevel"/>
    <w:lvl w:ilvl="0">
      <w:lvlJc w:val="left"/>
      <w:lvlText w:val="%1."/>
      <w:numFmt w:val="upperLetter"/>
      <w:start w:val="1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1)"/>
      <w:numFmt w:val="lowerRoman"/>
      <w:start w:val="3"/>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lowerRoman"/>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2019-12-29T18:18:16Z</dcterms:created>
  <dcterms:modified xsi:type="dcterms:W3CDTF">2019-12-29T18:18:16Z</dcterms:modified>
</cp:coreProperties>
</file>