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1 )</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18506U104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20"/>
        <w:spacing w:after="0"/>
        <w:rPr>
          <w:sz w:val="20"/>
          <w:szCs w:val="20"/>
          <w:color w:val="auto"/>
        </w:rPr>
      </w:pPr>
      <w:r>
        <w:rPr>
          <w:rFonts w:ascii="Arial" w:cs="Arial" w:eastAsia="Arial" w:hAnsi="Arial"/>
          <w:sz w:val="22"/>
          <w:szCs w:val="22"/>
          <w:color w:val="auto"/>
        </w:rPr>
        <w:t>November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75"/>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67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Wellington Trust Company, NA</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6760" w:type="dxa"/>
            <w:vAlign w:val="bottom"/>
          </w:tcPr>
          <w:p>
            <w:pPr>
              <w:ind w:left="780"/>
              <w:spacing w:after="0"/>
              <w:rPr>
                <w:sz w:val="20"/>
                <w:szCs w:val="20"/>
                <w:color w:val="auto"/>
              </w:rPr>
            </w:pPr>
            <w:r>
              <w:rPr>
                <w:rFonts w:ascii="Arial" w:cs="Arial" w:eastAsia="Arial" w:hAnsi="Arial"/>
                <w:sz w:val="22"/>
                <w:szCs w:val="22"/>
                <w:color w:val="auto"/>
                <w:w w:val="93"/>
              </w:rPr>
              <w:t>CHECK THE APPROPRIATE BOX IF A MEMBER OF A GROUP</w:t>
            </w:r>
          </w:p>
        </w:tc>
      </w:tr>
      <w:tr>
        <w:trPr>
          <w:trHeight w:val="455"/>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67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67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60" w:type="dxa"/>
            <w:vAlign w:val="bottom"/>
          </w:tcPr>
          <w:p>
            <w:pPr>
              <w:ind w:left="780"/>
              <w:spacing w:after="0"/>
              <w:rPr>
                <w:sz w:val="20"/>
                <w:szCs w:val="20"/>
                <w:color w:val="auto"/>
              </w:rPr>
            </w:pPr>
            <w:r>
              <w:rPr>
                <w:rFonts w:ascii="Arial" w:cs="Arial" w:eastAsia="Arial" w:hAnsi="Arial"/>
                <w:sz w:val="22"/>
                <w:szCs w:val="22"/>
                <w:color w:val="auto"/>
              </w:rPr>
              <w:t>United States</w:t>
            </w:r>
          </w:p>
        </w:tc>
      </w:tr>
    </w:tbl>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vMerge w:val="restart"/>
          </w:tcPr>
          <w:p>
            <w:pPr>
              <w:ind w:left="120"/>
              <w:spacing w:after="0"/>
              <w:rPr>
                <w:sz w:val="20"/>
                <w:szCs w:val="20"/>
                <w:color w:val="auto"/>
              </w:rPr>
            </w:pPr>
            <w:r>
              <w:rPr>
                <w:rFonts w:ascii="Arial" w:cs="Arial" w:eastAsia="Arial" w:hAnsi="Arial"/>
                <w:sz w:val="22"/>
                <w:szCs w:val="22"/>
                <w:color w:val="auto"/>
              </w:rPr>
              <w:t>NUMBER OF</w:t>
            </w:r>
          </w:p>
        </w:tc>
        <w:tc>
          <w:tcPr>
            <w:tcW w:w="520" w:type="dxa"/>
            <w:vAlign w:val="bottom"/>
          </w:tcPr>
          <w:p>
            <w:pPr>
              <w:spacing w:after="0"/>
              <w:rPr>
                <w:sz w:val="23"/>
                <w:szCs w:val="23"/>
                <w:color w:val="auto"/>
              </w:rPr>
            </w:pPr>
          </w:p>
        </w:tc>
        <w:tc>
          <w:tcPr>
            <w:tcW w:w="6480" w:type="dxa"/>
            <w:vAlign w:val="bottom"/>
          </w:tcPr>
          <w:p>
            <w:pPr>
              <w:ind w:left="120"/>
              <w:spacing w:after="0"/>
              <w:rPr>
                <w:sz w:val="20"/>
                <w:szCs w:val="20"/>
                <w:color w:val="auto"/>
              </w:rPr>
            </w:pPr>
            <w:r>
              <w:rPr>
                <w:rFonts w:ascii="Arial" w:cs="Arial" w:eastAsia="Arial" w:hAnsi="Arial"/>
                <w:sz w:val="22"/>
                <w:szCs w:val="22"/>
                <w:color w:val="auto"/>
              </w:rPr>
              <w:t>5. SOLE VOTING POWER</w:t>
            </w:r>
          </w:p>
        </w:tc>
        <w:tc>
          <w:tcPr>
            <w:tcW w:w="2680" w:type="dxa"/>
            <w:vAlign w:val="bottom"/>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7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6480" w:type="dxa"/>
            <w:vAlign w:val="bottom"/>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74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520" w:type="dxa"/>
            <w:vAlign w:val="bottom"/>
          </w:tcPr>
          <w:p>
            <w:pPr>
              <w:spacing w:after="0"/>
              <w:rPr>
                <w:sz w:val="21"/>
                <w:szCs w:val="21"/>
                <w:color w:val="auto"/>
              </w:rPr>
            </w:pPr>
          </w:p>
        </w:tc>
        <w:tc>
          <w:tcPr>
            <w:tcW w:w="6480" w:type="dxa"/>
            <w:vAlign w:val="bottom"/>
            <w:vMerge w:val="restart"/>
          </w:tcPr>
          <w:p>
            <w:pPr>
              <w:ind w:left="120"/>
              <w:spacing w:after="0"/>
              <w:rPr>
                <w:sz w:val="20"/>
                <w:szCs w:val="20"/>
                <w:color w:val="auto"/>
              </w:rPr>
            </w:pPr>
            <w:r>
              <w:rPr>
                <w:rFonts w:ascii="Arial" w:cs="Arial" w:eastAsia="Arial" w:hAnsi="Arial"/>
                <w:sz w:val="22"/>
                <w:szCs w:val="22"/>
                <w:color w:val="auto"/>
              </w:rPr>
              <w:t>6. SHARED VOTING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892,956</w:t>
            </w:r>
          </w:p>
        </w:tc>
        <w:tc>
          <w:tcPr>
            <w:tcW w:w="0" w:type="dxa"/>
            <w:vAlign w:val="bottom"/>
          </w:tcPr>
          <w:p>
            <w:pPr>
              <w:spacing w:after="0"/>
              <w:rPr>
                <w:sz w:val="1"/>
                <w:szCs w:val="1"/>
                <w:color w:val="auto"/>
              </w:rPr>
            </w:pPr>
          </w:p>
        </w:tc>
      </w:tr>
      <w:tr>
        <w:trPr>
          <w:trHeight w:val="166"/>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BENEFICIALLY</w:t>
            </w:r>
          </w:p>
        </w:tc>
        <w:tc>
          <w:tcPr>
            <w:tcW w:w="520" w:type="dxa"/>
            <w:vAlign w:val="bottom"/>
          </w:tcPr>
          <w:p>
            <w:pPr>
              <w:spacing w:after="0"/>
              <w:rPr>
                <w:sz w:val="14"/>
                <w:szCs w:val="14"/>
                <w:color w:val="auto"/>
              </w:rPr>
            </w:pPr>
          </w:p>
        </w:tc>
        <w:tc>
          <w:tcPr>
            <w:tcW w:w="6480" w:type="dxa"/>
            <w:vAlign w:val="bottom"/>
            <w:vMerge w:val="continue"/>
          </w:tcPr>
          <w:p>
            <w:pPr>
              <w:spacing w:after="0"/>
              <w:rPr>
                <w:sz w:val="14"/>
                <w:szCs w:val="14"/>
                <w:color w:val="auto"/>
              </w:rPr>
            </w:pPr>
          </w:p>
        </w:tc>
        <w:tc>
          <w:tcPr>
            <w:tcW w:w="2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7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4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60" w:type="dxa"/>
            <w:vAlign w:val="bottom"/>
            <w:gridSpan w:val="2"/>
          </w:tcPr>
          <w:p>
            <w:pPr>
              <w:ind w:left="120"/>
              <w:spacing w:after="0" w:line="243" w:lineRule="exact"/>
              <w:rPr>
                <w:sz w:val="20"/>
                <w:szCs w:val="20"/>
                <w:color w:val="auto"/>
              </w:rPr>
            </w:pPr>
            <w:r>
              <w:rPr>
                <w:rFonts w:ascii="Arial" w:cs="Arial" w:eastAsia="Arial" w:hAnsi="Arial"/>
                <w:sz w:val="22"/>
                <w:szCs w:val="22"/>
                <w:color w:val="auto"/>
              </w:rPr>
              <w:t>OWNED BY EACH</w:t>
            </w:r>
          </w:p>
        </w:tc>
        <w:tc>
          <w:tcPr>
            <w:tcW w:w="6480" w:type="dxa"/>
            <w:vAlign w:val="bottom"/>
            <w:vMerge w:val="restart"/>
          </w:tcPr>
          <w:p>
            <w:pPr>
              <w:ind w:left="120"/>
              <w:spacing w:after="0"/>
              <w:rPr>
                <w:sz w:val="20"/>
                <w:szCs w:val="20"/>
                <w:color w:val="auto"/>
              </w:rPr>
            </w:pPr>
            <w:r>
              <w:rPr>
                <w:rFonts w:ascii="Arial" w:cs="Arial" w:eastAsia="Arial" w:hAnsi="Arial"/>
                <w:sz w:val="22"/>
                <w:szCs w:val="22"/>
                <w:color w:val="auto"/>
              </w:rPr>
              <w:t>7. SOLE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740" w:type="dxa"/>
            <w:vAlign w:val="bottom"/>
            <w:vMerge w:val="restart"/>
          </w:tcPr>
          <w:p>
            <w:pPr>
              <w:ind w:left="120"/>
              <w:spacing w:after="0" w:line="243" w:lineRule="exact"/>
              <w:rPr>
                <w:sz w:val="20"/>
                <w:szCs w:val="20"/>
                <w:color w:val="auto"/>
              </w:rPr>
            </w:pPr>
            <w:r>
              <w:rPr>
                <w:rFonts w:ascii="Arial" w:cs="Arial" w:eastAsia="Arial" w:hAnsi="Arial"/>
                <w:sz w:val="22"/>
                <w:szCs w:val="22"/>
                <w:color w:val="auto"/>
              </w:rPr>
              <w:t>REPORTING</w:t>
            </w:r>
          </w:p>
        </w:tc>
        <w:tc>
          <w:tcPr>
            <w:tcW w:w="520" w:type="dxa"/>
            <w:vAlign w:val="bottom"/>
          </w:tcPr>
          <w:p>
            <w:pPr>
              <w:spacing w:after="0"/>
              <w:rPr>
                <w:sz w:val="12"/>
                <w:szCs w:val="12"/>
                <w:color w:val="auto"/>
              </w:rPr>
            </w:pPr>
          </w:p>
        </w:tc>
        <w:tc>
          <w:tcPr>
            <w:tcW w:w="6480" w:type="dxa"/>
            <w:vAlign w:val="bottom"/>
            <w:vMerge w:val="continue"/>
          </w:tcPr>
          <w:p>
            <w:pPr>
              <w:spacing w:after="0"/>
              <w:rPr>
                <w:sz w:val="12"/>
                <w:szCs w:val="12"/>
                <w:color w:val="auto"/>
              </w:rPr>
            </w:pP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74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520" w:type="dxa"/>
            <w:vAlign w:val="bottom"/>
          </w:tcPr>
          <w:p>
            <w:pPr>
              <w:spacing w:after="0"/>
              <w:rPr>
                <w:sz w:val="23"/>
                <w:szCs w:val="23"/>
                <w:color w:val="auto"/>
              </w:rPr>
            </w:pPr>
          </w:p>
        </w:tc>
        <w:tc>
          <w:tcPr>
            <w:tcW w:w="6480" w:type="dxa"/>
            <w:vAlign w:val="bottom"/>
            <w:vMerge w:val="restart"/>
          </w:tcPr>
          <w:p>
            <w:pPr>
              <w:ind w:left="120"/>
              <w:spacing w:after="0"/>
              <w:rPr>
                <w:sz w:val="20"/>
                <w:szCs w:val="20"/>
                <w:color w:val="auto"/>
              </w:rPr>
            </w:pPr>
            <w:r>
              <w:rPr>
                <w:rFonts w:ascii="Arial" w:cs="Arial" w:eastAsia="Arial" w:hAnsi="Arial"/>
                <w:sz w:val="22"/>
                <w:szCs w:val="22"/>
                <w:color w:val="auto"/>
              </w:rPr>
              <w:t>8. SHARED DISPOSITIVE POWER</w:t>
            </w:r>
          </w:p>
        </w:tc>
        <w:tc>
          <w:tcPr>
            <w:tcW w:w="2680" w:type="dxa"/>
            <w:vAlign w:val="bottom"/>
            <w:vMerge w:val="restart"/>
          </w:tcPr>
          <w:p>
            <w:pPr>
              <w:ind w:left="840"/>
              <w:spacing w:after="0"/>
              <w:rPr>
                <w:sz w:val="20"/>
                <w:szCs w:val="20"/>
                <w:color w:val="auto"/>
              </w:rPr>
            </w:pPr>
            <w:r>
              <w:rPr>
                <w:rFonts w:ascii="Arial" w:cs="Arial" w:eastAsia="Arial" w:hAnsi="Arial"/>
                <w:sz w:val="22"/>
                <w:szCs w:val="22"/>
                <w:color w:val="auto"/>
              </w:rPr>
              <w:t>892,956</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8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9.</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892,956</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10.</w:t>
            </w:r>
          </w:p>
        </w:tc>
        <w:tc>
          <w:tcPr>
            <w:tcW w:w="9680" w:type="dxa"/>
            <w:vAlign w:val="bottom"/>
            <w:gridSpan w:val="3"/>
          </w:tcPr>
          <w:p>
            <w:pPr>
              <w:ind w:left="8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22"/>
                <w:szCs w:val="22"/>
                <w:color w:val="auto"/>
              </w:rPr>
              <w:t>[ ]</w:t>
            </w:r>
          </w:p>
        </w:tc>
        <w:tc>
          <w:tcPr>
            <w:tcW w:w="6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11.</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PERCENT OF CLASS REPRESENTED BY AMOUNT IN ROW (9)</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10.06%</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40" w:type="dxa"/>
            <w:vAlign w:val="bottom"/>
          </w:tcPr>
          <w:p>
            <w:pPr>
              <w:ind w:left="120"/>
              <w:spacing w:after="0"/>
              <w:rPr>
                <w:sz w:val="20"/>
                <w:szCs w:val="20"/>
                <w:color w:val="auto"/>
              </w:rPr>
            </w:pPr>
            <w:r>
              <w:rPr>
                <w:rFonts w:ascii="Arial" w:cs="Arial" w:eastAsia="Arial" w:hAnsi="Arial"/>
                <w:sz w:val="22"/>
                <w:szCs w:val="22"/>
                <w:color w:val="auto"/>
              </w:rPr>
              <w:t>12.</w:t>
            </w:r>
          </w:p>
        </w:tc>
        <w:tc>
          <w:tcPr>
            <w:tcW w:w="7000" w:type="dxa"/>
            <w:vAlign w:val="bottom"/>
            <w:gridSpan w:val="2"/>
          </w:tcPr>
          <w:p>
            <w:pPr>
              <w:ind w:left="80"/>
              <w:spacing w:after="0"/>
              <w:rPr>
                <w:sz w:val="20"/>
                <w:szCs w:val="20"/>
                <w:color w:val="auto"/>
              </w:rPr>
            </w:pPr>
            <w:r>
              <w:rPr>
                <w:rFonts w:ascii="Arial" w:cs="Arial" w:eastAsia="Arial" w:hAnsi="Arial"/>
                <w:sz w:val="22"/>
                <w:szCs w:val="22"/>
                <w:color w:val="auto"/>
              </w:rPr>
              <w:t>TYPE OF REPORTING PERSON</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40" w:type="dxa"/>
            <w:vAlign w:val="bottom"/>
          </w:tcPr>
          <w:p>
            <w:pPr>
              <w:spacing w:after="0"/>
              <w:rPr>
                <w:sz w:val="24"/>
                <w:szCs w:val="24"/>
                <w:color w:val="auto"/>
              </w:rPr>
            </w:pPr>
          </w:p>
        </w:tc>
        <w:tc>
          <w:tcPr>
            <w:tcW w:w="520" w:type="dxa"/>
            <w:vAlign w:val="bottom"/>
          </w:tcPr>
          <w:p>
            <w:pPr>
              <w:ind w:left="80"/>
              <w:spacing w:after="0"/>
              <w:rPr>
                <w:sz w:val="20"/>
                <w:szCs w:val="20"/>
                <w:color w:val="auto"/>
              </w:rPr>
            </w:pPr>
            <w:r>
              <w:rPr>
                <w:rFonts w:ascii="Arial" w:cs="Arial" w:eastAsia="Arial" w:hAnsi="Arial"/>
                <w:sz w:val="22"/>
                <w:szCs w:val="22"/>
                <w:color w:val="auto"/>
              </w:rPr>
              <w:t>BK</w:t>
            </w:r>
          </w:p>
        </w:tc>
        <w:tc>
          <w:tcPr>
            <w:tcW w:w="64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4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480" w:type="dxa"/>
            <w:vAlign w:val="bottom"/>
            <w:tcBorders>
              <w:bottom w:val="single" w:sz="8" w:color="808080"/>
            </w:tcBorders>
          </w:tcPr>
          <w:p>
            <w:pPr>
              <w:spacing w:after="0"/>
              <w:rPr>
                <w:sz w:val="8"/>
                <w:szCs w:val="8"/>
                <w:color w:val="auto"/>
              </w:rPr>
            </w:pPr>
          </w:p>
        </w:tc>
        <w:tc>
          <w:tcPr>
            <w:tcW w:w="26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808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ClearOne,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5225 Wiley Post Way</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Suite 500</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Salt Lake City, UT 84116</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right="67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Wellington Trust Company, NA</w:t>
      </w:r>
    </w:p>
    <w:p>
      <w:pPr>
        <w:spacing w:after="0" w:line="11" w:lineRule="exact"/>
        <w:rPr>
          <w:rFonts w:ascii="Arial" w:cs="Arial" w:eastAsia="Arial" w:hAnsi="Arial"/>
          <w:sz w:val="19"/>
          <w:szCs w:val="19"/>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c/o Wellington Management Company LLP</w:t>
      </w:r>
    </w:p>
    <w:p>
      <w:pPr>
        <w:ind w:left="1780" w:right="7740"/>
        <w:spacing w:after="0" w:line="339" w:lineRule="auto"/>
        <w:rPr>
          <w:rFonts w:ascii="Arial" w:cs="Arial" w:eastAsia="Arial" w:hAnsi="Arial"/>
          <w:sz w:val="22"/>
          <w:szCs w:val="22"/>
          <w:b w:val="1"/>
          <w:bCs w:val="1"/>
          <w:color w:val="auto"/>
        </w:rPr>
      </w:pPr>
      <w:r>
        <w:rPr>
          <w:rFonts w:ascii="Arial" w:cs="Arial" w:eastAsia="Arial" w:hAnsi="Arial"/>
          <w:sz w:val="18"/>
          <w:szCs w:val="18"/>
          <w:color w:val="auto"/>
        </w:rPr>
        <w:t>280 Congress Street Boston, MA 02210</w:t>
      </w:r>
    </w:p>
    <w:p>
      <w:pPr>
        <w:spacing w:after="0" w:line="12" w:lineRule="exact"/>
        <w:rPr>
          <w:rFonts w:ascii="Arial" w:cs="Arial" w:eastAsia="Arial" w:hAnsi="Arial"/>
          <w:sz w:val="22"/>
          <w:szCs w:val="22"/>
          <w:b w:val="1"/>
          <w:bCs w:val="1"/>
          <w:color w:val="auto"/>
        </w:rPr>
      </w:pPr>
    </w:p>
    <w:p>
      <w:pPr>
        <w:ind w:left="1780" w:right="83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United States</w:t>
      </w:r>
    </w:p>
    <w:p>
      <w:pPr>
        <w:spacing w:after="0" w:line="11" w:lineRule="exact"/>
        <w:rPr>
          <w:rFonts w:ascii="Arial" w:cs="Arial" w:eastAsia="Arial" w:hAnsi="Arial"/>
          <w:sz w:val="19"/>
          <w:szCs w:val="19"/>
          <w:b w:val="1"/>
          <w:bCs w:val="1"/>
          <w:color w:val="auto"/>
        </w:rPr>
      </w:pP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18506U104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right="6920" w:hanging="407"/>
        <w:spacing w:after="0" w:line="358" w:lineRule="auto"/>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 892,956</w:t>
      </w:r>
    </w:p>
    <w:p>
      <w:pPr>
        <w:spacing w:after="0" w:line="1"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10.06%</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30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30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892,956</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30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30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280" w:type="dxa"/>
            <w:vAlign w:val="bottom"/>
          </w:tcPr>
          <w:p>
            <w:pPr>
              <w:ind w:left="1580"/>
              <w:spacing w:after="0"/>
              <w:rPr>
                <w:sz w:val="20"/>
                <w:szCs w:val="20"/>
                <w:color w:val="auto"/>
              </w:rPr>
            </w:pPr>
            <w:r>
              <w:rPr>
                <w:rFonts w:ascii="Arial" w:cs="Arial" w:eastAsia="Arial" w:hAnsi="Arial"/>
                <w:sz w:val="22"/>
                <w:szCs w:val="22"/>
                <w:color w:val="auto"/>
                <w:w w:val="85"/>
              </w:rPr>
              <w:t>892,956</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260"/>
          </w:cols>
          <w:pgMar w:left="320" w:top="409" w:right="31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940" w:type="dxa"/>
            <w:vAlign w:val="bottom"/>
          </w:tcPr>
          <w:p>
            <w:pPr>
              <w:spacing w:after="0"/>
              <w:rPr>
                <w:sz w:val="21"/>
                <w:szCs w:val="21"/>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w w:val="88"/>
              </w:rPr>
              <w:t>If this statement is being filed to report the fact that as of the date hereof the reporting person has ceased to be the</w:t>
            </w:r>
          </w:p>
        </w:tc>
      </w:tr>
      <w:tr>
        <w:trPr>
          <w:trHeight w:val="275"/>
        </w:trPr>
        <w:tc>
          <w:tcPr>
            <w:tcW w:w="940" w:type="dxa"/>
            <w:vAlign w:val="bottom"/>
          </w:tcPr>
          <w:p>
            <w:pPr>
              <w:spacing w:after="0"/>
              <w:rPr>
                <w:sz w:val="23"/>
                <w:szCs w:val="23"/>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r>
      <w:tr>
        <w:trPr>
          <w:trHeight w:val="347"/>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w w:val="90"/>
              </w:rPr>
              <w:t>The securities as to which this Schedule is filed by Wellington Trust Company, NA, in its capacity as investment</w:t>
            </w:r>
          </w:p>
        </w:tc>
      </w:tr>
      <w:tr>
        <w:trPr>
          <w:trHeight w:val="243"/>
        </w:trPr>
        <w:tc>
          <w:tcPr>
            <w:tcW w:w="940" w:type="dxa"/>
            <w:vAlign w:val="bottom"/>
          </w:tcPr>
          <w:p>
            <w:pPr>
              <w:spacing w:after="0"/>
              <w:rPr>
                <w:sz w:val="21"/>
                <w:szCs w:val="21"/>
                <w:color w:val="auto"/>
              </w:rPr>
            </w:pPr>
          </w:p>
        </w:tc>
        <w:tc>
          <w:tcPr>
            <w:tcW w:w="1028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9"/>
              </w:rPr>
              <w:t>adviser, are owned of record by clients of Wellington Trust Company, NA. Those clients have the right to receive,</w:t>
            </w:r>
          </w:p>
        </w:tc>
      </w:tr>
      <w:tr>
        <w:trPr>
          <w:trHeight w:val="243"/>
        </w:trPr>
        <w:tc>
          <w:tcPr>
            <w:tcW w:w="940" w:type="dxa"/>
            <w:vAlign w:val="bottom"/>
          </w:tcPr>
          <w:p>
            <w:pPr>
              <w:spacing w:after="0"/>
              <w:rPr>
                <w:sz w:val="21"/>
                <w:szCs w:val="21"/>
                <w:color w:val="auto"/>
              </w:rPr>
            </w:pPr>
          </w:p>
        </w:tc>
        <w:tc>
          <w:tcPr>
            <w:tcW w:w="1028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1"/>
              </w:rPr>
              <w:t>or the power to direct the receipt of, dividends from, or the proceeds from the sale of, such securities. No such</w:t>
            </w:r>
          </w:p>
        </w:tc>
      </w:tr>
      <w:tr>
        <w:trPr>
          <w:trHeight w:val="243"/>
        </w:trPr>
        <w:tc>
          <w:tcPr>
            <w:tcW w:w="940" w:type="dxa"/>
            <w:vAlign w:val="bottom"/>
          </w:tcPr>
          <w:p>
            <w:pPr>
              <w:spacing w:after="0"/>
              <w:rPr>
                <w:sz w:val="21"/>
                <w:szCs w:val="21"/>
                <w:color w:val="auto"/>
              </w:rPr>
            </w:pPr>
          </w:p>
        </w:tc>
        <w:tc>
          <w:tcPr>
            <w:tcW w:w="1028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4"/>
              </w:rPr>
              <w:t>client is known to have such right or power with respect to more than five percent of this class of securities,</w:t>
            </w:r>
          </w:p>
        </w:tc>
      </w:tr>
      <w:tr>
        <w:trPr>
          <w:trHeight w:val="275"/>
        </w:trPr>
        <w:tc>
          <w:tcPr>
            <w:tcW w:w="940" w:type="dxa"/>
            <w:vAlign w:val="bottom"/>
          </w:tcPr>
          <w:p>
            <w:pPr>
              <w:spacing w:after="0"/>
              <w:rPr>
                <w:sz w:val="23"/>
                <w:szCs w:val="23"/>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except as follows:</w:t>
            </w:r>
          </w:p>
        </w:tc>
      </w:tr>
      <w:tr>
        <w:trPr>
          <w:trHeight w:val="455"/>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WTC-CTF Micro Cap Equity</w:t>
            </w:r>
          </w:p>
        </w:tc>
      </w:tr>
      <w:tr>
        <w:trPr>
          <w:trHeight w:val="243"/>
        </w:trPr>
        <w:tc>
          <w:tcPr>
            <w:tcW w:w="940" w:type="dxa"/>
            <w:vAlign w:val="bottom"/>
          </w:tcPr>
          <w:p>
            <w:pPr>
              <w:spacing w:after="0"/>
              <w:rPr>
                <w:sz w:val="21"/>
                <w:szCs w:val="21"/>
                <w:color w:val="auto"/>
              </w:rPr>
            </w:pPr>
          </w:p>
        </w:tc>
        <w:tc>
          <w:tcPr>
            <w:tcW w:w="1028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7"/>
              </w:rPr>
              <w:t>Wellington Trust Company, National Association Multiple Common Trust Funds Trust, Micro Cap Equity</w:t>
            </w:r>
          </w:p>
        </w:tc>
      </w:tr>
      <w:tr>
        <w:trPr>
          <w:trHeight w:val="275"/>
        </w:trPr>
        <w:tc>
          <w:tcPr>
            <w:tcW w:w="940" w:type="dxa"/>
            <w:vAlign w:val="bottom"/>
          </w:tcPr>
          <w:p>
            <w:pPr>
              <w:spacing w:after="0"/>
              <w:rPr>
                <w:sz w:val="23"/>
                <w:szCs w:val="23"/>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Portfolio</w:t>
            </w:r>
          </w:p>
        </w:tc>
      </w:tr>
      <w:tr>
        <w:trPr>
          <w:trHeight w:val="341"/>
        </w:trPr>
        <w:tc>
          <w:tcPr>
            <w:tcW w:w="94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w w:val="89"/>
              </w:rPr>
              <w:t>Identification and Classification of the Subsidiary Which Acquired the Security Being Reported on by the</w:t>
            </w:r>
          </w:p>
        </w:tc>
      </w:tr>
      <w:tr>
        <w:trPr>
          <w:trHeight w:val="281"/>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rPr>
              <w:t>Parent Holding Company.</w:t>
            </w:r>
          </w:p>
        </w:tc>
      </w:tr>
      <w:tr>
        <w:trPr>
          <w:trHeight w:val="621"/>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Not Applicable.</w:t>
            </w:r>
          </w:p>
        </w:tc>
      </w:tr>
      <w:tr>
        <w:trPr>
          <w:trHeight w:val="378"/>
        </w:trPr>
        <w:tc>
          <w:tcPr>
            <w:tcW w:w="94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10280" w:type="dxa"/>
            <w:vAlign w:val="bottom"/>
            <w:gridSpan w:val="3"/>
          </w:tcPr>
          <w:p>
            <w:pPr>
              <w:ind w:left="440"/>
              <w:spacing w:after="0"/>
              <w:rPr>
                <w:sz w:val="20"/>
                <w:szCs w:val="20"/>
                <w:color w:val="auto"/>
              </w:rPr>
            </w:pPr>
            <w:r>
              <w:rPr>
                <w:rFonts w:ascii="Arial" w:cs="Arial" w:eastAsia="Arial" w:hAnsi="Arial"/>
                <w:sz w:val="22"/>
                <w:szCs w:val="22"/>
                <w:b w:val="1"/>
                <w:bCs w:val="1"/>
                <w:color w:val="auto"/>
              </w:rPr>
              <w:t>Certification.</w:t>
            </w:r>
          </w:p>
        </w:tc>
      </w:tr>
      <w:tr>
        <w:trPr>
          <w:trHeight w:val="455"/>
        </w:trPr>
        <w:tc>
          <w:tcPr>
            <w:tcW w:w="940" w:type="dxa"/>
            <w:vAlign w:val="bottom"/>
          </w:tcPr>
          <w:p>
            <w:pPr>
              <w:spacing w:after="0"/>
              <w:rPr>
                <w:sz w:val="24"/>
                <w:szCs w:val="24"/>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w w:val="94"/>
              </w:rPr>
              <w:t>By signing below I certify that, to the best of my knowledge and belief, the securities referred to above were</w:t>
            </w:r>
          </w:p>
        </w:tc>
      </w:tr>
      <w:tr>
        <w:trPr>
          <w:trHeight w:val="243"/>
        </w:trPr>
        <w:tc>
          <w:tcPr>
            <w:tcW w:w="940" w:type="dxa"/>
            <w:vAlign w:val="bottom"/>
          </w:tcPr>
          <w:p>
            <w:pPr>
              <w:spacing w:after="0"/>
              <w:rPr>
                <w:sz w:val="21"/>
                <w:szCs w:val="21"/>
                <w:color w:val="auto"/>
              </w:rPr>
            </w:pPr>
          </w:p>
        </w:tc>
        <w:tc>
          <w:tcPr>
            <w:tcW w:w="1028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88"/>
              </w:rPr>
              <w:t>acquired and are held in the ordinary course of business and were not acquired and are not held for the purpose of</w:t>
            </w:r>
          </w:p>
        </w:tc>
      </w:tr>
      <w:tr>
        <w:trPr>
          <w:trHeight w:val="243"/>
        </w:trPr>
        <w:tc>
          <w:tcPr>
            <w:tcW w:w="940" w:type="dxa"/>
            <w:vAlign w:val="bottom"/>
          </w:tcPr>
          <w:p>
            <w:pPr>
              <w:spacing w:after="0"/>
              <w:rPr>
                <w:sz w:val="21"/>
                <w:szCs w:val="21"/>
                <w:color w:val="auto"/>
              </w:rPr>
            </w:pPr>
          </w:p>
        </w:tc>
        <w:tc>
          <w:tcPr>
            <w:tcW w:w="10280" w:type="dxa"/>
            <w:vAlign w:val="bottom"/>
            <w:gridSpan w:val="3"/>
          </w:tcPr>
          <w:p>
            <w:pPr>
              <w:ind w:left="440"/>
              <w:spacing w:after="0" w:line="243" w:lineRule="exact"/>
              <w:rPr>
                <w:sz w:val="20"/>
                <w:szCs w:val="20"/>
                <w:color w:val="auto"/>
              </w:rPr>
            </w:pPr>
            <w:r>
              <w:rPr>
                <w:rFonts w:ascii="Arial" w:cs="Arial" w:eastAsia="Arial" w:hAnsi="Arial"/>
                <w:sz w:val="22"/>
                <w:szCs w:val="22"/>
                <w:color w:val="auto"/>
                <w:w w:val="90"/>
              </w:rPr>
              <w:t>or with the effect of changing or influencing the control of the issuer of the securities and were not acquired and</w:t>
            </w:r>
          </w:p>
        </w:tc>
      </w:tr>
      <w:tr>
        <w:trPr>
          <w:trHeight w:val="275"/>
        </w:trPr>
        <w:tc>
          <w:tcPr>
            <w:tcW w:w="940" w:type="dxa"/>
            <w:vAlign w:val="bottom"/>
          </w:tcPr>
          <w:p>
            <w:pPr>
              <w:spacing w:after="0"/>
              <w:rPr>
                <w:sz w:val="23"/>
                <w:szCs w:val="23"/>
                <w:color w:val="auto"/>
              </w:rPr>
            </w:pPr>
          </w:p>
        </w:tc>
        <w:tc>
          <w:tcPr>
            <w:tcW w:w="10280" w:type="dxa"/>
            <w:vAlign w:val="bottom"/>
            <w:gridSpan w:val="3"/>
          </w:tcPr>
          <w:p>
            <w:pPr>
              <w:ind w:left="440"/>
              <w:spacing w:after="0"/>
              <w:rPr>
                <w:sz w:val="20"/>
                <w:szCs w:val="20"/>
                <w:color w:val="auto"/>
              </w:rPr>
            </w:pPr>
            <w:r>
              <w:rPr>
                <w:rFonts w:ascii="Arial" w:cs="Arial" w:eastAsia="Arial" w:hAnsi="Arial"/>
                <w:sz w:val="22"/>
                <w:szCs w:val="22"/>
                <w:color w:val="auto"/>
              </w:rPr>
              <w:t>are not held in connection with or as a participant in any transaction having that purpose or effect.</w:t>
            </w:r>
          </w:p>
        </w:tc>
      </w:tr>
      <w:tr>
        <w:trPr>
          <w:trHeight w:val="608"/>
        </w:trPr>
        <w:tc>
          <w:tcPr>
            <w:tcW w:w="9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700" w:type="dxa"/>
            <w:vAlign w:val="bottom"/>
            <w:gridSpan w:val="2"/>
          </w:tcPr>
          <w:p>
            <w:pPr>
              <w:ind w:left="1480"/>
              <w:spacing w:after="0"/>
              <w:rPr>
                <w:sz w:val="20"/>
                <w:szCs w:val="20"/>
                <w:color w:val="auto"/>
              </w:rPr>
            </w:pPr>
            <w:r>
              <w:rPr>
                <w:rFonts w:ascii="Arial" w:cs="Arial" w:eastAsia="Arial" w:hAnsi="Arial"/>
                <w:sz w:val="22"/>
                <w:szCs w:val="22"/>
                <w:b w:val="1"/>
                <w:bCs w:val="1"/>
                <w:color w:val="auto"/>
              </w:rPr>
              <w:t>SIGNATURE</w:t>
            </w:r>
          </w:p>
        </w:tc>
      </w:tr>
      <w:tr>
        <w:trPr>
          <w:trHeight w:val="549"/>
        </w:trPr>
        <w:tc>
          <w:tcPr>
            <w:tcW w:w="940" w:type="dxa"/>
            <w:vAlign w:val="bottom"/>
          </w:tcPr>
          <w:p>
            <w:pPr>
              <w:spacing w:after="0"/>
              <w:rPr>
                <w:sz w:val="24"/>
                <w:szCs w:val="24"/>
                <w:color w:val="auto"/>
              </w:rPr>
            </w:pPr>
          </w:p>
        </w:tc>
        <w:tc>
          <w:tcPr>
            <w:tcW w:w="10280" w:type="dxa"/>
            <w:vAlign w:val="bottom"/>
            <w:gridSpan w:val="3"/>
          </w:tcPr>
          <w:p>
            <w:pPr>
              <w:ind w:left="180"/>
              <w:spacing w:after="0"/>
              <w:rPr>
                <w:sz w:val="20"/>
                <w:szCs w:val="20"/>
                <w:color w:val="auto"/>
              </w:rPr>
            </w:pPr>
            <w:r>
              <w:rPr>
                <w:rFonts w:ascii="Arial" w:cs="Arial" w:eastAsia="Arial" w:hAnsi="Arial"/>
                <w:sz w:val="22"/>
                <w:szCs w:val="22"/>
                <w:color w:val="auto"/>
              </w:rPr>
              <w:t>After reasonable inquiry and to the best of my knowledge and belief, I certify that the information set</w:t>
            </w:r>
          </w:p>
        </w:tc>
      </w:tr>
      <w:tr>
        <w:trPr>
          <w:trHeight w:val="275"/>
        </w:trPr>
        <w:tc>
          <w:tcPr>
            <w:tcW w:w="940" w:type="dxa"/>
            <w:vAlign w:val="bottom"/>
          </w:tcPr>
          <w:p>
            <w:pPr>
              <w:spacing w:after="0"/>
              <w:rPr>
                <w:sz w:val="23"/>
                <w:szCs w:val="23"/>
                <w:color w:val="auto"/>
              </w:rPr>
            </w:pPr>
          </w:p>
        </w:tc>
        <w:tc>
          <w:tcPr>
            <w:tcW w:w="10280" w:type="dxa"/>
            <w:vAlign w:val="bottom"/>
            <w:gridSpan w:val="3"/>
          </w:tcPr>
          <w:p>
            <w:pPr>
              <w:ind w:left="180"/>
              <w:spacing w:after="0"/>
              <w:rPr>
                <w:sz w:val="20"/>
                <w:szCs w:val="20"/>
                <w:color w:val="auto"/>
              </w:rPr>
            </w:pPr>
            <w:r>
              <w:rPr>
                <w:rFonts w:ascii="Arial" w:cs="Arial" w:eastAsia="Arial" w:hAnsi="Arial"/>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280" w:type="dxa"/>
            <w:vAlign w:val="bottom"/>
            <w:gridSpan w:val="3"/>
          </w:tcPr>
          <w:p>
            <w:pPr>
              <w:ind w:left="2220"/>
              <w:spacing w:after="0"/>
              <w:rPr>
                <w:sz w:val="20"/>
                <w:szCs w:val="20"/>
                <w:color w:val="auto"/>
              </w:rPr>
            </w:pPr>
            <w:r>
              <w:rPr>
                <w:rFonts w:ascii="Arial" w:cs="Arial" w:eastAsia="Arial" w:hAnsi="Arial"/>
                <w:sz w:val="22"/>
                <w:szCs w:val="22"/>
                <w:color w:val="auto"/>
              </w:rPr>
              <w:t>By: Wellington Trust Company, NA</w:t>
            </w:r>
          </w:p>
        </w:tc>
      </w:tr>
      <w:tr>
        <w:trPr>
          <w:trHeight w:val="247"/>
        </w:trPr>
        <w:tc>
          <w:tcPr>
            <w:tcW w:w="940" w:type="dxa"/>
            <w:vAlign w:val="bottom"/>
          </w:tcPr>
          <w:p>
            <w:pPr>
              <w:spacing w:after="0"/>
              <w:rPr>
                <w:sz w:val="21"/>
                <w:szCs w:val="21"/>
                <w:color w:val="auto"/>
              </w:rPr>
            </w:pPr>
          </w:p>
        </w:tc>
        <w:tc>
          <w:tcPr>
            <w:tcW w:w="10280" w:type="dxa"/>
            <w:vAlign w:val="bottom"/>
            <w:gridSpan w:val="3"/>
          </w:tcPr>
          <w:p>
            <w:pPr>
              <w:ind w:left="2220"/>
              <w:spacing w:after="0" w:line="246" w:lineRule="exact"/>
              <w:rPr>
                <w:sz w:val="20"/>
                <w:szCs w:val="20"/>
                <w:color w:val="auto"/>
              </w:rPr>
            </w:pPr>
            <w:r>
              <w:rPr>
                <w:rFonts w:ascii="Arial" w:cs="Arial" w:eastAsia="Arial" w:hAnsi="Arial"/>
                <w:sz w:val="22"/>
                <w:szCs w:val="22"/>
                <w:color w:val="auto"/>
              </w:rPr>
              <w:t>By: /s/ Steven M. Hoffman</w:t>
            </w:r>
          </w:p>
        </w:tc>
      </w:tr>
      <w:tr>
        <w:trPr>
          <w:trHeight w:val="20"/>
        </w:trPr>
        <w:tc>
          <w:tcPr>
            <w:tcW w:w="9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328"/>
        </w:trPr>
        <w:tc>
          <w:tcPr>
            <w:tcW w:w="940" w:type="dxa"/>
            <w:vAlign w:val="bottom"/>
          </w:tcPr>
          <w:p>
            <w:pPr>
              <w:spacing w:after="0"/>
              <w:rPr>
                <w:sz w:val="24"/>
                <w:szCs w:val="24"/>
                <w:color w:val="auto"/>
              </w:rPr>
            </w:pPr>
          </w:p>
        </w:tc>
        <w:tc>
          <w:tcPr>
            <w:tcW w:w="10280" w:type="dxa"/>
            <w:vAlign w:val="bottom"/>
            <w:gridSpan w:val="3"/>
          </w:tcPr>
          <w:p>
            <w:pPr>
              <w:ind w:left="2220"/>
              <w:spacing w:after="0"/>
              <w:rPr>
                <w:sz w:val="20"/>
                <w:szCs w:val="20"/>
                <w:color w:val="auto"/>
              </w:rPr>
            </w:pPr>
            <w:r>
              <w:rPr>
                <w:rFonts w:ascii="Arial" w:cs="Arial" w:eastAsia="Arial" w:hAnsi="Arial"/>
                <w:sz w:val="22"/>
                <w:szCs w:val="22"/>
                <w:color w:val="auto"/>
              </w:rPr>
              <w:t>Name: Steven M. Hoffman</w:t>
            </w:r>
          </w:p>
        </w:tc>
      </w:tr>
      <w:tr>
        <w:trPr>
          <w:trHeight w:val="297"/>
        </w:trPr>
        <w:tc>
          <w:tcPr>
            <w:tcW w:w="940" w:type="dxa"/>
            <w:vAlign w:val="bottom"/>
          </w:tcPr>
          <w:p>
            <w:pPr>
              <w:spacing w:after="0"/>
              <w:rPr>
                <w:sz w:val="24"/>
                <w:szCs w:val="24"/>
                <w:color w:val="auto"/>
              </w:rPr>
            </w:pPr>
          </w:p>
        </w:tc>
        <w:tc>
          <w:tcPr>
            <w:tcW w:w="10280" w:type="dxa"/>
            <w:vAlign w:val="bottom"/>
            <w:gridSpan w:val="3"/>
          </w:tcPr>
          <w:p>
            <w:pPr>
              <w:ind w:left="2220"/>
              <w:spacing w:after="0"/>
              <w:rPr>
                <w:sz w:val="20"/>
                <w:szCs w:val="20"/>
                <w:color w:val="auto"/>
              </w:rPr>
            </w:pPr>
            <w:r>
              <w:rPr>
                <w:rFonts w:ascii="Arial" w:cs="Arial" w:eastAsia="Arial" w:hAnsi="Arial"/>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280" w:type="dxa"/>
            <w:vAlign w:val="bottom"/>
            <w:gridSpan w:val="3"/>
          </w:tcPr>
          <w:p>
            <w:pPr>
              <w:ind w:left="2220"/>
              <w:spacing w:after="0"/>
              <w:rPr>
                <w:sz w:val="20"/>
                <w:szCs w:val="20"/>
                <w:color w:val="auto"/>
              </w:rPr>
            </w:pPr>
            <w:r>
              <w:rPr>
                <w:rFonts w:ascii="Arial" w:cs="Arial" w:eastAsia="Arial" w:hAnsi="Arial"/>
                <w:sz w:val="22"/>
                <w:szCs w:val="22"/>
                <w:color w:val="auto"/>
              </w:rPr>
              <w:t>Date: December 12, 2016</w:t>
            </w:r>
          </w:p>
        </w:tc>
      </w:tr>
    </w:tbl>
    <w:p>
      <w:pPr>
        <w:spacing w:after="0" w:line="1" w:lineRule="exact"/>
        <w:rPr>
          <w:sz w:val="20"/>
          <w:szCs w:val="20"/>
          <w:color w:val="auto"/>
        </w:rPr>
      </w:pPr>
    </w:p>
    <w:sectPr>
      <w:pgSz w:w="11900" w:h="16838" w:orient="portrait"/>
      <w:cols w:equalWidth="0" w:num="1">
        <w:col w:w="11220"/>
      </w:cols>
      <w:pgMar w:left="320" w:top="1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2019-12-05T21:50:32Z</dcterms:created>
  <dcterms:modified xsi:type="dcterms:W3CDTF">2019-12-05T21:50:32Z</dcterms:modified>
</cp:coreProperties>
</file>