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54"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BAGLEY EDWARD D</w:t>
              </w:r>
            </w:hyperlink>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7"/>
          </w:tcPr>
          <w:p>
            <w:pPr>
              <w:ind w:left="80"/>
              <w:spacing w:after="0" w:line="18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CLEARONE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X</w:t>
            </w: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8"/>
            <w:vMerge w:val="continue"/>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2350 OAK HILL LANE</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0000FF"/>
              </w:rPr>
              <w:t>08/12/2016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2100" w:type="dxa"/>
            <w:vAlign w:val="bottom"/>
            <w:tcBorders>
              <w:bottom w:val="single" w:sz="8" w:color="2C2C2C"/>
            </w:tcBorders>
            <w:gridSpan w:val="4"/>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3740" w:type="dxa"/>
            <w:vAlign w:val="bottom"/>
            <w:gridSpan w:val="9"/>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35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UT</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84121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6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900" w:type="dxa"/>
            <w:vAlign w:val="bottom"/>
            <w:tcBorders>
              <w:top w:val="single" w:sz="8" w:color="2C2C2C"/>
            </w:tcBorders>
            <w:gridSpan w:val="18"/>
          </w:tcPr>
          <w:p>
            <w:pPr>
              <w:ind w:lef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11.22</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0000FF"/>
              </w:rPr>
              <w:t>08/12/2016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08/12/2026</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10,000</w:t>
            </w:r>
          </w:p>
        </w:tc>
        <w:tc>
          <w:tcPr>
            <w:tcW w:w="34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8"/>
        <w:spacing w:after="0" w:line="275"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options granted will vest on the first anniversary of the date of grant, which is August 12, 2017. The remaining options will vest in equal monthly increments over the subsequent 24-month period.</w:t>
      </w:r>
    </w:p>
    <w:p>
      <w:pPr>
        <w:spacing w:after="0" w:line="2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Edward D. Bagley</w:t>
            </w:r>
          </w:p>
        </w:tc>
        <w:tc>
          <w:tcPr>
            <w:tcW w:w="10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08/17/2016</w:t>
            </w:r>
          </w:p>
        </w:tc>
      </w:tr>
      <w:tr>
        <w:trPr>
          <w:trHeight w:val="23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897911"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2019-12-05T22:28:28Z</dcterms:created>
  <dcterms:modified xsi:type="dcterms:W3CDTF">2019-12-05T22:28:28Z</dcterms:modified>
</cp:coreProperties>
</file>