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14, 2017</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630"/>
              <w:spacing w:after="0"/>
              <w:rPr>
                <w:sz w:val="20"/>
                <w:szCs w:val="20"/>
                <w:color w:val="auto"/>
              </w:rPr>
            </w:pPr>
            <w:r>
              <w:rPr>
                <w:rFonts w:ascii="Arial" w:cs="Arial" w:eastAsia="Arial" w:hAnsi="Arial"/>
                <w:sz w:val="18"/>
                <w:szCs w:val="18"/>
                <w:b w:val="1"/>
                <w:bCs w:val="1"/>
                <w:color w:val="auto"/>
                <w:w w:val="94"/>
              </w:rPr>
              <w:t>Utah</w:t>
            </w:r>
          </w:p>
        </w:tc>
        <w:tc>
          <w:tcPr>
            <w:tcW w:w="3460" w:type="dxa"/>
            <w:vAlign w:val="bottom"/>
            <w:gridSpan w:val="4"/>
          </w:tcPr>
          <w:p>
            <w:pPr>
              <w:jc w:val="center"/>
              <w:ind w:left="2030"/>
              <w:spacing w:after="0"/>
              <w:rPr>
                <w:sz w:val="20"/>
                <w:szCs w:val="20"/>
                <w:color w:val="auto"/>
              </w:rPr>
            </w:pPr>
            <w:r>
              <w:rPr>
                <w:rFonts w:ascii="Arial" w:cs="Arial" w:eastAsia="Arial" w:hAnsi="Arial"/>
                <w:sz w:val="18"/>
                <w:szCs w:val="18"/>
                <w:b w:val="1"/>
                <w:bCs w:val="1"/>
                <w:color w:val="auto"/>
                <w:w w:val="90"/>
              </w:rPr>
              <w:t>001-33660</w:t>
            </w: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2940" w:type="dxa"/>
            <w:vAlign w:val="bottom"/>
            <w:tcBorders>
              <w:top w:val="single" w:sz="8" w:color="auto"/>
            </w:tcBorders>
          </w:tcPr>
          <w:p>
            <w:pPr>
              <w:jc w:val="center"/>
              <w:ind w:left="650"/>
              <w:spacing w:after="0" w:line="201" w:lineRule="exact"/>
              <w:rPr>
                <w:sz w:val="20"/>
                <w:szCs w:val="20"/>
                <w:color w:val="auto"/>
              </w:rPr>
            </w:pPr>
            <w:r>
              <w:rPr>
                <w:rFonts w:ascii="Arial" w:cs="Arial" w:eastAsia="Arial" w:hAnsi="Arial"/>
                <w:sz w:val="18"/>
                <w:szCs w:val="18"/>
                <w:color w:val="auto"/>
                <w:w w:val="91"/>
              </w:rPr>
              <w:t>(State or other jurisdiction</w:t>
            </w: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gridSpan w:val="2"/>
          </w:tcPr>
          <w:p>
            <w:pPr>
              <w:jc w:val="center"/>
              <w:ind w:right="114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420" w:type="dxa"/>
            <w:vAlign w:val="bottom"/>
            <w:tcBorders>
              <w:top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940" w:type="dxa"/>
            <w:vAlign w:val="bottom"/>
          </w:tcPr>
          <w:p>
            <w:pPr>
              <w:jc w:val="center"/>
              <w:ind w:left="650"/>
              <w:spacing w:after="0"/>
              <w:rPr>
                <w:sz w:val="20"/>
                <w:szCs w:val="20"/>
                <w:color w:val="auto"/>
              </w:rPr>
            </w:pPr>
            <w:r>
              <w:rPr>
                <w:rFonts w:ascii="Arial" w:cs="Arial" w:eastAsia="Arial" w:hAnsi="Arial"/>
                <w:sz w:val="18"/>
                <w:szCs w:val="18"/>
                <w:color w:val="auto"/>
                <w:w w:val="95"/>
              </w:rPr>
              <w:t>of incorporation)</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4"/>
              </w:rPr>
              <w:t>File Number)</w:t>
            </w:r>
          </w:p>
        </w:tc>
        <w:tc>
          <w:tcPr>
            <w:tcW w:w="220" w:type="dxa"/>
            <w:vAlign w:val="bottom"/>
          </w:tcPr>
          <w:p>
            <w:pPr>
              <w:spacing w:after="0"/>
              <w:rPr>
                <w:sz w:val="20"/>
                <w:szCs w:val="20"/>
                <w:color w:val="auto"/>
              </w:rPr>
            </w:pPr>
          </w:p>
        </w:tc>
        <w:tc>
          <w:tcPr>
            <w:tcW w:w="3420" w:type="dxa"/>
            <w:vAlign w:val="bottom"/>
          </w:tcPr>
          <w:p>
            <w:pPr>
              <w:jc w:val="center"/>
              <w:ind w:right="1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78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5225 Wiley Post Way, Suite 500</w:t>
            </w: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1"/>
        </w:trPr>
        <w:tc>
          <w:tcPr>
            <w:tcW w:w="2940" w:type="dxa"/>
            <w:vAlign w:val="bottom"/>
          </w:tcPr>
          <w:p>
            <w:pPr>
              <w:spacing w:after="0"/>
              <w:rPr>
                <w:sz w:val="20"/>
                <w:szCs w:val="20"/>
                <w:color w:val="auto"/>
              </w:rPr>
            </w:pPr>
          </w:p>
        </w:tc>
        <w:tc>
          <w:tcPr>
            <w:tcW w:w="4840" w:type="dxa"/>
            <w:vAlign w:val="bottom"/>
            <w:gridSpan w:val="6"/>
          </w:tcPr>
          <w:p>
            <w:pPr>
              <w:jc w:val="center"/>
              <w:ind w:right="2940"/>
              <w:spacing w:after="0"/>
              <w:rPr>
                <w:sz w:val="20"/>
                <w:szCs w:val="20"/>
                <w:color w:val="auto"/>
              </w:rPr>
            </w:pPr>
            <w:r>
              <w:rPr>
                <w:rFonts w:ascii="Arial" w:cs="Arial" w:eastAsia="Arial" w:hAnsi="Arial"/>
                <w:sz w:val="18"/>
                <w:szCs w:val="18"/>
                <w:b w:val="1"/>
                <w:bCs w:val="1"/>
                <w:color w:val="auto"/>
                <w:w w:val="93"/>
              </w:rPr>
              <w:t>Salt Lake City, Utah</w:t>
            </w:r>
          </w:p>
        </w:tc>
        <w:tc>
          <w:tcPr>
            <w:tcW w:w="3640" w:type="dxa"/>
            <w:vAlign w:val="bottom"/>
            <w:gridSpan w:val="2"/>
          </w:tcPr>
          <w:p>
            <w:pPr>
              <w:jc w:val="right"/>
              <w:ind w:right="1390"/>
              <w:spacing w:after="0"/>
              <w:rPr>
                <w:sz w:val="20"/>
                <w:szCs w:val="20"/>
                <w:color w:val="auto"/>
              </w:rPr>
            </w:pPr>
            <w:r>
              <w:rPr>
                <w:rFonts w:ascii="Arial" w:cs="Arial" w:eastAsia="Arial" w:hAnsi="Arial"/>
                <w:sz w:val="18"/>
                <w:szCs w:val="18"/>
                <w:b w:val="1"/>
                <w:bCs w:val="1"/>
                <w:color w:val="auto"/>
              </w:rPr>
              <w:t>84116</w:t>
            </w:r>
          </w:p>
        </w:tc>
      </w:tr>
      <w:tr>
        <w:trPr>
          <w:trHeight w:val="230"/>
        </w:trPr>
        <w:tc>
          <w:tcPr>
            <w:tcW w:w="778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377"/>
        </w:trPr>
        <w:tc>
          <w:tcPr>
            <w:tcW w:w="2940" w:type="dxa"/>
            <w:vAlign w:val="bottom"/>
          </w:tcPr>
          <w:p>
            <w:pPr>
              <w:spacing w:after="0"/>
              <w:rPr>
                <w:sz w:val="24"/>
                <w:szCs w:val="24"/>
                <w:color w:val="auto"/>
              </w:rPr>
            </w:pPr>
          </w:p>
        </w:tc>
        <w:tc>
          <w:tcPr>
            <w:tcW w:w="3460" w:type="dxa"/>
            <w:vAlign w:val="bottom"/>
            <w:gridSpan w:val="4"/>
          </w:tcPr>
          <w:p>
            <w:pPr>
              <w:jc w:val="center"/>
              <w:ind w:left="2010"/>
              <w:spacing w:after="0"/>
              <w:rPr>
                <w:sz w:val="20"/>
                <w:szCs w:val="20"/>
                <w:color w:val="auto"/>
              </w:rPr>
            </w:pPr>
            <w:r>
              <w:rPr>
                <w:rFonts w:ascii="Arial" w:cs="Arial" w:eastAsia="Arial" w:hAnsi="Arial"/>
                <w:sz w:val="18"/>
                <w:szCs w:val="18"/>
                <w:b w:val="1"/>
                <w:bCs w:val="1"/>
                <w:color w:val="auto"/>
                <w:w w:val="91"/>
              </w:rPr>
              <w:t>+1 (801) 975-7200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2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2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120" w:type="dxa"/>
            <w:vAlign w:val="bottom"/>
            <w:gridSpan w:val="5"/>
          </w:tcPr>
          <w:p>
            <w:pPr>
              <w:jc w:val="center"/>
              <w:spacing w:after="0"/>
              <w:rPr>
                <w:sz w:val="20"/>
                <w:szCs w:val="20"/>
                <w:color w:val="auto"/>
              </w:rPr>
            </w:pPr>
            <w:r>
              <w:rPr>
                <w:rFonts w:ascii="Arial" w:cs="Arial" w:eastAsia="Arial" w:hAnsi="Arial"/>
                <w:sz w:val="18"/>
                <w:szCs w:val="18"/>
                <w:color w:val="auto"/>
                <w:w w:val="91"/>
              </w:rPr>
              <w:t>(Registrant’s Telephone Number, Including Area Code)</w:t>
            </w: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14, 2017, ClearOne, Inc. (the “Company”) issued a press release announcing its financial results for the three and twelve months ended December 31, 2016.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14, 2017, the Company announced that the Company’s Board of Directors has renewed and extended the Company’s stock repurchase program for up to an additional $10 million of the Company’s outstanding shares of common stock over the next twelve months ending on March 8, 2018. Under the program, repurchases may be made from time to time in open market or privately negotiated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dated March 14, 2017 titled “ClearOne Reports Fourth Quarter and Full-Year 2016 Financial Results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March 14, 2017</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280"/>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43685"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Reports Fourth Quarter and Full-Year 2016 Financial Results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Grows Video Products Revenue 40% Year-over-Year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Began Shipping Next-Gen Flagship Pro Audio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Increases Dividend; Renews and Extends Stock Repurchase Plans Reiterating Commitment to Shareholder Value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SALT LAKE CITY, UTAH – March 14, 2017 – ClearOne (NASDAQ: CLRO), a global provider of audio and visual communication solutions, reported financial results for the three and twelve months ended December 31, 2016.</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underlying fundamentals held strong and set the stage for a better 2017; however, in the fourth quarter, several factors continued to negatively impact our financial results,” said Zee Hakimoglu, president and chief executive officer. “The transition to our next generation professional audio conferencing</w:t>
      </w:r>
    </w:p>
    <w:p>
      <w:pPr>
        <w:jc w:val="both"/>
        <w:spacing w:after="0" w:line="224" w:lineRule="auto"/>
        <w:rPr>
          <w:sz w:val="20"/>
          <w:szCs w:val="20"/>
          <w:color w:val="auto"/>
        </w:rPr>
      </w:pPr>
      <w:r>
        <w:rPr>
          <w:rFonts w:ascii="Arial" w:cs="Arial" w:eastAsia="Arial" w:hAnsi="Arial"/>
          <w:sz w:val="18"/>
          <w:szCs w:val="18"/>
          <w:color w:val="auto"/>
        </w:rPr>
        <w:t>platform has taken longer than projected. To stimulate customer interest and sales in the current generation products, we reduced pricing on the Converge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 1. While we successfully spurred sales, revenue was still lower than prior periods and it negatively impacted gross margin. An overall weak global economy, including pressures caused by an uncertain political climate in Europe and the U.S. elections, further aggravated infrastructure and capital equipment spending and dampened our 2016 fourth quarter sales.”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however, pleased to report our efforts in video products contributed over $5 million in revenue and grew 40% year-over-year. In fact, video posted double digit year-over-year revenue growth for the ninth quarter out of the ten most recent. Also, while we began shipping a limited number of SKUs of Converge Pro 2 in the fourth quarter, we are now shipping all 10 SKUs of the new audio platform as well as our award-winning Beamforming Microphone Array 2.”</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“Looking ahead, we are building positive momentum in the first quarter of 2017. Already our revenue including backlog is tracking to the first quarter of 2016 and revenue from the new audio platform is well ahead of fourth quarter revenue. We believe the transition to our new audio platform is gaining traction. Our highly scalable and cost-effective audio, video conferencing and collaboration, and network media streaming products extend our addressable market to more workspaces and more businesses worldwide. To accelerate momentum in the market in 2017, we are focused on broadening our sales and marketing initiatives and activities. We are confident in ClearOne’s business and long-term positive prospects, as is our board of directors. In March 2017, the board increased the quarterly dividend by $0.02 per share to $0.07 per share as well as extended our stock repurchase program to $10 million over the next twelve months. These actions reiterate our commitment to creating long-term shareholder value,” concluded Hakimoglu.</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225" w:lineRule="exact"/>
        <w:rPr>
          <w:sz w:val="20"/>
          <w:szCs w:val="20"/>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Q4’16 revenue was $10.7 million, compared to $14.3 million in Q4’15. The year-over-year reduction reflects the transition to the next generation professional audio conferencing platform launched in June 2016, price reductions to Converge Pro 1 products and the weaknesses in capital expenditure spending in U.S. and other major markets.</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in Q4’16 was $5.7 million, as compared to $9.1 million in Q4’15. Gross profit margin declined to 53% in Q4’16 from 64% in Q4’15, caused mainly by price reductions, increased overhead absorption due to reduction in inventory and scrapping of inventory related to wireless mics production transition. Non-GAAP gross profit margin was 55% in Q4’16 compared to 64% in Q4’15.</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in Q4’16 were $6.8 million, compared to $6.5 million in Q4’15.</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in Q4’16 was $1.1 million, or $0.12 per diluted share, compared to net income of $1.6 million in Q4’15, or $0.16 per diluted share. Non-GAAP net loss was $0.2 million in Q4’16, or $0.02 per diluted share, compared to $2.3 million in Q4’15, or $0.24 per diluted share.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5"/>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 in 000, except per share)</w:t>
            </w:r>
          </w:p>
        </w:tc>
        <w:tc>
          <w:tcPr>
            <w:tcW w:w="200" w:type="dxa"/>
            <w:vAlign w:val="bottom"/>
          </w:tcPr>
          <w:p>
            <w:pPr>
              <w:spacing w:after="0"/>
              <w:rPr>
                <w:sz w:val="22"/>
                <w:szCs w:val="22"/>
                <w:color w:val="auto"/>
              </w:rPr>
            </w:pPr>
          </w:p>
        </w:tc>
        <w:tc>
          <w:tcPr>
            <w:tcW w:w="346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89"/>
              </w:rPr>
              <w:t>Three months ended December 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3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88"/>
              </w:rPr>
              <w:t>Twelve months ended December 31,</w:t>
            </w:r>
          </w:p>
        </w:tc>
      </w:tr>
      <w:tr>
        <w:trPr>
          <w:trHeight w:val="237"/>
        </w:trPr>
        <w:tc>
          <w:tcPr>
            <w:tcW w:w="20" w:type="dxa"/>
            <w:vAlign w:val="bottom"/>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0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8"/>
                <w:szCs w:val="18"/>
                <w:b w:val="1"/>
                <w:bCs w:val="1"/>
                <w:color w:val="auto"/>
                <w:w w:val="92"/>
              </w:rPr>
              <w:t>GAAP</w:t>
            </w:r>
          </w:p>
        </w:tc>
        <w:tc>
          <w:tcPr>
            <w:tcW w:w="36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10,730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14,283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48,637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57,796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29,487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36,719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2,562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3,566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10,262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6,776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Earnings (Loss) Per Share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0.16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0.71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Non-GAAP</w:t>
            </w:r>
          </w:p>
        </w:tc>
        <w:tc>
          <w:tcPr>
            <w:tcW w:w="3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Non-GAAP Gross Profit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5,909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9,084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30,007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36,740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13,282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Non-GAAP 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2,289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4,994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8,715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14,379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Non-GAAP Earnings (Loss) per share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0.24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0.91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2016 Financial Results as compared to 2015</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twelve months ended December 31, 2016, revenue was $48.7 million, compared to $57.8 million in 2015, reflecting a reduced demand for our products across most regions except parts of Asia. Net income was $2.4 million, or $0.26 per diluted share, compared to $6.8 million, or $0.71 per diluted share. Non-GAAP net income was $5.0 million, or $0.53 per diluted share, compared to $8.7 million, or $0.91 per diluted share. Non-GAAP Adjusted EBITDA was $8.6 million, compared to $14.4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Investment in Shareholder Value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2016, the Company paid a cash dividend of $0.05 per share and repurchased approximately 86,000 shares amounting to $0.9 million under its $10 million stock repurchase program announced in March 2016. As of Dec. 31, 2016, the Company has acquired approximately 542,000 shares amounting to $6.1 million under the stock repurchase program. The Company intends to continue to repurchase shares of its common stock, and in March 2017 the Company renewed and extended its stock repurchase program for up to an additional $10 million in the open market, subject to price, volume and other safe harbor restrictions over the next twelve months. After payments totaling $1.8 million for the dividend and stock and option repurchases during 2016, cash, cash equivalents and investments were $38.5 million at Dec. 31, 2016, as compared with $39.8 million at December 31, 2015. The Company continued to have no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ClearOne senior management will host an investor conference call today, March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at 11:30 a.m. Eastern Time to review the company’s financial results. The conference call will be available to interested parties by dialing +1-877-369-6586 (domestic) or +1-253-237-1165 (international). The conference ID is 73865177. The call will also be available through a live, listen-only audio Internet broadcast at </w:t>
      </w:r>
      <w:r>
        <w:rPr>
          <w:rFonts w:ascii="Arial" w:cs="Arial" w:eastAsia="Arial" w:hAnsi="Arial"/>
          <w:sz w:val="16"/>
          <w:szCs w:val="16"/>
          <w:u w:val="single" w:color="auto"/>
          <w:color w:val="auto"/>
        </w:rPr>
        <w:t>http://investors.clearone.com/events.cfm</w:t>
      </w:r>
      <w:r>
        <w:rPr>
          <w:rFonts w:ascii="Arial" w:cs="Arial" w:eastAsia="Arial" w:hAnsi="Arial"/>
          <w:sz w:val="16"/>
          <w:szCs w:val="16"/>
          <w:color w:val="auto"/>
        </w:rPr>
        <w:t>. For those who are not available to listen to the live broadcast, the call will be archived on the same web site for at least three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&amp; signage solutions for voice and visual communications. The performance and simplicity of its advanced comprehensive solutions offer unprecedented levels of functionality, reliability and scalability. More information about the Company can be found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In particular, the financial information contained herein is subject to and qualified by reference to the financial statements contained in the 10-K, the footnotes thereto and the limitations set forth therein. Investors may not rely on the press release without reference to the 10-K and the Public Filings.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As at</w:t>
            </w:r>
          </w:p>
        </w:tc>
        <w:tc>
          <w:tcPr>
            <w:tcW w:w="1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3"/>
              </w:rPr>
              <w:t>December 31, 2016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 2015</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7,161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$187 and $54, respectively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11,377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13,447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2,642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1,806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21,365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19,204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1,513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12,724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12,724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3,545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2,815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3,882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4,549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Deferred rent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80" w:type="dxa"/>
            <w:vAlign w:val="bottom"/>
            <w:gridSpan w:val="2"/>
          </w:tcPr>
          <w:p>
            <w:pPr>
              <w:spacing w:after="0" w:line="203" w:lineRule="exact"/>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10,675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line="203" w:lineRule="exact"/>
              <w:rPr>
                <w:sz w:val="20"/>
                <w:szCs w:val="20"/>
                <w:color w:val="auto"/>
              </w:rPr>
            </w:pPr>
            <w:r>
              <w:rPr>
                <w:rFonts w:ascii="Arial" w:cs="Arial" w:eastAsia="Arial" w:hAnsi="Arial"/>
                <w:sz w:val="18"/>
                <w:szCs w:val="18"/>
                <w:color w:val="auto"/>
              </w:rPr>
              <w:t>10,960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par value $0.001, 50,000,000 shares authorized, 8,812,644 and 9,183,957</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and outstanding</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46,669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46,291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30,976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36,435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82,569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3" w:lineRule="exact"/>
              <w:rPr>
                <w:sz w:val="20"/>
                <w:szCs w:val="20"/>
                <w:color w:val="auto"/>
              </w:rPr>
            </w:pPr>
            <w:r>
              <w:rPr>
                <w:rFonts w:ascii="Arial" w:cs="Arial" w:eastAsia="Arial" w:hAnsi="Arial"/>
                <w:sz w:val="18"/>
                <w:szCs w:val="18"/>
                <w:color w:val="auto"/>
              </w:rPr>
              <w:t>Total liabilities and shareholders' equity</w:t>
            </w:r>
          </w:p>
        </w:tc>
        <w:tc>
          <w:tcPr>
            <w:tcW w:w="32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88,124</w:t>
            </w: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93,529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 December 31,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gridSpan w:val="6"/>
          </w:tcPr>
          <w:p>
            <w:pPr>
              <w:ind w:left="4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5,040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5,204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19,150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21,077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2,337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10,032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2,421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7,325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(loss) before income taxes</w:t>
            </w: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(1,033)</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2,607</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3,878</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10,551</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1,434</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16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6,776</w:t>
            </w:r>
          </w:p>
        </w:tc>
        <w:tc>
          <w:tcPr>
            <w:tcW w:w="12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8,860,186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9,149,524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9,021,980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9,127,385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8"/>
              </w:rPr>
              <w:t>Diluted weighted average shares outstanding</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9,089,930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9,641,623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9,416,085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5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4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5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0.26</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(1,088)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2,444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661" w:right="239" w:bottom="1440" w:gutter="0" w:footer="0" w:header="0"/>
        </w:sectPr>
      </w:pPr>
    </w:p>
    <w:p>
      <w:pPr>
        <w:spacing w:after="0"/>
        <w:rPr>
          <w:sz w:val="20"/>
          <w:szCs w:val="20"/>
          <w:color w:val="auto"/>
        </w:rPr>
      </w:pPr>
      <w:r>
        <w:rPr>
          <w:rFonts w:ascii="Arial" w:cs="Arial" w:eastAsia="Arial" w:hAnsi="Arial"/>
          <w:sz w:val="18"/>
          <w:szCs w:val="18"/>
          <w:color w:val="auto"/>
        </w:rPr>
        <w:t>Comprehensive income:</w:t>
      </w:r>
    </w:p>
    <w:p>
      <w:pPr>
        <w:spacing w:after="0" w:line="9" w:lineRule="exact"/>
        <w:rPr>
          <w:sz w:val="20"/>
          <w:szCs w:val="20"/>
          <w:color w:val="auto"/>
        </w:rPr>
      </w:pPr>
    </w:p>
    <w:p>
      <w:pPr>
        <w:ind w:left="180"/>
        <w:spacing w:after="0" w:line="250" w:lineRule="auto"/>
        <w:rPr>
          <w:sz w:val="20"/>
          <w:szCs w:val="20"/>
          <w:color w:val="auto"/>
        </w:rPr>
      </w:pPr>
      <w:r>
        <w:rPr>
          <w:rFonts w:ascii="Arial" w:cs="Arial" w:eastAsia="Arial" w:hAnsi="Arial"/>
          <w:sz w:val="18"/>
          <w:szCs w:val="18"/>
          <w:color w:val="auto"/>
        </w:rPr>
        <w:t>Unrealized gain (loss) on available-for-sale securities, net of tax</w:t>
      </w:r>
    </w:p>
    <w:p>
      <w:pPr>
        <w:spacing w:after="0" w:line="1" w:lineRule="exact"/>
        <w:rPr>
          <w:sz w:val="20"/>
          <w:szCs w:val="20"/>
          <w:color w:val="auto"/>
        </w:rPr>
      </w:pPr>
    </w:p>
    <w:p>
      <w:pPr>
        <w:ind w:left="180" w:right="340"/>
        <w:spacing w:after="0" w:line="257" w:lineRule="auto"/>
        <w:rPr>
          <w:sz w:val="20"/>
          <w:szCs w:val="20"/>
          <w:color w:val="auto"/>
        </w:rPr>
      </w:pPr>
      <w:r>
        <w:rPr>
          <w:rFonts w:ascii="Arial" w:cs="Arial" w:eastAsia="Arial" w:hAnsi="Arial"/>
          <w:sz w:val="18"/>
          <w:szCs w:val="18"/>
          <w:color w:val="auto"/>
        </w:rPr>
        <w:t>Change in foreign currency translation adjustment</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Comprehensive income (loss)</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453"/>
        </w:trPr>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3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34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6,618</w:t>
            </w:r>
          </w:p>
        </w:tc>
        <w:tc>
          <w:tcPr>
            <w:tcW w:w="60" w:type="dxa"/>
            <w:vAlign w:val="bottom"/>
          </w:tcPr>
          <w:p>
            <w:pPr>
              <w:spacing w:after="0"/>
              <w:rPr>
                <w:sz w:val="19"/>
                <w:szCs w:val="19"/>
                <w:color w:val="auto"/>
              </w:rPr>
            </w:pP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-745490</wp:posOffset>
            </wp:positionV>
            <wp:extent cx="72466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-179705</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620"/>
            <w:col w:w="7500"/>
          </w:cols>
          <w:pgMar w:left="240" w:top="661"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3"/>
              </w:rPr>
              <w:t>Three months ended December 31,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37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GAAP gross profit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760" w:type="dxa"/>
            <w:vAlign w:val="bottom"/>
          </w:tcPr>
          <w:p>
            <w:pPr>
              <w:ind w:left="40"/>
              <w:spacing w:after="0" w:line="201" w:lineRule="exact"/>
              <w:rPr>
                <w:sz w:val="20"/>
                <w:szCs w:val="20"/>
                <w:color w:val="auto"/>
              </w:rPr>
            </w:pPr>
            <w:r>
              <w:rPr>
                <w:rFonts w:ascii="Arial" w:cs="Arial" w:eastAsia="Arial" w:hAnsi="Arial"/>
                <w:sz w:val="18"/>
                <w:szCs w:val="18"/>
                <w:color w:val="auto"/>
                <w:w w:val="94"/>
              </w:rPr>
              <w:t>Inventory scrap related to wireless manufacturing</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60" w:type="dxa"/>
            <w:vAlign w:val="bottom"/>
          </w:tcPr>
          <w:p>
            <w:pPr>
              <w:ind w:left="40"/>
              <w:spacing w:after="0"/>
              <w:rPr>
                <w:sz w:val="20"/>
                <w:szCs w:val="20"/>
                <w:color w:val="auto"/>
              </w:rPr>
            </w:pPr>
            <w:r>
              <w:rPr>
                <w:rFonts w:ascii="Arial" w:cs="Arial" w:eastAsia="Arial" w:hAnsi="Arial"/>
                <w:sz w:val="18"/>
                <w:szCs w:val="18"/>
                <w:color w:val="auto"/>
              </w:rPr>
              <w:t>move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3760" w:type="dxa"/>
            <w:vAlign w:val="bottom"/>
            <w:tcBorders>
              <w:top w:val="single" w:sz="8" w:color="CCEEFF"/>
              <w:bottom w:val="single" w:sz="8" w:color="CCEEFF"/>
            </w:tcBorders>
          </w:tcPr>
          <w:p>
            <w:pPr>
              <w:ind w:left="40"/>
              <w:spacing w:after="0" w:line="203" w:lineRule="exact"/>
              <w:rPr>
                <w:sz w:val="20"/>
                <w:szCs w:val="20"/>
                <w:color w:val="auto"/>
              </w:rPr>
            </w:pPr>
            <w:r>
              <w:rPr>
                <w:rFonts w:ascii="Arial" w:cs="Arial" w:eastAsia="Arial" w:hAnsi="Arial"/>
                <w:sz w:val="18"/>
                <w:szCs w:val="18"/>
                <w:b w:val="1"/>
                <w:bCs w:val="1"/>
                <w:color w:val="auto"/>
              </w:rPr>
              <w:t>Non-GAAP gross profit</w:t>
            </w:r>
          </w:p>
        </w:tc>
        <w:tc>
          <w:tcPr>
            <w:tcW w:w="1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5,909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9,084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30,007</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36,740</w:t>
            </w: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GAAP operating income (loss)</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(1,151)</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2,562</w:t>
            </w:r>
          </w:p>
        </w:tc>
        <w:tc>
          <w:tcPr>
            <w:tcW w:w="200" w:type="dxa"/>
            <w:vAlign w:val="bottom"/>
          </w:tcPr>
          <w:p>
            <w:pPr>
              <w:spacing w:after="0"/>
              <w:rPr>
                <w:sz w:val="18"/>
                <w:szCs w:val="18"/>
                <w:color w:val="auto"/>
              </w:rPr>
            </w:pP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3,566</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18"/>
                <w:szCs w:val="18"/>
                <w:color w:val="auto"/>
              </w:rPr>
            </w:pPr>
          </w:p>
        </w:tc>
      </w:tr>
      <w:tr>
        <w:trPr>
          <w:trHeight w:val="202"/>
        </w:trPr>
        <w:tc>
          <w:tcPr>
            <w:tcW w:w="37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4"/>
              </w:rPr>
              <w:t>Inventory scrap related to wireless manufacturing</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move</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494</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7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760" w:type="dxa"/>
            <w:vAlign w:val="bottom"/>
          </w:tcPr>
          <w:p>
            <w:pPr>
              <w:ind w:left="40"/>
              <w:spacing w:after="0" w:line="201" w:lineRule="exact"/>
              <w:rPr>
                <w:sz w:val="20"/>
                <w:szCs w:val="20"/>
                <w:color w:val="auto"/>
              </w:rPr>
            </w:pPr>
            <w:r>
              <w:rPr>
                <w:rFonts w:ascii="Arial" w:cs="Arial" w:eastAsia="Arial" w:hAnsi="Arial"/>
                <w:sz w:val="18"/>
                <w:szCs w:val="18"/>
                <w:color w:val="auto"/>
                <w:w w:val="98"/>
              </w:rPr>
              <w:t>Legal expenses, acquisition expenses, re-audit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60" w:type="dxa"/>
            <w:vAlign w:val="bottom"/>
          </w:tcPr>
          <w:p>
            <w:pPr>
              <w:ind w:left="40"/>
              <w:spacing w:after="0"/>
              <w:rPr>
                <w:sz w:val="20"/>
                <w:szCs w:val="20"/>
                <w:color w:val="auto"/>
              </w:rPr>
            </w:pPr>
            <w:r>
              <w:rPr>
                <w:rFonts w:ascii="Arial" w:cs="Arial" w:eastAsia="Arial" w:hAnsi="Arial"/>
                <w:sz w:val="18"/>
                <w:szCs w:val="18"/>
                <w:color w:val="auto"/>
                <w:w w:val="92"/>
              </w:rPr>
              <w:t>expenses, restructuring expenses, etc. not related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3760" w:type="dxa"/>
            <w:vAlign w:val="bottom"/>
          </w:tcPr>
          <w:p>
            <w:pPr>
              <w:ind w:left="40"/>
              <w:spacing w:after="0"/>
              <w:rPr>
                <w:sz w:val="20"/>
                <w:szCs w:val="20"/>
                <w:color w:val="auto"/>
              </w:rPr>
            </w:pPr>
            <w:r>
              <w:rPr>
                <w:rFonts w:ascii="Arial" w:cs="Arial" w:eastAsia="Arial" w:hAnsi="Arial"/>
                <w:sz w:val="18"/>
                <w:szCs w:val="18"/>
                <w:color w:val="auto"/>
              </w:rPr>
              <w:t>to regular operations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1,131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584</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r>
      <w:tr>
        <w:trPr>
          <w:trHeight w:val="223"/>
        </w:trPr>
        <w:tc>
          <w:tcPr>
            <w:tcW w:w="3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Non-GAAP operating income</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GAAP net income (loss)</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(1,088)</w:t>
            </w:r>
          </w:p>
        </w:tc>
        <w:tc>
          <w:tcPr>
            <w:tcW w:w="4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2,444</w:t>
            </w:r>
          </w:p>
        </w:tc>
        <w:tc>
          <w:tcPr>
            <w:tcW w:w="3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760" w:type="dxa"/>
            <w:vAlign w:val="bottom"/>
          </w:tcPr>
          <w:p>
            <w:pPr>
              <w:ind w:left="40"/>
              <w:spacing w:after="0" w:line="201" w:lineRule="exact"/>
              <w:rPr>
                <w:sz w:val="20"/>
                <w:szCs w:val="20"/>
                <w:color w:val="auto"/>
              </w:rPr>
            </w:pPr>
            <w:r>
              <w:rPr>
                <w:rFonts w:ascii="Arial" w:cs="Arial" w:eastAsia="Arial" w:hAnsi="Arial"/>
                <w:sz w:val="18"/>
                <w:szCs w:val="18"/>
                <w:color w:val="auto"/>
                <w:w w:val="94"/>
              </w:rPr>
              <w:t>Inventory scrap related to wireless manufacturing</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60" w:type="dxa"/>
            <w:vAlign w:val="bottom"/>
          </w:tcPr>
          <w:p>
            <w:pPr>
              <w:ind w:left="40"/>
              <w:spacing w:after="0"/>
              <w:rPr>
                <w:sz w:val="20"/>
                <w:szCs w:val="20"/>
                <w:color w:val="auto"/>
              </w:rPr>
            </w:pPr>
            <w:r>
              <w:rPr>
                <w:rFonts w:ascii="Arial" w:cs="Arial" w:eastAsia="Arial" w:hAnsi="Arial"/>
                <w:sz w:val="18"/>
                <w:szCs w:val="18"/>
                <w:color w:val="auto"/>
              </w:rPr>
              <w:t>move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8"/>
              </w:rPr>
              <w:t>Legal expenses, acquisition expenses, re-audit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expenses, restructuring expenses, etc. not related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 regular operations</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1,131</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1,711</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20"/>
                <w:szCs w:val="20"/>
                <w:color w:val="auto"/>
              </w:rPr>
            </w:pPr>
          </w:p>
        </w:tc>
      </w:tr>
      <w:tr>
        <w:trPr>
          <w:trHeight w:val="202"/>
        </w:trPr>
        <w:tc>
          <w:tcPr>
            <w:tcW w:w="3760" w:type="dxa"/>
            <w:vAlign w:val="bottom"/>
          </w:tcPr>
          <w:p>
            <w:pPr>
              <w:ind w:left="40"/>
              <w:spacing w:after="0" w:line="201" w:lineRule="exact"/>
              <w:rPr>
                <w:sz w:val="20"/>
                <w:szCs w:val="20"/>
                <w:color w:val="auto"/>
              </w:rPr>
            </w:pPr>
            <w:r>
              <w:rPr>
                <w:rFonts w:ascii="Arial" w:cs="Arial" w:eastAsia="Arial" w:hAnsi="Arial"/>
                <w:sz w:val="18"/>
                <w:szCs w:val="18"/>
                <w:color w:val="auto"/>
              </w:rPr>
              <w:t>Loss on disposal of assets related to wireless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60" w:type="dxa"/>
            <w:vAlign w:val="bottom"/>
          </w:tcPr>
          <w:p>
            <w:pPr>
              <w:ind w:left="40"/>
              <w:spacing w:after="0"/>
              <w:rPr>
                <w:sz w:val="20"/>
                <w:szCs w:val="20"/>
                <w:color w:val="auto"/>
              </w:rPr>
            </w:pPr>
            <w:r>
              <w:rPr>
                <w:rFonts w:ascii="Arial" w:cs="Arial" w:eastAsia="Arial" w:hAnsi="Arial"/>
                <w:sz w:val="18"/>
                <w:szCs w:val="18"/>
                <w:color w:val="auto"/>
              </w:rPr>
              <w:t>microphones manufacturing</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effect of non-GAAP adjustments</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(1,497)</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(1,081)</w:t>
            </w:r>
          </w:p>
        </w:tc>
      </w:tr>
      <w:tr>
        <w:trPr>
          <w:trHeight w:val="210"/>
        </w:trPr>
        <w:tc>
          <w:tcPr>
            <w:tcW w:w="3760" w:type="dxa"/>
            <w:vAlign w:val="bottom"/>
            <w:tcBorders>
              <w:top w:val="single" w:sz="8" w:color="CCEEFF"/>
              <w:bottom w:val="single" w:sz="8" w:color="CCEEFF"/>
            </w:tcBorders>
          </w:tcPr>
          <w:p>
            <w:pPr>
              <w:ind w:left="40"/>
              <w:spacing w:after="0" w:line="203" w:lineRule="exact"/>
              <w:rPr>
                <w:sz w:val="20"/>
                <w:szCs w:val="20"/>
                <w:color w:val="auto"/>
              </w:rPr>
            </w:pPr>
            <w:r>
              <w:rPr>
                <w:rFonts w:ascii="Arial" w:cs="Arial" w:eastAsia="Arial" w:hAnsi="Arial"/>
                <w:sz w:val="18"/>
                <w:szCs w:val="18"/>
                <w:b w:val="1"/>
                <w:bCs w:val="1"/>
                <w:color w:val="auto"/>
              </w:rPr>
              <w:t>Non-GAAP net income (loss)</w:t>
            </w:r>
          </w:p>
        </w:tc>
        <w:tc>
          <w:tcPr>
            <w:tcW w:w="1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4,994</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8,715</w:t>
            </w: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40"/>
              <w:spacing w:after="0"/>
              <w:rPr>
                <w:sz w:val="20"/>
                <w:szCs w:val="20"/>
                <w:color w:val="auto"/>
              </w:rPr>
            </w:pPr>
            <w:r>
              <w:rPr>
                <w:rFonts w:ascii="Arial" w:cs="Arial" w:eastAsia="Arial" w:hAnsi="Arial"/>
                <w:sz w:val="18"/>
                <w:szCs w:val="18"/>
                <w:color w:val="auto"/>
              </w:rPr>
              <w:t>GAAP net income (loss)</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(1,088)</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1,572</w:t>
            </w:r>
          </w:p>
        </w:tc>
        <w:tc>
          <w:tcPr>
            <w:tcW w:w="200" w:type="dxa"/>
            <w:vAlign w:val="bottom"/>
          </w:tcPr>
          <w:p>
            <w:pPr>
              <w:spacing w:after="0"/>
              <w:rPr>
                <w:sz w:val="18"/>
                <w:szCs w:val="18"/>
                <w:color w:val="auto"/>
              </w:rPr>
            </w:pP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2,444</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Number of shares used in computing GAAP</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per share (diluted)</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9,089,930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9,641,623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9,416,085</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9,594,659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GAAP income (loss) per share (diluted)</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0.26</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0"/>
                <w:szCs w:val="20"/>
                <w:color w:val="auto"/>
              </w:rPr>
            </w:pPr>
          </w:p>
        </w:tc>
      </w:tr>
      <w:tr>
        <w:trPr>
          <w:trHeight w:val="216"/>
        </w:trPr>
        <w:tc>
          <w:tcPr>
            <w:tcW w:w="3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ind w:left="40"/>
              <w:spacing w:after="0"/>
              <w:rPr>
                <w:sz w:val="20"/>
                <w:szCs w:val="20"/>
                <w:color w:val="auto"/>
              </w:rPr>
            </w:pPr>
            <w:r>
              <w:rPr>
                <w:rFonts w:ascii="Arial" w:cs="Arial" w:eastAsia="Arial" w:hAnsi="Arial"/>
                <w:sz w:val="18"/>
                <w:szCs w:val="18"/>
                <w:color w:val="auto"/>
              </w:rPr>
              <w:t>Non-GAAP net income (loss)</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2,289</w:t>
            </w:r>
          </w:p>
        </w:tc>
        <w:tc>
          <w:tcPr>
            <w:tcW w:w="200" w:type="dxa"/>
            <w:vAlign w:val="bottom"/>
          </w:tcPr>
          <w:p>
            <w:pPr>
              <w:spacing w:after="0"/>
              <w:rPr>
                <w:sz w:val="18"/>
                <w:szCs w:val="18"/>
                <w:color w:val="auto"/>
              </w:rPr>
            </w:pP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4,994</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5"/>
              </w:rPr>
              <w:t>Number of shares used in computing Non-GAAP</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per share (diluted)</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9,089,930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9,641,623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9,416,085</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9,594,659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8"/>
                <w:szCs w:val="18"/>
                <w:b w:val="1"/>
                <w:bCs w:val="1"/>
                <w:color w:val="auto"/>
                <w:w w:val="98"/>
              </w:rPr>
              <w:t>Non-GAAP income (loss) per share (diluted)</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0.53</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0"/>
                <w:szCs w:val="20"/>
                <w:color w:val="auto"/>
              </w:rPr>
            </w:pPr>
          </w:p>
        </w:tc>
      </w:tr>
      <w:tr>
        <w:trPr>
          <w:trHeight w:val="216"/>
        </w:trPr>
        <w:tc>
          <w:tcPr>
            <w:tcW w:w="3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GAAP total net income (loss)</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(1,088)</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1,572</w:t>
            </w:r>
          </w:p>
        </w:tc>
        <w:tc>
          <w:tcPr>
            <w:tcW w:w="200" w:type="dxa"/>
            <w:vAlign w:val="bottom"/>
          </w:tcPr>
          <w:p>
            <w:pPr>
              <w:spacing w:after="0"/>
              <w:rPr>
                <w:sz w:val="18"/>
                <w:szCs w:val="18"/>
                <w:color w:val="auto"/>
              </w:rPr>
            </w:pP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2,444</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4"/>
              </w:rPr>
              <w:t>Inventory scrap related to wireless manufacturing</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move</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494</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7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Legal expenses, acquisition expenses, re-audit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restructuring expenses, etc. not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regular operations</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1,131</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1,711</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20"/>
                <w:szCs w:val="20"/>
                <w:color w:val="auto"/>
              </w:rPr>
            </w:pPr>
          </w:p>
        </w:tc>
      </w:tr>
      <w:tr>
        <w:trPr>
          <w:trHeight w:val="202"/>
        </w:trPr>
        <w:tc>
          <w:tcPr>
            <w:tcW w:w="3760" w:type="dxa"/>
            <w:vAlign w:val="bottom"/>
          </w:tcPr>
          <w:p>
            <w:pPr>
              <w:ind w:left="40"/>
              <w:spacing w:after="0" w:line="201" w:lineRule="exact"/>
              <w:rPr>
                <w:sz w:val="20"/>
                <w:szCs w:val="20"/>
                <w:color w:val="auto"/>
              </w:rPr>
            </w:pPr>
            <w:r>
              <w:rPr>
                <w:rFonts w:ascii="Arial" w:cs="Arial" w:eastAsia="Arial" w:hAnsi="Arial"/>
                <w:sz w:val="18"/>
                <w:szCs w:val="18"/>
                <w:color w:val="auto"/>
              </w:rPr>
              <w:t>Loss on disposal of assets related to wireless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60" w:type="dxa"/>
            <w:vAlign w:val="bottom"/>
          </w:tcPr>
          <w:p>
            <w:pPr>
              <w:ind w:left="40"/>
              <w:spacing w:after="0"/>
              <w:rPr>
                <w:sz w:val="20"/>
                <w:szCs w:val="20"/>
                <w:color w:val="auto"/>
              </w:rPr>
            </w:pPr>
            <w:r>
              <w:rPr>
                <w:rFonts w:ascii="Arial" w:cs="Arial" w:eastAsia="Arial" w:hAnsi="Arial"/>
                <w:sz w:val="18"/>
                <w:szCs w:val="18"/>
                <w:color w:val="auto"/>
              </w:rPr>
              <w:t>microphones manufacturing</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1,434</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3760" w:type="dxa"/>
            <w:vAlign w:val="bottom"/>
            <w:tcBorders>
              <w:top w:val="single" w:sz="8" w:color="CCEEFF"/>
            </w:tcBorders>
          </w:tcPr>
          <w:p>
            <w:pPr>
              <w:ind w:left="40"/>
              <w:spacing w:after="0" w:line="203" w:lineRule="exact"/>
              <w:rPr>
                <w:sz w:val="20"/>
                <w:szCs w:val="20"/>
                <w:color w:val="auto"/>
              </w:rPr>
            </w:pPr>
            <w:r>
              <w:rPr>
                <w:rFonts w:ascii="Arial" w:cs="Arial" w:eastAsia="Arial" w:hAnsi="Arial"/>
                <w:sz w:val="18"/>
                <w:szCs w:val="18"/>
                <w:b w:val="1"/>
                <w:bCs w:val="1"/>
                <w:color w:val="auto"/>
              </w:rPr>
              <w:t>Non-GAAP Adjusted EBITDA</w:t>
            </w: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919</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3,909</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8,648</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14,379</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2019-12-05T16:49:26Z</dcterms:created>
  <dcterms:modified xsi:type="dcterms:W3CDTF">2019-12-05T16:49:26Z</dcterms:modified>
</cp:coreProperties>
</file>