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19, 2025 (May 19, 2025)</w:t>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7"/>
        </w:trPr>
        <w:tc>
          <w:tcPr>
            <w:tcW w:w="4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36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40"/>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7"/>
        </w:trPr>
        <w:tc>
          <w:tcPr>
            <w:tcW w:w="49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45"/>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1"/>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4"/>
                <w:szCs w:val="24"/>
                <w:color w:val="auto"/>
              </w:rPr>
            </w:pP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6"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40" w:type="dxa"/>
            <w:vAlign w:val="bottom"/>
          </w:tcPr>
          <w:p>
            <w:pPr>
              <w:spacing w:after="0"/>
              <w:rPr>
                <w:sz w:val="18"/>
                <w:szCs w:val="18"/>
                <w:color w:val="auto"/>
              </w:rPr>
            </w:pP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16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color w:val="auto"/>
              </w:rPr>
              <w:t>Common Stock, $0.001</w:t>
            </w: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CLRO</w:t>
            </w:r>
          </w:p>
        </w:tc>
        <w:tc>
          <w:tcPr>
            <w:tcW w:w="7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00" w:lineRule="exact"/>
        <w:rPr>
          <w:sz w:val="24"/>
          <w:szCs w:val="24"/>
          <w:color w:val="auto"/>
        </w:rPr>
      </w:pPr>
    </w:p>
    <w:p>
      <w:pPr>
        <w:spacing w:after="0" w:line="268" w:lineRule="exact"/>
        <w:rPr>
          <w:sz w:val="24"/>
          <w:szCs w:val="24"/>
          <w:color w:val="auto"/>
        </w:rPr>
      </w:pPr>
    </w:p>
    <w:p>
      <w:pPr>
        <w:ind w:right="20"/>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279" w:lineRule="exact"/>
        <w:rPr>
          <w:sz w:val="24"/>
          <w:szCs w:val="24"/>
          <w:color w:val="auto"/>
        </w:rPr>
      </w:pPr>
    </w:p>
    <w:p>
      <w:pPr>
        <w:spacing w:after="0" w:line="26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19, 2025 ClearOne, Inc. (the “Company”) issued a press release announcing its financial results for the three months ended March 31, 2025. The full text of the press release is attached as 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ClearOne, Inc. dated May 19, 2025.</w:t>
            </w:r>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16"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6"/>
          <w:szCs w:val="16"/>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2025</w:t>
            </w: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211"/>
        </w:trPr>
        <w:tc>
          <w:tcPr>
            <w:tcW w:w="2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bl>
    <w:p>
      <w:pPr>
        <w:ind w:left="500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 Reports First Quarter 2025 Financial Results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-Five new products introduced in Q1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-Year-over-Year Cost Reductions Reflect Continued Benefits of Cost Optimization Initiatives-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SALT LAKE CITY, UTAH – May 19, 2025 </w:t>
      </w:r>
      <w:r>
        <w:rPr>
          <w:rFonts w:ascii="Times New Roman" w:cs="Times New Roman" w:eastAsia="Times New Roman" w:hAnsi="Times New Roman"/>
          <w:sz w:val="18"/>
          <w:szCs w:val="18"/>
          <w:color w:val="auto"/>
        </w:rPr>
        <w:t>– ClearOne (NASDAQ: CLRO), a global provider of audio and visual communication solutions,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three-month period ended March 31, 2025.</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Q1 2025, ClearOne introduced five new products demonstrating continued commitment to meeting customer needs through innovation. One of those new products, the BMA 360DX, won a Best of Show award at the Integrated Systems Europe 2025 Exhibition in Barcelona, Spain. Revenue decreased 36% year over year, primarily due to a significant decrease in revenues from the audio conferencing category, which includes our DSP products. “We believe this year over year revenue decline was primarily due to the cumulative impact of past production shortages,” said Derek Graham, CEO of ClearOne. Over the previous two quarters, Q3 2024 and Q4 2024, ClearOne generated sequential increases in revenue compared to Q2 2024. However, in Q1 2025, we were unable to maintain an uninterrupted flow of inventory from our contract manufacturers and suppliers due to insufficient cash on hand. This issue negatively affected new products that we introduced in Q1 2025 as well as older products with consistent demand. In February, 2025, we secured a $1 million investment from Edward Bagley, which allowed us to restart some product inventory purchases.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work through early 2025 has focused on mitigating the impacts of production shortages through maintaining consistent dialogues, product demonstrations, and feedback cycles with end users and channel partners, along with improving our visibility at key industry events. In addition, we have maintained our investments in marketing to ensure the visibility of our products to end users looking for ways to improve the quality of audio and video for their meetings. On March 27, 2025, ClearOne entered into an agreement with RBW Capital Partners LLC and Dawson James Securities, Inc. to assist the Company with capital raising efforts and the sale of the Company by way of a negotiated merger or consolidation, including a reverse merger, the negotiated sale of all or substantially all of the Company’s assets, the sale, via negotiated tender offer, of the Company’s issued and outstanding shares of stock, or a spin-off of the Company’s current business and operations to its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decreased sales and research and product development expenses by 15% and 23%, respectively,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right="220"/>
        <w:spacing w:after="0" w:line="250" w:lineRule="auto"/>
        <w:rPr>
          <w:sz w:val="20"/>
          <w:szCs w:val="20"/>
          <w:color w:val="auto"/>
        </w:rPr>
      </w:pPr>
      <w:r>
        <w:rPr>
          <w:rFonts w:ascii="Times New Roman" w:cs="Times New Roman" w:eastAsia="Times New Roman" w:hAnsi="Times New Roman"/>
          <w:sz w:val="18"/>
          <w:szCs w:val="18"/>
          <w:color w:val="auto"/>
        </w:rPr>
        <w:t>On January 16, 2025, we launched the BMA 360DX ceiling tile beamforming microphone array with an integrated DSP processor that provides everything needed to combine, route, and process all the audio signals with no compromises. The BMA 360DX won a Best of Show award in the AV Technology category at the Integrated Systems Europe 2025 exhibition in Barcelona,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Times New Roman" w:cs="Times New Roman" w:eastAsia="Times New Roman" w:hAnsi="Times New Roman"/>
          <w:sz w:val="18"/>
          <w:szCs w:val="18"/>
          <w:color w:val="auto"/>
        </w:rPr>
        <w:t>On January 20, 2025, we announced the launch of the Versa® 120D USB-C Docking Station with Dante®, designed to simplify and enhance hybrid meeting experiences. The Versa 120D is a versatile collaboration solution combining a USB-C docking station and Dante audio networking into a single, easy-to-use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160"/>
        <w:spacing w:after="0" w:line="250" w:lineRule="auto"/>
        <w:rPr>
          <w:sz w:val="20"/>
          <w:szCs w:val="20"/>
          <w:color w:val="auto"/>
        </w:rPr>
      </w:pPr>
      <w:r>
        <w:rPr>
          <w:rFonts w:ascii="Times New Roman" w:cs="Times New Roman" w:eastAsia="Times New Roman" w:hAnsi="Times New Roman"/>
          <w:sz w:val="18"/>
          <w:szCs w:val="18"/>
          <w:color w:val="auto"/>
        </w:rPr>
        <w:t>On January 22, 2025, we introduced the DIALOG® AERO, a wideband UHF 2-channel encrypted digital wireless microphone solution with over 100 MHz of RF tuning range. The DIALOG® AERO features an intuitive interface with a large, easy-to-read LCD display that provides real-time information on critical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20"/>
        <w:spacing w:after="0" w:line="250" w:lineRule="auto"/>
        <w:rPr>
          <w:sz w:val="20"/>
          <w:szCs w:val="20"/>
          <w:color w:val="auto"/>
        </w:rPr>
      </w:pPr>
      <w:r>
        <w:rPr>
          <w:rFonts w:ascii="Times New Roman" w:cs="Times New Roman" w:eastAsia="Times New Roman" w:hAnsi="Times New Roman"/>
          <w:sz w:val="18"/>
          <w:szCs w:val="18"/>
          <w:color w:val="auto"/>
        </w:rPr>
        <w:t>On January 24, 2025, we introduced the UNITE 260N Pro, a professional 4K Ultra HD camera with NDI®|HX, designed to meet the requirements of NDI® workflows.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20"/>
        <w:spacing w:after="0" w:line="260" w:lineRule="auto"/>
        <w:rPr>
          <w:sz w:val="20"/>
          <w:szCs w:val="20"/>
          <w:color w:val="auto"/>
        </w:rPr>
      </w:pPr>
      <w:r>
        <w:rPr>
          <w:rFonts w:ascii="Times New Roman" w:cs="Times New Roman" w:eastAsia="Times New Roman" w:hAnsi="Times New Roman"/>
          <w:sz w:val="18"/>
          <w:szCs w:val="18"/>
          <w:color w:val="auto"/>
        </w:rPr>
        <w:t>On January 27, 2025, we announced the addition of a 4-channel Access Point and a 4-bay Dock to our award-winning DIALOG® UVHF Wireless Microphone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39" w:lineRule="exact"/>
        <w:rPr>
          <w:sz w:val="20"/>
          <w:szCs w:val="20"/>
          <w:color w:val="auto"/>
        </w:rPr>
      </w:pPr>
    </w:p>
    <w:p>
      <w:pPr>
        <w:jc w:val="both"/>
        <w:ind w:left="460" w:hanging="437"/>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2025 revenue was $2.3 million, compared to $3.6 million in Q1 2024 and $3.0 million in Q4 2024. We believe the revenue decrease year over year was mainly due to sustained inventory sourcing and order fulfillment challenges for the Company's core audio conferencing and beam forming microphone arrays as a result of delays in product releases due to cash flow constraints. The 21.8% sequential decrease was driven by decreased demand across all product categories. due to the same delays in product releases from cash flow constraints.</w:t>
      </w:r>
    </w:p>
    <w:p>
      <w:pPr>
        <w:spacing w:after="0" w:line="166" w:lineRule="exact"/>
        <w:rPr>
          <w:rFonts w:ascii="Times New Roman" w:cs="Times New Roman" w:eastAsia="Times New Roman" w:hAnsi="Times New Roman"/>
          <w:sz w:val="18"/>
          <w:szCs w:val="18"/>
          <w:color w:val="auto"/>
        </w:rPr>
      </w:pPr>
    </w:p>
    <w:p>
      <w:pPr>
        <w:jc w:val="both"/>
        <w:ind w:left="460" w:hanging="437"/>
        <w:spacing w:after="0" w:line="25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profit/loss in Q1 2025 was $0.1 million, compared to $1.2 million in Q1 2024 and $0.9 million in Q4 2024. GAAP gross profit margin was 5% in Q1 2025, compared to 32% in Q1 2024 and 30% in Q4 2024. The reduction in gross margin is the result of revenue decreasing by a higher percentage than cost of goods sold. The Company experienced a significant reduction in inventory levels, with a decrease of approximately $1.4 million compared to December 31, 2024. This reduction was primarily driven by supply chain pauses from our cash flow constraints. As a result, there was insufficient new inventory to absorb the Company’s standard overhead allocation, which is typically applied to inventory production. This led to unabsorbed overhead costs being recognized as an expense in the period, directly impacting cost of goods sold. The increase in unabsorbed overhead reflects the temporary misalignment between production levels and fixed overhead costs, which are generally allocated to inventory under our standard costing methodology. Management is actively evaluating strategies to optimize inventory levels and production schedules to mitigate similar impacts in future periods.</w:t>
      </w:r>
    </w:p>
    <w:p>
      <w:pPr>
        <w:spacing w:after="0" w:line="174"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Q1 2025 improved to $3.0 million, compared to $3.2 million in Q1 2024 and $2.9 million in Q4 2024. Non-GAAP operating expenses in Q1 2025 improved to $2.9 million compared to $3.1 million in Q1 2024 and $2.8 million in Q4 2024. The sequential and year-over-year decrease in non-GAAP operating expenses was mainly due to the continued benefits of the cost-cutting measures initiated in 2022.</w:t>
      </w:r>
    </w:p>
    <w:p>
      <w:pPr>
        <w:spacing w:after="0" w:line="162"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Q1 2025 was $(2.8) million, or $(0.11) per share, compared to a net loss of $(1.9) million, or $(0.08) per share, in Q1 2024 and a net loss of $(2.2) million, or $(0.09) per share, in Q4 2024. The year-over-year increase in net loss was primarily due to the aforementioned decreases in revenue and gross profit.</w:t>
      </w:r>
    </w:p>
    <w:p>
      <w:pPr>
        <w:spacing w:after="0" w:line="162"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in Q1 2025 was $(2.8) million, or $(0.11) per share, compared to a Non-GAAP net loss of $(1.8) million, or $(0.07) per share, in Q1 2024 and a Non-GAAP net loss of $(2.1) million, or $(0.09) per share, in Q4 2024. The year-over-year increase in Non-GAAP net loss was driven by the aforementioned decreases in revenue and gross profit.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in 000, except per share)</w:t>
            </w:r>
          </w:p>
        </w:tc>
        <w:tc>
          <w:tcPr>
            <w:tcW w:w="2260" w:type="dxa"/>
            <w:vAlign w:val="bottom"/>
          </w:tcPr>
          <w:p>
            <w:pPr>
              <w:spacing w:after="0"/>
              <w:rPr>
                <w:sz w:val="20"/>
                <w:szCs w:val="20"/>
                <w:color w:val="auto"/>
              </w:rPr>
            </w:pPr>
          </w:p>
        </w:tc>
        <w:tc>
          <w:tcPr>
            <w:tcW w:w="44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1"/>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Change in %</w:t>
            </w:r>
          </w:p>
        </w:tc>
        <w:tc>
          <w:tcPr>
            <w:tcW w:w="100" w:type="dxa"/>
            <w:vAlign w:val="bottom"/>
          </w:tcPr>
          <w:p>
            <w:pPr>
              <w:spacing w:after="0"/>
              <w:rPr>
                <w:sz w:val="17"/>
                <w:szCs w:val="17"/>
                <w:color w:val="auto"/>
              </w:rPr>
            </w:pPr>
          </w:p>
        </w:tc>
      </w:tr>
      <w:tr>
        <w:trPr>
          <w:trHeight w:val="238"/>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Favorable/(Adverse)</w:t>
            </w:r>
          </w:p>
        </w:tc>
      </w:tr>
      <w:tr>
        <w:trPr>
          <w:trHeight w:val="210"/>
        </w:trPr>
        <w:tc>
          <w:tcPr>
            <w:tcW w:w="5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GAAP</w:t>
            </w:r>
          </w:p>
        </w:tc>
        <w:tc>
          <w:tcPr>
            <w:tcW w:w="4040" w:type="dxa"/>
            <w:vAlign w:val="bottom"/>
            <w:tcBorders>
              <w:bottom w:val="single" w:sz="8" w:color="CCEEFF"/>
            </w:tcBorders>
            <w:gridSpan w:val="2"/>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3,622</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w:t>
            </w:r>
          </w:p>
        </w:tc>
        <w:tc>
          <w:tcPr>
            <w:tcW w:w="4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3,229</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(2,846)</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(2,834)</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189"/>
        </w:trPr>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2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3,095</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(2,772)</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2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loss per share</w:t>
            </w:r>
          </w:p>
        </w:tc>
        <w:tc>
          <w:tcPr>
            <w:tcW w:w="2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cash, cash equivalents and investments were $1.0 million, as compared with $1.4 million as of December 31, 2024.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Quarterly Report on Form 10-Q (the “10-Q”) filed by the Company for the same period with the Securities and Exchange Commission (the “SEC”) and all the Company’s other public filings with the SEC (the “Public Filings”).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2024 (the “10-K”), the footnotes thereto and the limitations set forth therein. Investors may not rely on the press release without reference to the 10-Q, the 10-K, and the Public Filings.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60" w:type="dxa"/>
            <w:vAlign w:val="bottom"/>
            <w:tcBorders>
              <w:top w:val="single" w:sz="8" w:color="CCEEFF"/>
            </w:tcBorders>
            <w:shd w:val="clear" w:color="auto" w:fill="CCEEFF"/>
          </w:tcPr>
          <w:p>
            <w:pPr>
              <w:ind w:left="3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of $411 and 405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11,224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3,894</w:t>
            </w: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ind w:left="22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09"/>
        </w:trPr>
        <w:tc>
          <w:tcPr>
            <w:tcW w:w="8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25,992,995 and 23,992,995 shares issued and</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31,672</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(10,059)</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24,748,551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23,969,148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24,748,551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23,969,148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5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50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94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UNAUDITED RECONCILIATION OF GAAP MEASURES TO NON-GAAP MEASURES</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operating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operating loss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(2,846)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(2,078)</w:t>
            </w:r>
          </w:p>
        </w:tc>
        <w:tc>
          <w:tcPr>
            <w:tcW w:w="60" w:type="dxa"/>
            <w:vAlign w:val="bottom"/>
            <w:gridSpan w:val="2"/>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-608330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-316865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720" w:space="720"/>
            <w:col w:w="280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8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1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6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tcPr>
          <w:p>
            <w:pPr>
              <w:spacing w:after="0"/>
              <w:rPr>
                <w:sz w:val="21"/>
                <w:szCs w:val="21"/>
                <w:color w:val="auto"/>
              </w:rPr>
            </w:pPr>
          </w:p>
        </w:tc>
      </w:tr>
      <w:tr>
        <w:trPr>
          <w:trHeight w:val="196"/>
        </w:trPr>
        <w:tc>
          <w:tcPr>
            <w:tcW w:w="68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1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(1,898)</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computing GAAP diluted loss per share</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24,748,551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23,969,148</w:t>
            </w: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loss per share</w:t>
            </w:r>
          </w:p>
        </w:tc>
        <w:tc>
          <w:tcPr>
            <w:tcW w:w="1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Non-GAAP diluted loss per share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24,748,551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23,969,148</w:t>
            </w: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diluted loss per share</w:t>
            </w:r>
          </w:p>
        </w:tc>
        <w:tc>
          <w:tcPr>
            <w:tcW w:w="1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6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1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16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385-426-0565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2025-05-19T15:04:19Z</dcterms:created>
  <dcterms:modified xsi:type="dcterms:W3CDTF">2025-05-19T15:04:19Z</dcterms:modified>
</cp:coreProperties>
</file>