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17, 2019 (December 17,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192"/>
        </w:trPr>
        <w:tc>
          <w:tcPr>
            <w:tcW w:w="3860" w:type="dxa"/>
            <w:vAlign w:val="bottom"/>
            <w:tcBorders>
              <w:top w:val="single" w:sz="8" w:color="auto"/>
              <w:left w:val="single" w:sz="8" w:color="auto"/>
              <w:right w:val="single" w:sz="8" w:color="auto"/>
            </w:tcBorders>
            <w:gridSpan w:val="3"/>
          </w:tcPr>
          <w:p>
            <w:pPr>
              <w:jc w:val="center"/>
              <w:spacing w:after="0" w:line="192" w:lineRule="exact"/>
              <w:rPr>
                <w:sz w:val="20"/>
                <w:szCs w:val="20"/>
                <w:color w:val="auto"/>
              </w:rPr>
            </w:pPr>
            <w:r>
              <w:rPr>
                <w:rFonts w:ascii="Arial" w:cs="Arial" w:eastAsia="Arial" w:hAnsi="Arial"/>
                <w:sz w:val="18"/>
                <w:szCs w:val="18"/>
                <w:color w:val="auto"/>
                <w:w w:val="90"/>
              </w:rPr>
              <w:t>Title of each class</w:t>
            </w:r>
          </w:p>
        </w:tc>
        <w:tc>
          <w:tcPr>
            <w:tcW w:w="3240" w:type="dxa"/>
            <w:vAlign w:val="bottom"/>
            <w:tcBorders>
              <w:top w:val="single" w:sz="8" w:color="auto"/>
              <w:right w:val="single" w:sz="8" w:color="auto"/>
            </w:tcBorders>
            <w:gridSpan w:val="3"/>
          </w:tcPr>
          <w:p>
            <w:pPr>
              <w:jc w:val="center"/>
              <w:ind w:right="40"/>
              <w:spacing w:after="0" w:line="192" w:lineRule="exact"/>
              <w:rPr>
                <w:sz w:val="20"/>
                <w:szCs w:val="20"/>
                <w:color w:val="auto"/>
              </w:rPr>
            </w:pPr>
            <w:r>
              <w:rPr>
                <w:rFonts w:ascii="Arial" w:cs="Arial" w:eastAsia="Arial" w:hAnsi="Arial"/>
                <w:sz w:val="18"/>
                <w:szCs w:val="18"/>
                <w:color w:val="auto"/>
                <w:w w:val="92"/>
              </w:rPr>
              <w:t>Trading Symbol(s)</w:t>
            </w:r>
          </w:p>
        </w:tc>
        <w:tc>
          <w:tcPr>
            <w:tcW w:w="560" w:type="dxa"/>
            <w:vAlign w:val="bottom"/>
            <w:tcBorders>
              <w:top w:val="single" w:sz="8" w:color="auto"/>
            </w:tcBorders>
          </w:tcPr>
          <w:p>
            <w:pPr>
              <w:spacing w:after="0"/>
              <w:rPr>
                <w:sz w:val="16"/>
                <w:szCs w:val="16"/>
                <w:color w:val="auto"/>
              </w:rPr>
            </w:pPr>
          </w:p>
        </w:tc>
        <w:tc>
          <w:tcPr>
            <w:tcW w:w="3760" w:type="dxa"/>
            <w:vAlign w:val="bottom"/>
            <w:tcBorders>
              <w:top w:val="single" w:sz="8" w:color="auto"/>
              <w:right w:val="single" w:sz="8" w:color="auto"/>
            </w:tcBorders>
            <w:gridSpan w:val="2"/>
          </w:tcPr>
          <w:p>
            <w:pPr>
              <w:jc w:val="center"/>
              <w:ind w:right="580"/>
              <w:spacing w:after="0" w:line="192" w:lineRule="exact"/>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1280" w:type="dxa"/>
            <w:vAlign w:val="bottom"/>
            <w:tcBorders>
              <w:left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180" w:type="dxa"/>
            <w:vAlign w:val="bottom"/>
            <w:tcBorders>
              <w:top w:val="single" w:sz="8" w:color="auto"/>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r>
      <w:tr>
        <w:trPr>
          <w:trHeight w:val="190"/>
        </w:trPr>
        <w:tc>
          <w:tcPr>
            <w:tcW w:w="3860" w:type="dxa"/>
            <w:vAlign w:val="bottom"/>
            <w:tcBorders>
              <w:left w:val="single" w:sz="8" w:color="auto"/>
              <w:bottom w:val="single" w:sz="8" w:color="auto"/>
              <w:right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0"/>
              </w:rPr>
              <w:t>Common Stock, $0.001</w:t>
            </w:r>
          </w:p>
        </w:tc>
        <w:tc>
          <w:tcPr>
            <w:tcW w:w="920" w:type="dxa"/>
            <w:vAlign w:val="bottom"/>
            <w:tcBorders>
              <w:bottom w:val="single" w:sz="8" w:color="auto"/>
            </w:tcBorders>
          </w:tcPr>
          <w:p>
            <w:pPr>
              <w:spacing w:after="0"/>
              <w:rPr>
                <w:sz w:val="16"/>
                <w:szCs w:val="16"/>
                <w:color w:val="auto"/>
              </w:rPr>
            </w:pPr>
          </w:p>
        </w:tc>
        <w:tc>
          <w:tcPr>
            <w:tcW w:w="2320" w:type="dxa"/>
            <w:vAlign w:val="bottom"/>
            <w:tcBorders>
              <w:bottom w:val="single" w:sz="8" w:color="auto"/>
              <w:right w:val="single" w:sz="8" w:color="auto"/>
            </w:tcBorders>
            <w:gridSpan w:val="2"/>
          </w:tcPr>
          <w:p>
            <w:pPr>
              <w:jc w:val="center"/>
              <w:ind w:right="960"/>
              <w:spacing w:after="0" w:line="190" w:lineRule="exact"/>
              <w:rPr>
                <w:sz w:val="20"/>
                <w:szCs w:val="20"/>
                <w:color w:val="auto"/>
              </w:rPr>
            </w:pPr>
            <w:r>
              <w:rPr>
                <w:rFonts w:ascii="Arial" w:cs="Arial" w:eastAsia="Arial" w:hAnsi="Arial"/>
                <w:sz w:val="18"/>
                <w:szCs w:val="18"/>
                <w:color w:val="auto"/>
                <w:w w:val="95"/>
              </w:rPr>
              <w:t>CLRO</w:t>
            </w:r>
          </w:p>
        </w:tc>
        <w:tc>
          <w:tcPr>
            <w:tcW w:w="5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gridSpan w:val="2"/>
          </w:tcPr>
          <w:p>
            <w:pPr>
              <w:jc w:val="center"/>
              <w:ind w:right="600"/>
              <w:spacing w:after="0" w:line="190" w:lineRule="exact"/>
              <w:rPr>
                <w:sz w:val="20"/>
                <w:szCs w:val="20"/>
                <w:color w:val="auto"/>
              </w:rPr>
            </w:pPr>
            <w:r>
              <w:rPr>
                <w:rFonts w:ascii="Arial" w:cs="Arial" w:eastAsia="Arial" w:hAnsi="Arial"/>
                <w:sz w:val="18"/>
                <w:szCs w:val="18"/>
                <w:color w:val="auto"/>
                <w:w w:val="94"/>
              </w:rPr>
              <w:t>The NASDAQ Capital Market</w:t>
            </w:r>
          </w:p>
        </w:tc>
      </w:tr>
      <w:tr>
        <w:trPr>
          <w:trHeight w:val="568"/>
        </w:trPr>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17, 2019, ClearOne, Inc. (the “Company”) completed its previously announced issuance and sale of $3,000,000 of secured convertible notes of the Company (the “Notes”) and warrants (the “Warrants”) to purchase 340,909 shares of common stock, par value $0.001 per share of the Company (the “Common Stock”), in a private placement transaction exemption from registration pursuant to Section 4(a)(2) of the Securities Act of 1933, as amended, and Rule 506 of Regulation D promulgated thereunder. The Notes and Warrants were issued and sold to Edward D. Bagley, an affiliate of the Company, on the terms and conditions of a Note Purchase Agreement dated December 8, 2019 between the Company, certain subsidiary guarantors of the Company, and Mr. Bagley, as further described in the Company’s Current Report on Form 8-K as filed with the Securities and Exchange Commission on December 9, 2019 and is incorporated herein by reference.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intends to use the proceeds from the sale of the Notes and Warrants for general corporate purposes and working capital.</w:t>
      </w:r>
    </w:p>
    <w:p>
      <w:pPr>
        <w:spacing w:after="0" w:line="200" w:lineRule="exact"/>
        <w:rPr>
          <w:sz w:val="20"/>
          <w:szCs w:val="20"/>
          <w:color w:val="auto"/>
        </w:rPr>
      </w:pPr>
    </w:p>
    <w:p>
      <w:pPr>
        <w:spacing w:after="0" w:line="24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3.02 above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100"/>
              <w:spacing w:after="0"/>
              <w:rPr>
                <w:sz w:val="20"/>
                <w:szCs w:val="20"/>
                <w:color w:val="auto"/>
              </w:rPr>
            </w:pPr>
            <w:r>
              <w:rPr>
                <w:rFonts w:ascii="Arial" w:cs="Arial" w:eastAsia="Arial" w:hAnsi="Arial"/>
                <w:sz w:val="18"/>
                <w:szCs w:val="18"/>
                <w:color w:val="auto"/>
              </w:rPr>
              <w:t>CLEARONE, INC.</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December 17, 2019</w:t>
            </w:r>
          </w:p>
        </w:tc>
        <w:tc>
          <w:tcPr>
            <w:tcW w:w="746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2019-12-17T16:19:14Z</dcterms:created>
  <dcterms:modified xsi:type="dcterms:W3CDTF">2019-12-17T16:19:14Z</dcterms:modified>
</cp:coreProperties>
</file>