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0" w:lineRule="exact"/>
        <w:rPr>
          <w:sz w:val="24"/>
          <w:szCs w:val="24"/>
          <w:color w:val="auto"/>
        </w:rPr>
      </w:pPr>
    </w:p>
    <w:p>
      <w:pPr>
        <w:ind w:left="660" w:right="2780" w:hanging="652"/>
        <w:spacing w:after="0" w:line="258" w:lineRule="auto"/>
        <w:tabs>
          <w:tab w:leader="none" w:pos="363"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March 31, 2013</w:t>
      </w:r>
    </w:p>
    <w:p>
      <w:pPr>
        <w:spacing w:after="0" w:line="1"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or</w:t>
      </w:r>
    </w:p>
    <w:p>
      <w:pPr>
        <w:spacing w:after="0" w:line="5" w:lineRule="exact"/>
        <w:rPr>
          <w:sz w:val="24"/>
          <w:szCs w:val="24"/>
          <w:color w:val="auto"/>
        </w:rPr>
      </w:pPr>
    </w:p>
    <w:p>
      <w:pPr>
        <w:ind w:left="660" w:right="2840" w:hanging="652"/>
        <w:spacing w:after="0" w:line="257" w:lineRule="auto"/>
        <w:tabs>
          <w:tab w:leader="none" w:pos="106"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TRANSITION REPORT PURSUANT TO SECTION 13 OR 15(d) OF THE SECURITIES EXCHANGE ACT OF 1934</w:t>
      </w:r>
      <w:r>
        <w:rPr>
          <w:rFonts w:ascii="Arial" w:cs="Arial" w:eastAsia="Arial" w:hAnsi="Arial"/>
          <w:sz w:val="16"/>
          <w:szCs w:val="16"/>
          <w:color w:val="auto"/>
        </w:rPr>
        <w:t xml:space="preserve"> For the transition period _______ to _______</w:t>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u w:val="single" w:color="auto"/>
          <w:color w:val="auto"/>
        </w:rPr>
        <w:t>001-33660</w:t>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CLEARONE,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520" w:type="dxa"/>
        <w:tblCellMar>
          <w:top w:w="0" w:type="dxa"/>
          <w:left w:w="0" w:type="dxa"/>
          <w:bottom w:w="0" w:type="dxa"/>
          <w:right w:w="0" w:type="dxa"/>
        </w:tblCellMar>
      </w:tblPr>
      <w:tr>
        <w:trPr>
          <w:trHeight w:val="210"/>
        </w:trPr>
        <w:tc>
          <w:tcPr>
            <w:tcW w:w="4620" w:type="dxa"/>
            <w:vAlign w:val="bottom"/>
          </w:tcPr>
          <w:p>
            <w:pPr>
              <w:jc w:val="center"/>
              <w:ind w:left="719"/>
              <w:spacing w:after="0"/>
              <w:rPr>
                <w:sz w:val="20"/>
                <w:szCs w:val="20"/>
                <w:color w:val="auto"/>
              </w:rPr>
            </w:pPr>
            <w:r>
              <w:rPr>
                <w:rFonts w:ascii="Arial" w:cs="Arial" w:eastAsia="Arial" w:hAnsi="Arial"/>
                <w:sz w:val="16"/>
                <w:szCs w:val="16"/>
                <w:b w:val="1"/>
                <w:bCs w:val="1"/>
                <w:color w:val="auto"/>
                <w:w w:val="95"/>
              </w:rPr>
              <w:t>Utah</w:t>
            </w:r>
          </w:p>
        </w:tc>
        <w:tc>
          <w:tcPr>
            <w:tcW w:w="5780" w:type="dxa"/>
            <w:vAlign w:val="bottom"/>
            <w:gridSpan w:val="3"/>
          </w:tcPr>
          <w:p>
            <w:pPr>
              <w:jc w:val="right"/>
              <w:ind w:right="1559"/>
              <w:spacing w:after="0"/>
              <w:rPr>
                <w:sz w:val="20"/>
                <w:szCs w:val="20"/>
                <w:color w:val="auto"/>
              </w:rPr>
            </w:pPr>
            <w:r>
              <w:rPr>
                <w:rFonts w:ascii="Arial" w:cs="Arial" w:eastAsia="Arial" w:hAnsi="Arial"/>
                <w:sz w:val="16"/>
                <w:szCs w:val="16"/>
                <w:b w:val="1"/>
                <w:bCs w:val="1"/>
                <w:color w:val="auto"/>
              </w:rPr>
              <w:t>87-0398877</w:t>
            </w:r>
          </w:p>
        </w:tc>
      </w:tr>
      <w:tr>
        <w:trPr>
          <w:trHeight w:val="47"/>
        </w:trPr>
        <w:tc>
          <w:tcPr>
            <w:tcW w:w="46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620" w:type="dxa"/>
            <w:vAlign w:val="bottom"/>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6"/>
                <w:szCs w:val="16"/>
                <w:color w:val="auto"/>
              </w:rPr>
              <w:t>(I.R.S. employer identification number)</w:t>
            </w:r>
          </w:p>
        </w:tc>
      </w:tr>
      <w:tr>
        <w:trPr>
          <w:trHeight w:val="257"/>
        </w:trPr>
        <w:tc>
          <w:tcPr>
            <w:tcW w:w="4620" w:type="dxa"/>
            <w:vAlign w:val="bottom"/>
          </w:tcPr>
          <w:p>
            <w:pPr>
              <w:jc w:val="center"/>
              <w:ind w:left="719"/>
              <w:spacing w:after="0"/>
              <w:rPr>
                <w:sz w:val="20"/>
                <w:szCs w:val="20"/>
                <w:color w:val="auto"/>
              </w:rPr>
            </w:pPr>
            <w:r>
              <w:rPr>
                <w:rFonts w:ascii="Arial" w:cs="Arial" w:eastAsia="Arial" w:hAnsi="Arial"/>
                <w:sz w:val="16"/>
                <w:szCs w:val="16"/>
                <w:b w:val="1"/>
                <w:bCs w:val="1"/>
                <w:color w:val="auto"/>
                <w:w w:val="92"/>
              </w:rPr>
              <w:t>5225 Wiley Post Way, Suite 500, Salt Lake City, Utah</w:t>
            </w:r>
          </w:p>
        </w:tc>
        <w:tc>
          <w:tcPr>
            <w:tcW w:w="5780" w:type="dxa"/>
            <w:vAlign w:val="bottom"/>
            <w:gridSpan w:val="3"/>
          </w:tcPr>
          <w:p>
            <w:pPr>
              <w:jc w:val="right"/>
              <w:ind w:right="1759"/>
              <w:spacing w:after="0"/>
              <w:rPr>
                <w:sz w:val="20"/>
                <w:szCs w:val="20"/>
                <w:color w:val="auto"/>
              </w:rPr>
            </w:pPr>
            <w:r>
              <w:rPr>
                <w:rFonts w:ascii="Arial" w:cs="Arial" w:eastAsia="Arial" w:hAnsi="Arial"/>
                <w:sz w:val="16"/>
                <w:szCs w:val="16"/>
                <w:b w:val="1"/>
                <w:bCs w:val="1"/>
                <w:color w:val="auto"/>
              </w:rPr>
              <w:t>84116</w:t>
            </w:r>
          </w:p>
        </w:tc>
      </w:tr>
      <w:tr>
        <w:trPr>
          <w:trHeight w:val="47"/>
        </w:trPr>
        <w:tc>
          <w:tcPr>
            <w:tcW w:w="46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620" w:type="dxa"/>
            <w:vAlign w:val="bottom"/>
          </w:tcPr>
          <w:p>
            <w:pPr>
              <w:jc w:val="center"/>
              <w:ind w:left="699"/>
              <w:spacing w:after="0"/>
              <w:rPr>
                <w:sz w:val="20"/>
                <w:szCs w:val="20"/>
                <w:color w:val="auto"/>
              </w:rPr>
            </w:pPr>
            <w:r>
              <w:rPr>
                <w:rFonts w:ascii="Arial" w:cs="Arial" w:eastAsia="Arial" w:hAnsi="Arial"/>
                <w:sz w:val="16"/>
                <w:szCs w:val="16"/>
                <w:color w:val="auto"/>
                <w:w w:val="93"/>
              </w:rPr>
              <w:t>(Address of principal executive offices)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1660"/>
              <w:spacing w:after="0"/>
              <w:rPr>
                <w:sz w:val="20"/>
                <w:szCs w:val="20"/>
                <w:color w:val="auto"/>
              </w:rPr>
            </w:pPr>
            <w:r>
              <w:rPr>
                <w:rFonts w:ascii="Arial" w:cs="Arial" w:eastAsia="Arial" w:hAnsi="Arial"/>
                <w:sz w:val="16"/>
                <w:szCs w:val="16"/>
                <w:color w:val="auto"/>
              </w:rPr>
              <w:t>(Zip Code)</w:t>
            </w:r>
          </w:p>
        </w:tc>
      </w:tr>
      <w:tr>
        <w:trPr>
          <w:trHeight w:val="257"/>
        </w:trPr>
        <w:tc>
          <w:tcPr>
            <w:tcW w:w="4620" w:type="dxa"/>
            <w:vAlign w:val="bottom"/>
          </w:tcPr>
          <w:p>
            <w:pPr>
              <w:spacing w:after="0"/>
              <w:rPr>
                <w:sz w:val="22"/>
                <w:szCs w:val="22"/>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w w:val="96"/>
              </w:rPr>
              <w:t>(801) 975-7200</w:t>
            </w:r>
          </w:p>
        </w:tc>
        <w:tc>
          <w:tcPr>
            <w:tcW w:w="406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20955</wp:posOffset>
            </wp:positionV>
            <wp:extent cx="6603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262" w:lineRule="exact"/>
        <w:rPr>
          <w:sz w:val="24"/>
          <w:szCs w:val="24"/>
          <w:color w:val="auto"/>
        </w:rPr>
      </w:pPr>
    </w:p>
    <w:p>
      <w:pPr>
        <w:spacing w:after="0" w:line="349" w:lineRule="auto"/>
        <w:rPr>
          <w:sz w:val="20"/>
          <w:szCs w:val="20"/>
          <w:color w:val="auto"/>
        </w:rPr>
      </w:pPr>
      <w:r>
        <w:rPr>
          <w:rFonts w:ascii="Arial" w:cs="Arial" w:eastAsia="Arial" w:hAnsi="Arial"/>
          <w:sz w:val="14"/>
          <w:szCs w:val="14"/>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99" w:lineRule="exact"/>
        <w:rPr>
          <w:sz w:val="24"/>
          <w:szCs w:val="24"/>
          <w:color w:val="auto"/>
        </w:rPr>
      </w:pPr>
    </w:p>
    <w:p>
      <w:pPr>
        <w:jc w:val="both"/>
        <w:ind w:right="20"/>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color w:val="auto"/>
        </w:rPr>
        <w:t>See the definition of “large accelerated filer, “accelerated filer” and “smaller reporting company” in Rule 12b-2 of the Exchange Act. (Check one):</w:t>
      </w:r>
    </w:p>
    <w:p>
      <w:pPr>
        <w:sectPr>
          <w:pgSz w:w="11900" w:h="16838" w:orient="portrait"/>
          <w:cols w:equalWidth="0" w:num="1">
            <w:col w:w="11400"/>
          </w:cols>
          <w:pgMar w:left="240" w:top="477" w:right="259" w:bottom="1440" w:gutter="0" w:footer="0" w:header="0"/>
        </w:sectPr>
      </w:pPr>
    </w:p>
    <w:p>
      <w:pPr>
        <w:spacing w:after="0" w:line="167"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Larger Accelerated Filer [ ]</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 ]</w:t>
      </w:r>
    </w:p>
    <w:p>
      <w:pPr>
        <w:spacing w:after="0" w:line="111" w:lineRule="exact"/>
        <w:rPr>
          <w:sz w:val="24"/>
          <w:szCs w:val="24"/>
          <w:color w:val="auto"/>
        </w:rPr>
      </w:pPr>
    </w:p>
    <w:p>
      <w:pPr>
        <w:sectPr>
          <w:pgSz w:w="11900" w:h="16838" w:orient="portrait"/>
          <w:cols w:equalWidth="0" w:num="2">
            <w:col w:w="6080" w:space="720"/>
            <w:col w:w="4600"/>
          </w:cols>
          <w:pgMar w:left="240" w:top="477"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3">
            <w:col w:w="6080" w:space="720"/>
            <w:col w:w="1860" w:space="120"/>
            <w:col w:w="2620"/>
          </w:cols>
          <w:pgMar w:left="240" w:top="477" w:right="259" w:bottom="1440" w:gutter="0" w:footer="0" w:header="0"/>
          <w:type w:val="continuous"/>
        </w:sectPr>
      </w:pPr>
    </w:p>
    <w:p>
      <w:pPr>
        <w:spacing w:after="0" w:line="6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APPLICABLE ONLY TO CORPORATE ISSUERS:</w:t>
      </w:r>
    </w:p>
    <w:p>
      <w:pPr>
        <w:spacing w:after="0" w:line="194" w:lineRule="exact"/>
        <w:rPr>
          <w:sz w:val="24"/>
          <w:szCs w:val="24"/>
          <w:color w:val="auto"/>
        </w:rPr>
      </w:pPr>
    </w:p>
    <w:p>
      <w:pPr>
        <w:ind w:right="100"/>
        <w:spacing w:after="0" w:line="275" w:lineRule="auto"/>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 9,105,029 shares issued and outstanding as of May 3, 2013.</w:t>
      </w:r>
    </w:p>
    <w:p>
      <w:pPr>
        <w:sectPr>
          <w:pgSz w:w="11900" w:h="16838" w:orient="portrait"/>
          <w:cols w:equalWidth="0" w:num="1">
            <w:col w:w="11400"/>
          </w:cols>
          <w:pgMar w:left="240" w:top="477"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MARCH 31,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20" w:type="dxa"/>
            <w:vAlign w:val="bottom"/>
            <w:gridSpan w:val="8"/>
          </w:tcPr>
          <w:p>
            <w:pPr>
              <w:jc w:val="center"/>
              <w:ind w:right="2380"/>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00" w:type="dxa"/>
            <w:vAlign w:val="bottom"/>
            <w:tcBorders>
              <w:bottom w:val="single" w:sz="8" w:color="0000FF"/>
            </w:tcBorders>
          </w:tcPr>
          <w:p>
            <w:pPr>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Item 1.</w:t>
              </w:r>
            </w:hyperlink>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Financial Statements</w:t>
              </w:r>
            </w:hyperlink>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gridSpan w:val="2"/>
          </w:tcPr>
          <w:p>
            <w:pPr>
              <w:jc w:val="right"/>
              <w:ind w:right="620"/>
              <w:spacing w:after="0" w:line="223" w:lineRule="exact"/>
              <w:rPr>
                <w:rFonts w:ascii="Arial" w:cs="Arial" w:eastAsia="Arial" w:hAnsi="Arial"/>
                <w:sz w:val="22"/>
                <w:szCs w:val="22"/>
                <w:color w:val="0000FF"/>
                <w:w w:val="81"/>
              </w:rPr>
            </w:pPr>
            <w:hyperlink w:anchor="page3">
              <w:r>
                <w:rPr>
                  <w:rFonts w:ascii="Arial" w:cs="Arial" w:eastAsia="Arial" w:hAnsi="Arial"/>
                  <w:sz w:val="22"/>
                  <w:szCs w:val="22"/>
                  <w:color w:val="0000FF"/>
                  <w:w w:val="81"/>
                </w:rPr>
                <w:t>1</w:t>
              </w:r>
            </w:hyperlink>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94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March 31, 2013 Unaudited and December 31, 2012</w:t>
              </w:r>
            </w:hyperlink>
          </w:p>
        </w:tc>
        <w:tc>
          <w:tcPr>
            <w:tcW w:w="92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320" w:type="dxa"/>
            <w:vAlign w:val="bottom"/>
            <w:gridSpan w:val="12"/>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Operations for the three months ended March 31, 2013 and 2012 Unaudited</w:t>
              </w:r>
            </w:hyperlink>
          </w:p>
        </w:tc>
        <w:tc>
          <w:tcPr>
            <w:tcW w:w="620" w:type="dxa"/>
            <w:vAlign w:val="bottom"/>
            <w:gridSpan w:val="2"/>
          </w:tcPr>
          <w:p>
            <w:pPr>
              <w:spacing w:after="0"/>
              <w:rPr>
                <w:sz w:val="24"/>
                <w:szCs w:val="24"/>
                <w:color w:val="auto"/>
              </w:rPr>
            </w:pPr>
          </w:p>
        </w:tc>
        <w:tc>
          <w:tcPr>
            <w:tcW w:w="92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380" w:type="dxa"/>
            <w:vAlign w:val="bottom"/>
            <w:gridSpan w:val="13"/>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Cash Flows for the three months ended March 31, 2013 and 2012 Unaudited</w:t>
              </w:r>
            </w:hyperlink>
          </w:p>
        </w:tc>
        <w:tc>
          <w:tcPr>
            <w:tcW w:w="560" w:type="dxa"/>
            <w:vAlign w:val="bottom"/>
          </w:tcPr>
          <w:p>
            <w:pPr>
              <w:spacing w:after="0"/>
              <w:rPr>
                <w:sz w:val="24"/>
                <w:szCs w:val="24"/>
                <w:color w:val="auto"/>
              </w:rPr>
            </w:pPr>
          </w:p>
        </w:tc>
        <w:tc>
          <w:tcPr>
            <w:tcW w:w="92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80" w:type="dxa"/>
            <w:vAlign w:val="bottom"/>
            <w:gridSpan w:val="9"/>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Notes to Condensed Consolidated Financial Statements Unaudited</w:t>
              </w:r>
            </w:hyperlink>
          </w:p>
        </w:tc>
        <w:tc>
          <w:tcPr>
            <w:tcW w:w="3600" w:type="dxa"/>
            <w:vAlign w:val="bottom"/>
            <w:gridSpan w:val="4"/>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0"/>
        </w:trPr>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540" w:type="dxa"/>
            <w:vAlign w:val="bottom"/>
            <w:gridSpan w:val="3"/>
          </w:tcPr>
          <w:p>
            <w:pPr>
              <w:spacing w:after="0"/>
              <w:rPr>
                <w:rFonts w:ascii="Arial" w:cs="Arial" w:eastAsia="Arial" w:hAnsi="Arial"/>
                <w:sz w:val="18"/>
                <w:szCs w:val="18"/>
                <w:color w:val="0000FF"/>
                <w:w w:val="94"/>
              </w:rPr>
            </w:pPr>
            <w:hyperlink w:anchor="page11">
              <w:r>
                <w:rPr>
                  <w:rFonts w:ascii="Arial" w:cs="Arial" w:eastAsia="Arial" w:hAnsi="Arial"/>
                  <w:sz w:val="18"/>
                  <w:szCs w:val="18"/>
                  <w:color w:val="0000FF"/>
                  <w:w w:val="94"/>
                </w:rPr>
                <w:t>Item 2.</w:t>
              </w:r>
            </w:hyperlink>
          </w:p>
        </w:tc>
        <w:tc>
          <w:tcPr>
            <w:tcW w:w="420" w:type="dxa"/>
            <w:vAlign w:val="bottom"/>
            <w:gridSpan w:val="2"/>
          </w:tcPr>
          <w:p>
            <w:pPr>
              <w:spacing w:after="0"/>
              <w:rPr>
                <w:sz w:val="24"/>
                <w:szCs w:val="24"/>
                <w:color w:val="auto"/>
              </w:rPr>
            </w:pPr>
          </w:p>
        </w:tc>
        <w:tc>
          <w:tcPr>
            <w:tcW w:w="8980" w:type="dxa"/>
            <w:vAlign w:val="bottom"/>
            <w:gridSpan w:val="15"/>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Management’s Discussion and Analysis of Financial Condition and Results of Operations</w:t>
              </w:r>
            </w:hyperlink>
          </w:p>
        </w:tc>
        <w:tc>
          <w:tcPr>
            <w:tcW w:w="920" w:type="dxa"/>
            <w:vAlign w:val="bottom"/>
            <w:gridSpan w:val="4"/>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10</w:t>
              </w:r>
            </w:hyperlink>
          </w:p>
        </w:tc>
      </w:tr>
      <w:tr>
        <w:trPr>
          <w:trHeight w:val="439"/>
        </w:trPr>
        <w:tc>
          <w:tcPr>
            <w:tcW w:w="5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4"/>
              </w:rPr>
            </w:pPr>
            <w:hyperlink w:anchor="page18">
              <w:r>
                <w:rPr>
                  <w:rFonts w:ascii="Arial" w:cs="Arial" w:eastAsia="Arial" w:hAnsi="Arial"/>
                  <w:sz w:val="18"/>
                  <w:szCs w:val="18"/>
                  <w:color w:val="0000FF"/>
                  <w:w w:val="94"/>
                </w:rPr>
                <w:t>Item 3.</w:t>
              </w:r>
            </w:hyperlink>
          </w:p>
        </w:tc>
        <w:tc>
          <w:tcPr>
            <w:tcW w:w="420" w:type="dxa"/>
            <w:vAlign w:val="bottom"/>
            <w:gridSpan w:val="2"/>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36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2"/>
              </w:rPr>
            </w:pPr>
            <w:hyperlink w:anchor="page18">
              <w:r>
                <w:rPr>
                  <w:rFonts w:ascii="Arial" w:cs="Arial" w:eastAsia="Arial" w:hAnsi="Arial"/>
                  <w:sz w:val="18"/>
                  <w:szCs w:val="18"/>
                  <w:color w:val="0000FF"/>
                  <w:w w:val="92"/>
                </w:rPr>
                <w:t>Quantitative and Qualitative Disclosures About Market Risk</w:t>
              </w:r>
            </w:hyperlink>
          </w:p>
        </w:tc>
        <w:tc>
          <w:tcPr>
            <w:tcW w:w="2060" w:type="dxa"/>
            <w:vAlign w:val="bottom"/>
            <w:tcBorders>
              <w:top w:val="single" w:sz="8" w:color="0000FF"/>
            </w:tcBorders>
            <w:gridSpan w:val="2"/>
          </w:tcPr>
          <w:p>
            <w:pPr>
              <w:spacing w:after="0"/>
              <w:rPr>
                <w:sz w:val="24"/>
                <w:szCs w:val="24"/>
                <w:color w:val="auto"/>
              </w:rPr>
            </w:pPr>
          </w:p>
        </w:tc>
        <w:tc>
          <w:tcPr>
            <w:tcW w:w="2520" w:type="dxa"/>
            <w:vAlign w:val="bottom"/>
            <w:gridSpan w:val="4"/>
          </w:tcPr>
          <w:p>
            <w:pPr>
              <w:spacing w:after="0"/>
              <w:rPr>
                <w:sz w:val="24"/>
                <w:szCs w:val="24"/>
                <w:color w:val="auto"/>
              </w:rPr>
            </w:pPr>
          </w:p>
        </w:tc>
        <w:tc>
          <w:tcPr>
            <w:tcW w:w="740" w:type="dxa"/>
            <w:vAlign w:val="bottom"/>
            <w:gridSpan w:val="2"/>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17</w:t>
              </w:r>
            </w:hyperlink>
          </w:p>
        </w:tc>
      </w:tr>
      <w:tr>
        <w:trPr>
          <w:trHeight w:val="439"/>
        </w:trPr>
        <w:tc>
          <w:tcPr>
            <w:tcW w:w="960" w:type="dxa"/>
            <w:vAlign w:val="bottom"/>
            <w:gridSpan w:val="5"/>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Item 4.</w:t>
              </w:r>
            </w:hyperlink>
          </w:p>
        </w:tc>
        <w:tc>
          <w:tcPr>
            <w:tcW w:w="40" w:type="dxa"/>
            <w:vAlign w:val="bottom"/>
          </w:tcPr>
          <w:p>
            <w:pPr>
              <w:spacing w:after="0"/>
              <w:rPr>
                <w:sz w:val="24"/>
                <w:szCs w:val="24"/>
                <w:color w:val="auto"/>
              </w:rPr>
            </w:pPr>
          </w:p>
        </w:tc>
        <w:tc>
          <w:tcPr>
            <w:tcW w:w="8940" w:type="dxa"/>
            <w:vAlign w:val="bottom"/>
            <w:gridSpan w:val="14"/>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Controls and Procedures</w:t>
              </w:r>
            </w:hyperlink>
          </w:p>
        </w:tc>
        <w:tc>
          <w:tcPr>
            <w:tcW w:w="920" w:type="dxa"/>
            <w:vAlign w:val="bottom"/>
            <w:gridSpan w:val="4"/>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17</w:t>
              </w:r>
            </w:hyperlink>
          </w:p>
        </w:tc>
      </w:tr>
      <w:tr>
        <w:trPr>
          <w:trHeight w:val="480"/>
        </w:trPr>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620" w:type="dxa"/>
            <w:vAlign w:val="bottom"/>
            <w:gridSpan w:val="8"/>
          </w:tcPr>
          <w:p>
            <w:pPr>
              <w:jc w:val="center"/>
              <w:ind w:right="2380"/>
              <w:spacing w:after="0"/>
              <w:rPr>
                <w:sz w:val="20"/>
                <w:szCs w:val="20"/>
                <w:color w:val="auto"/>
              </w:rPr>
            </w:pPr>
            <w:r>
              <w:rPr>
                <w:rFonts w:ascii="Arial" w:cs="Arial" w:eastAsia="Arial" w:hAnsi="Arial"/>
                <w:sz w:val="18"/>
                <w:szCs w:val="18"/>
                <w:b w:val="1"/>
                <w:bCs w:val="1"/>
                <w:color w:val="auto"/>
              </w:rPr>
              <w:t>PART II – OTHER INFORMATION</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30"/>
        </w:trPr>
        <w:tc>
          <w:tcPr>
            <w:tcW w:w="540" w:type="dxa"/>
            <w:vAlign w:val="bottom"/>
            <w:gridSpan w:val="3"/>
          </w:tcPr>
          <w:p>
            <w:pPr>
              <w:spacing w:after="0"/>
              <w:rPr>
                <w:rFonts w:ascii="Arial" w:cs="Arial" w:eastAsia="Arial" w:hAnsi="Arial"/>
                <w:sz w:val="18"/>
                <w:szCs w:val="18"/>
                <w:color w:val="0000FF"/>
                <w:w w:val="94"/>
              </w:rPr>
            </w:pPr>
            <w:hyperlink w:anchor="page19">
              <w:r>
                <w:rPr>
                  <w:rFonts w:ascii="Arial" w:cs="Arial" w:eastAsia="Arial" w:hAnsi="Arial"/>
                  <w:sz w:val="18"/>
                  <w:szCs w:val="18"/>
                  <w:color w:val="0000FF"/>
                  <w:w w:val="94"/>
                </w:rPr>
                <w:t>Item 1.</w:t>
              </w:r>
            </w:hyperlink>
          </w:p>
        </w:tc>
        <w:tc>
          <w:tcPr>
            <w:tcW w:w="42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8940" w:type="dxa"/>
            <w:vAlign w:val="bottom"/>
            <w:gridSpan w:val="14"/>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Legal Proceedings</w:t>
              </w:r>
            </w:hyperlink>
          </w:p>
        </w:tc>
        <w:tc>
          <w:tcPr>
            <w:tcW w:w="920" w:type="dxa"/>
            <w:vAlign w:val="bottom"/>
            <w:gridSpan w:val="4"/>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17</w:t>
              </w:r>
            </w:hyperlink>
          </w:p>
        </w:tc>
      </w:tr>
      <w:tr>
        <w:trPr>
          <w:trHeight w:val="20"/>
        </w:trPr>
        <w:tc>
          <w:tcPr>
            <w:tcW w:w="5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960" w:type="dxa"/>
            <w:vAlign w:val="bottom"/>
            <w:gridSpan w:val="5"/>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Item 1A.</w:t>
              </w:r>
            </w:hyperlink>
          </w:p>
        </w:tc>
        <w:tc>
          <w:tcPr>
            <w:tcW w:w="40" w:type="dxa"/>
            <w:vAlign w:val="bottom"/>
          </w:tcPr>
          <w:p>
            <w:pPr>
              <w:spacing w:after="0"/>
              <w:rPr>
                <w:sz w:val="24"/>
                <w:szCs w:val="24"/>
                <w:color w:val="auto"/>
              </w:rPr>
            </w:pPr>
          </w:p>
        </w:tc>
        <w:tc>
          <w:tcPr>
            <w:tcW w:w="8940" w:type="dxa"/>
            <w:vAlign w:val="bottom"/>
            <w:gridSpan w:val="14"/>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Risk Factors</w:t>
              </w:r>
            </w:hyperlink>
          </w:p>
        </w:tc>
        <w:tc>
          <w:tcPr>
            <w:tcW w:w="920" w:type="dxa"/>
            <w:vAlign w:val="bottom"/>
            <w:gridSpan w:val="4"/>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17</w:t>
              </w:r>
            </w:hyperlink>
          </w:p>
        </w:tc>
      </w:tr>
      <w:tr>
        <w:trPr>
          <w:trHeight w:val="20"/>
        </w:trPr>
        <w:tc>
          <w:tcPr>
            <w:tcW w:w="64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540" w:type="dxa"/>
            <w:vAlign w:val="bottom"/>
            <w:tcBorders>
              <w:bottom w:val="single" w:sz="8" w:color="0000FF"/>
            </w:tcBorders>
            <w:gridSpan w:val="3"/>
          </w:tcPr>
          <w:p>
            <w:pPr>
              <w:spacing w:after="0"/>
              <w:rPr>
                <w:rFonts w:ascii="Arial" w:cs="Arial" w:eastAsia="Arial" w:hAnsi="Arial"/>
                <w:sz w:val="18"/>
                <w:szCs w:val="18"/>
                <w:color w:val="0000FF"/>
                <w:w w:val="94"/>
              </w:rPr>
            </w:pPr>
            <w:hyperlink w:anchor="page19">
              <w:r>
                <w:rPr>
                  <w:rFonts w:ascii="Arial" w:cs="Arial" w:eastAsia="Arial" w:hAnsi="Arial"/>
                  <w:sz w:val="18"/>
                  <w:szCs w:val="18"/>
                  <w:color w:val="0000FF"/>
                  <w:w w:val="94"/>
                </w:rPr>
                <w:t>Item 2.</w:t>
              </w:r>
            </w:hyperlink>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Unregistered Sales of Equity Securities and Use of Proceeds</w:t>
              </w:r>
            </w:hyperlink>
          </w:p>
        </w:tc>
        <w:tc>
          <w:tcPr>
            <w:tcW w:w="4600" w:type="dxa"/>
            <w:vAlign w:val="bottom"/>
            <w:gridSpan w:val="7"/>
          </w:tcPr>
          <w:p>
            <w:pPr>
              <w:spacing w:after="0"/>
              <w:rPr>
                <w:sz w:val="24"/>
                <w:szCs w:val="24"/>
                <w:color w:val="auto"/>
              </w:rPr>
            </w:pPr>
          </w:p>
        </w:tc>
        <w:tc>
          <w:tcPr>
            <w:tcW w:w="74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17</w:t>
              </w:r>
            </w:hyperlink>
          </w:p>
        </w:tc>
      </w:tr>
      <w:tr>
        <w:trPr>
          <w:trHeight w:val="439"/>
        </w:trPr>
        <w:tc>
          <w:tcPr>
            <w:tcW w:w="540" w:type="dxa"/>
            <w:vAlign w:val="bottom"/>
            <w:tcBorders>
              <w:bottom w:val="single" w:sz="8" w:color="0000FF"/>
            </w:tcBorders>
            <w:gridSpan w:val="3"/>
          </w:tcPr>
          <w:p>
            <w:pPr>
              <w:spacing w:after="0"/>
              <w:rPr>
                <w:rFonts w:ascii="Arial" w:cs="Arial" w:eastAsia="Arial" w:hAnsi="Arial"/>
                <w:sz w:val="18"/>
                <w:szCs w:val="18"/>
                <w:color w:val="0000FF"/>
                <w:w w:val="94"/>
              </w:rPr>
            </w:pPr>
            <w:hyperlink w:anchor="page20">
              <w:r>
                <w:rPr>
                  <w:rFonts w:ascii="Arial" w:cs="Arial" w:eastAsia="Arial" w:hAnsi="Arial"/>
                  <w:sz w:val="18"/>
                  <w:szCs w:val="18"/>
                  <w:color w:val="0000FF"/>
                  <w:w w:val="94"/>
                </w:rPr>
                <w:t>Item 3.</w:t>
              </w:r>
            </w:hyperlink>
          </w:p>
        </w:tc>
        <w:tc>
          <w:tcPr>
            <w:tcW w:w="4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Defaults Upon Senior Securities</w:t>
              </w:r>
            </w:hyperlink>
          </w:p>
        </w:tc>
        <w:tc>
          <w:tcPr>
            <w:tcW w:w="6620" w:type="dxa"/>
            <w:vAlign w:val="bottom"/>
            <w:gridSpan w:val="8"/>
          </w:tcPr>
          <w:p>
            <w:pPr>
              <w:spacing w:after="0"/>
              <w:rPr>
                <w:sz w:val="24"/>
                <w:szCs w:val="24"/>
                <w:color w:val="auto"/>
              </w:rPr>
            </w:pPr>
          </w:p>
        </w:tc>
        <w:tc>
          <w:tcPr>
            <w:tcW w:w="74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18</w:t>
              </w:r>
            </w:hyperlink>
          </w:p>
        </w:tc>
      </w:tr>
      <w:tr>
        <w:trPr>
          <w:trHeight w:val="439"/>
        </w:trPr>
        <w:tc>
          <w:tcPr>
            <w:tcW w:w="540" w:type="dxa"/>
            <w:vAlign w:val="bottom"/>
            <w:gridSpan w:val="3"/>
          </w:tcPr>
          <w:p>
            <w:pPr>
              <w:spacing w:after="0"/>
              <w:rPr>
                <w:rFonts w:ascii="Arial" w:cs="Arial" w:eastAsia="Arial" w:hAnsi="Arial"/>
                <w:sz w:val="18"/>
                <w:szCs w:val="18"/>
                <w:color w:val="0000FF"/>
                <w:w w:val="94"/>
              </w:rPr>
            </w:pPr>
            <w:hyperlink w:anchor="page20">
              <w:r>
                <w:rPr>
                  <w:rFonts w:ascii="Arial" w:cs="Arial" w:eastAsia="Arial" w:hAnsi="Arial"/>
                  <w:sz w:val="18"/>
                  <w:szCs w:val="18"/>
                  <w:color w:val="0000FF"/>
                  <w:w w:val="94"/>
                </w:rPr>
                <w:t>Item 4.</w:t>
              </w:r>
            </w:hyperlink>
          </w:p>
        </w:tc>
        <w:tc>
          <w:tcPr>
            <w:tcW w:w="4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8940" w:type="dxa"/>
            <w:vAlign w:val="bottom"/>
            <w:gridSpan w:val="14"/>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Mine Safety Disclosures</w:t>
              </w:r>
            </w:hyperlink>
          </w:p>
        </w:tc>
        <w:tc>
          <w:tcPr>
            <w:tcW w:w="920" w:type="dxa"/>
            <w:vAlign w:val="bottom"/>
            <w:gridSpan w:val="4"/>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18</w:t>
              </w:r>
            </w:hyperlink>
          </w:p>
        </w:tc>
      </w:tr>
      <w:tr>
        <w:trPr>
          <w:trHeight w:val="439"/>
        </w:trPr>
        <w:tc>
          <w:tcPr>
            <w:tcW w:w="540" w:type="dxa"/>
            <w:vAlign w:val="bottom"/>
            <w:tcBorders>
              <w:top w:val="single" w:sz="8" w:color="0000FF"/>
            </w:tcBorders>
            <w:gridSpan w:val="3"/>
          </w:tcPr>
          <w:p>
            <w:pPr>
              <w:spacing w:after="0"/>
              <w:rPr>
                <w:rFonts w:ascii="Arial" w:cs="Arial" w:eastAsia="Arial" w:hAnsi="Arial"/>
                <w:sz w:val="18"/>
                <w:szCs w:val="18"/>
                <w:color w:val="0000FF"/>
                <w:w w:val="94"/>
              </w:rPr>
            </w:pPr>
            <w:hyperlink w:anchor="page20">
              <w:r>
                <w:rPr>
                  <w:rFonts w:ascii="Arial" w:cs="Arial" w:eastAsia="Arial" w:hAnsi="Arial"/>
                  <w:sz w:val="18"/>
                  <w:szCs w:val="18"/>
                  <w:color w:val="0000FF"/>
                  <w:w w:val="94"/>
                </w:rPr>
                <w:t>Item 5.</w:t>
              </w:r>
            </w:hyperlink>
          </w:p>
        </w:tc>
        <w:tc>
          <w:tcPr>
            <w:tcW w:w="4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Borders>
              <w:top w:val="single" w:sz="8" w:color="0000FF"/>
            </w:tcBorders>
            <w:gridSpan w:val="5"/>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Other Information</w:t>
              </w:r>
            </w:hyperlink>
          </w:p>
        </w:tc>
        <w:tc>
          <w:tcPr>
            <w:tcW w:w="7180" w:type="dxa"/>
            <w:vAlign w:val="bottom"/>
            <w:gridSpan w:val="9"/>
          </w:tcPr>
          <w:p>
            <w:pPr>
              <w:spacing w:after="0"/>
              <w:rPr>
                <w:sz w:val="24"/>
                <w:szCs w:val="24"/>
                <w:color w:val="auto"/>
              </w:rPr>
            </w:pPr>
          </w:p>
        </w:tc>
        <w:tc>
          <w:tcPr>
            <w:tcW w:w="740" w:type="dxa"/>
            <w:vAlign w:val="bottom"/>
            <w:gridSpan w:val="2"/>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18</w:t>
              </w:r>
            </w:hyperlink>
          </w:p>
        </w:tc>
      </w:tr>
      <w:tr>
        <w:trPr>
          <w:trHeight w:val="439"/>
        </w:trPr>
        <w:tc>
          <w:tcPr>
            <w:tcW w:w="5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4"/>
              </w:rPr>
            </w:pPr>
            <w:hyperlink w:anchor="page20">
              <w:r>
                <w:rPr>
                  <w:rFonts w:ascii="Arial" w:cs="Arial" w:eastAsia="Arial" w:hAnsi="Arial"/>
                  <w:sz w:val="18"/>
                  <w:szCs w:val="18"/>
                  <w:color w:val="0000FF"/>
                  <w:w w:val="94"/>
                </w:rPr>
                <w:t>Item 6.</w:t>
              </w:r>
            </w:hyperlink>
          </w:p>
        </w:tc>
        <w:tc>
          <w:tcPr>
            <w:tcW w:w="4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20">
              <w:r>
                <w:rPr>
                  <w:rFonts w:ascii="Arial" w:cs="Arial" w:eastAsia="Arial" w:hAnsi="Arial"/>
                  <w:sz w:val="18"/>
                  <w:szCs w:val="18"/>
                  <w:color w:val="0000FF"/>
                  <w:w w:val="91"/>
                </w:rPr>
                <w:t>Exhibits</w:t>
              </w:r>
            </w:hyperlink>
          </w:p>
        </w:tc>
        <w:tc>
          <w:tcPr>
            <w:tcW w:w="720" w:type="dxa"/>
            <w:vAlign w:val="bottom"/>
            <w:tcBorders>
              <w:top w:val="single" w:sz="8" w:color="0000FF"/>
            </w:tcBorders>
            <w:gridSpan w:val="2"/>
          </w:tcPr>
          <w:p>
            <w:pPr>
              <w:spacing w:after="0"/>
              <w:rPr>
                <w:sz w:val="24"/>
                <w:szCs w:val="24"/>
                <w:color w:val="auto"/>
              </w:rPr>
            </w:pPr>
          </w:p>
        </w:tc>
        <w:tc>
          <w:tcPr>
            <w:tcW w:w="7620" w:type="dxa"/>
            <w:vAlign w:val="bottom"/>
            <w:gridSpan w:val="11"/>
          </w:tcPr>
          <w:p>
            <w:pPr>
              <w:spacing w:after="0"/>
              <w:rPr>
                <w:sz w:val="24"/>
                <w:szCs w:val="24"/>
                <w:color w:val="auto"/>
              </w:rPr>
            </w:pPr>
          </w:p>
        </w:tc>
        <w:tc>
          <w:tcPr>
            <w:tcW w:w="740" w:type="dxa"/>
            <w:vAlign w:val="bottom"/>
            <w:gridSpan w:val="2"/>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18</w:t>
              </w:r>
            </w:hyperlink>
          </w:p>
        </w:tc>
      </w:tr>
    </w:tbl>
    <w:p>
      <w:pPr>
        <w:sectPr>
          <w:pgSz w:w="11900" w:h="16838" w:orient="portrait"/>
          <w:cols w:equalWidth="0" w:num="1">
            <w:col w:w="10860"/>
          </w:cols>
          <w:pgMar w:left="520" w:top="364" w:right="51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March 31, 2013</w:t>
            </w:r>
          </w:p>
        </w:tc>
        <w:tc>
          <w:tcPr>
            <w:tcW w:w="260" w:type="dxa"/>
            <w:vAlign w:val="bottom"/>
          </w:tcPr>
          <w:p>
            <w:pPr>
              <w:spacing w:after="0"/>
              <w:rPr>
                <w:sz w:val="18"/>
                <w:szCs w:val="18"/>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2012</w:t>
            </w:r>
          </w:p>
        </w:tc>
      </w:tr>
      <w:tr>
        <w:trPr>
          <w:trHeight w:val="270"/>
        </w:trPr>
        <w:tc>
          <w:tcPr>
            <w:tcW w:w="7200" w:type="dxa"/>
            <w:vAlign w:val="bottom"/>
          </w:tcPr>
          <w:p>
            <w:pPr>
              <w:ind w:left="330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23"/>
                <w:szCs w:val="23"/>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Unaudited</w:t>
            </w:r>
          </w:p>
        </w:tc>
        <w:tc>
          <w:tcPr>
            <w:tcW w:w="260" w:type="dxa"/>
            <w:vAlign w:val="bottom"/>
          </w:tcPr>
          <w:p>
            <w:pPr>
              <w:spacing w:after="0"/>
              <w:rPr>
                <w:sz w:val="23"/>
                <w:szCs w:val="23"/>
                <w:color w:val="auto"/>
              </w:rPr>
            </w:pPr>
          </w:p>
        </w:tc>
        <w:tc>
          <w:tcPr>
            <w:tcW w:w="1800" w:type="dxa"/>
            <w:vAlign w:val="bottom"/>
          </w:tcPr>
          <w:p>
            <w:pPr>
              <w:jc w:val="right"/>
              <w:ind w:right="651"/>
              <w:spacing w:after="0"/>
              <w:rPr>
                <w:sz w:val="20"/>
                <w:szCs w:val="20"/>
                <w:color w:val="auto"/>
              </w:rPr>
            </w:pPr>
            <w:r>
              <w:rPr>
                <w:rFonts w:ascii="Arial" w:cs="Arial" w:eastAsia="Arial" w:hAnsi="Arial"/>
                <w:sz w:val="16"/>
                <w:szCs w:val="16"/>
                <w:b w:val="1"/>
                <w:bCs w:val="1"/>
                <w:color w:val="auto"/>
              </w:rPr>
              <w:t>Audited</w:t>
            </w:r>
          </w:p>
        </w:tc>
      </w:tr>
      <w:tr>
        <w:trPr>
          <w:trHeight w:val="33"/>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42,580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55,509</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net of allowance for doubtful accounts of $60 and $60,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11,604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10,873</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1,369</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79,287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Long-term inventories, net</w:t>
            </w:r>
          </w:p>
        </w:tc>
        <w:tc>
          <w:tcPr>
            <w:tcW w:w="3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1,955</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3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4,258</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1,195</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r>
      <w:tr>
        <w:trPr>
          <w:trHeight w:val="297"/>
        </w:trPr>
        <w:tc>
          <w:tcPr>
            <w:tcW w:w="7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79,499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91,939</w:t>
            </w:r>
          </w:p>
        </w:tc>
      </w:tr>
      <w:tr>
        <w:trPr>
          <w:trHeight w:val="237"/>
        </w:trPr>
        <w:tc>
          <w:tcPr>
            <w:tcW w:w="720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2,143</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14,782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product revenue</w:t>
            </w:r>
          </w:p>
        </w:tc>
        <w:tc>
          <w:tcPr>
            <w:tcW w:w="3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3,593</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22,820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3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422</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2,029</w:t>
            </w:r>
          </w:p>
        </w:tc>
      </w:tr>
      <w:tr>
        <w:trPr>
          <w:trHeight w:val="237"/>
        </w:trPr>
        <w:tc>
          <w:tcPr>
            <w:tcW w:w="720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12,539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25,271</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29"/>
        </w:trPr>
        <w:tc>
          <w:tcPr>
            <w:tcW w:w="7200" w:type="dxa"/>
            <w:vAlign w:val="bottom"/>
          </w:tcPr>
          <w:p>
            <w:pPr>
              <w:ind w:left="40"/>
              <w:spacing w:after="0"/>
              <w:rPr>
                <w:sz w:val="20"/>
                <w:szCs w:val="20"/>
                <w:color w:val="auto"/>
              </w:rPr>
            </w:pPr>
            <w:r>
              <w:rPr>
                <w:rFonts w:ascii="Arial" w:cs="Arial" w:eastAsia="Arial" w:hAnsi="Arial"/>
                <w:sz w:val="18"/>
                <w:szCs w:val="18"/>
                <w:color w:val="auto"/>
                <w:w w:val="91"/>
              </w:rPr>
              <w:t>Common stock, par value $0.001, 50,000,000 shares authorized, 9,105,029 and 9,163,462 shares</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200" w:type="dxa"/>
            <w:vAlign w:val="bottom"/>
          </w:tcPr>
          <w:p>
            <w:pPr>
              <w:ind w:left="360"/>
              <w:spacing w:after="0"/>
              <w:rPr>
                <w:sz w:val="20"/>
                <w:szCs w:val="20"/>
                <w:color w:val="auto"/>
              </w:rPr>
            </w:pPr>
            <w:r>
              <w:rPr>
                <w:rFonts w:ascii="Arial" w:cs="Arial" w:eastAsia="Arial" w:hAnsi="Arial"/>
                <w:sz w:val="18"/>
                <w:szCs w:val="18"/>
                <w:color w:val="auto"/>
              </w:rPr>
              <w:t>issued and outstanding</w:t>
            </w:r>
          </w:p>
        </w:tc>
        <w:tc>
          <w:tcPr>
            <w:tcW w:w="300" w:type="dxa"/>
            <w:vAlign w:val="bottom"/>
          </w:tcPr>
          <w:p>
            <w:pPr>
              <w:spacing w:after="0"/>
              <w:rPr>
                <w:sz w:val="20"/>
                <w:szCs w:val="20"/>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40,430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26,960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26,229</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66,668</w:t>
            </w:r>
          </w:p>
        </w:tc>
      </w:tr>
      <w:tr>
        <w:trPr>
          <w:trHeight w:val="257"/>
        </w:trPr>
        <w:tc>
          <w:tcPr>
            <w:tcW w:w="7200" w:type="dxa"/>
            <w:vAlign w:val="bottom"/>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79,499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91,939</w:t>
            </w: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33"/>
        </w:trPr>
        <w:tc>
          <w:tcPr>
            <w:tcW w:w="8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51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2012</w:t>
            </w:r>
          </w:p>
        </w:tc>
      </w:tr>
      <w:tr>
        <w:trPr>
          <w:trHeight w:val="33"/>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4,046</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6,108</w:t>
            </w:r>
          </w:p>
        </w:tc>
      </w:tr>
      <w:tr>
        <w:trPr>
          <w:trHeight w:val="291"/>
        </w:trPr>
        <w:tc>
          <w:tcPr>
            <w:tcW w:w="83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7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2,134</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1,480</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litigation, net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37"/>
        </w:trPr>
        <w:tc>
          <w:tcPr>
            <w:tcW w:w="832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5,372</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83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736</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37"/>
        </w:trPr>
        <w:tc>
          <w:tcPr>
            <w:tcW w:w="832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752</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r>
      <w:tr>
        <w:trPr>
          <w:trHeight w:val="304"/>
        </w:trPr>
        <w:tc>
          <w:tcPr>
            <w:tcW w:w="8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478</w:t>
            </w:r>
          </w:p>
        </w:tc>
      </w:tr>
      <w:tr>
        <w:trPr>
          <w:trHeight w:val="284"/>
        </w:trPr>
        <w:tc>
          <w:tcPr>
            <w:tcW w:w="83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297"/>
        </w:trPr>
        <w:tc>
          <w:tcPr>
            <w:tcW w:w="8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9,152,859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9,098,152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9,394,181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9,246,310</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60" w:type="dxa"/>
            <w:vAlign w:val="bottom"/>
            <w:gridSpan w:val="4"/>
          </w:tcPr>
          <w:p>
            <w:pPr>
              <w:jc w:val="right"/>
              <w:ind w:right="450"/>
              <w:spacing w:after="0"/>
              <w:rPr>
                <w:sz w:val="20"/>
                <w:szCs w:val="20"/>
                <w:color w:val="auto"/>
              </w:rPr>
            </w:pPr>
            <w:r>
              <w:rPr>
                <w:rFonts w:ascii="Arial" w:cs="Arial" w:eastAsia="Arial" w:hAnsi="Arial"/>
                <w:sz w:val="16"/>
                <w:szCs w:val="16"/>
                <w:b w:val="1"/>
                <w:bCs w:val="1"/>
                <w:color w:val="auto"/>
                <w:w w:val="97"/>
              </w:rPr>
              <w:t>Three months ended March 31,</w:t>
            </w:r>
          </w:p>
        </w:tc>
      </w:tr>
      <w:tr>
        <w:trPr>
          <w:trHeight w:val="33"/>
        </w:trPr>
        <w:tc>
          <w:tcPr>
            <w:tcW w:w="8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8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55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6"/>
                <w:szCs w:val="16"/>
                <w:b w:val="1"/>
                <w:bCs w:val="1"/>
                <w:color w:val="auto"/>
              </w:rPr>
              <w:t>2012</w:t>
            </w:r>
          </w:p>
        </w:tc>
      </w:tr>
      <w:tr>
        <w:trPr>
          <w:trHeight w:val="33"/>
        </w:trPr>
        <w:tc>
          <w:tcPr>
            <w:tcW w:w="8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478</w:t>
            </w:r>
          </w:p>
        </w:tc>
      </w:tr>
      <w:tr>
        <w:trPr>
          <w:trHeight w:val="27"/>
        </w:trPr>
        <w:tc>
          <w:tcPr>
            <w:tcW w:w="8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(used in)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Depreciation and amortization expense</w:t>
            </w:r>
          </w:p>
        </w:tc>
        <w:tc>
          <w:tcPr>
            <w:tcW w:w="4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329</w:t>
            </w:r>
          </w:p>
        </w:tc>
      </w:tr>
      <w:tr>
        <w:trPr>
          <w:trHeight w:val="27"/>
        </w:trPr>
        <w:tc>
          <w:tcPr>
            <w:tcW w:w="8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deferred rent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8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(recoveries of) doubtful accounts, net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Inventory valuation reserve adjustments</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8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Receivables</w:t>
            </w:r>
          </w:p>
        </w:tc>
        <w:tc>
          <w:tcPr>
            <w:tcW w:w="4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1,416</w:t>
            </w:r>
          </w:p>
        </w:tc>
      </w:tr>
      <w:tr>
        <w:trPr>
          <w:trHeight w:val="27"/>
        </w:trPr>
        <w:tc>
          <w:tcPr>
            <w:tcW w:w="8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(2,224)</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(984)</w:t>
            </w:r>
          </w:p>
        </w:tc>
      </w:tr>
      <w:tr>
        <w:trPr>
          <w:trHeight w:val="27"/>
        </w:trPr>
        <w:tc>
          <w:tcPr>
            <w:tcW w:w="8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(1,064)</w:t>
            </w:r>
          </w:p>
        </w:tc>
      </w:tr>
      <w:tr>
        <w:trPr>
          <w:trHeight w:val="27"/>
        </w:trPr>
        <w:tc>
          <w:tcPr>
            <w:tcW w:w="8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product revenue</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Other long-term liabilities</w:t>
            </w:r>
          </w:p>
        </w:tc>
        <w:tc>
          <w:tcPr>
            <w:tcW w:w="4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8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r>
      <w:tr>
        <w:trPr>
          <w:trHeight w:val="345"/>
        </w:trPr>
        <w:tc>
          <w:tcPr>
            <w:tcW w:w="81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Payment towards business acquisitions</w:t>
            </w:r>
          </w:p>
        </w:tc>
        <w:tc>
          <w:tcPr>
            <w:tcW w:w="4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(4,632)</w:t>
            </w:r>
          </w:p>
        </w:tc>
      </w:tr>
      <w:tr>
        <w:trPr>
          <w:trHeight w:val="27"/>
        </w:trPr>
        <w:tc>
          <w:tcPr>
            <w:tcW w:w="8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 of property and equipment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7"/>
        </w:trPr>
        <w:tc>
          <w:tcPr>
            <w:tcW w:w="81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(4,697)</w:t>
            </w:r>
          </w:p>
        </w:tc>
      </w:tr>
      <w:tr>
        <w:trPr>
          <w:trHeight w:val="27"/>
        </w:trPr>
        <w:tc>
          <w:tcPr>
            <w:tcW w:w="8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45"/>
        </w:trPr>
        <w:tc>
          <w:tcPr>
            <w:tcW w:w="81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the exercise of stock options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Treasury stock purchased</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45"/>
        </w:trPr>
        <w:tc>
          <w:tcPr>
            <w:tcW w:w="81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(6,106)</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4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55,509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16,683</w:t>
            </w:r>
          </w:p>
        </w:tc>
      </w:tr>
      <w:tr>
        <w:trPr>
          <w:trHeight w:val="27"/>
        </w:trPr>
        <w:tc>
          <w:tcPr>
            <w:tcW w:w="8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42,580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10,577</w:t>
            </w:r>
          </w:p>
        </w:tc>
      </w:tr>
      <w:tr>
        <w:trPr>
          <w:trHeight w:val="20"/>
        </w:trPr>
        <w:tc>
          <w:tcPr>
            <w:tcW w:w="8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38"/>
        </w:trPr>
        <w:tc>
          <w:tcPr>
            <w:tcW w:w="8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Cash paid for income taxes</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15,346</w:t>
            </w:r>
          </w:p>
        </w:tc>
        <w:tc>
          <w:tcPr>
            <w:tcW w:w="100" w:type="dxa"/>
            <w:vAlign w:val="bottom"/>
          </w:tcPr>
          <w:p>
            <w:pPr>
              <w:spacing w:after="0"/>
              <w:rPr>
                <w:sz w:val="21"/>
                <w:szCs w:val="21"/>
                <w:color w:val="auto"/>
              </w:rPr>
            </w:pP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1,378</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4" w:lineRule="exact"/>
        <w:rPr>
          <w:sz w:val="20"/>
          <w:szCs w:val="20"/>
          <w:color w:val="auto"/>
        </w:rPr>
      </w:pPr>
    </w:p>
    <w:p>
      <w:pPr>
        <w:ind w:left="8020"/>
        <w:spacing w:after="0"/>
        <w:rPr>
          <w:sz w:val="20"/>
          <w:szCs w:val="20"/>
          <w:color w:val="auto"/>
        </w:rPr>
      </w:pPr>
      <w:r>
        <w:rPr>
          <w:rFonts w:ascii="Arial" w:cs="Arial" w:eastAsia="Arial" w:hAnsi="Arial"/>
          <w:sz w:val="15"/>
          <w:szCs w:val="15"/>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45085</wp:posOffset>
            </wp:positionV>
            <wp:extent cx="1551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91" w:lineRule="exact"/>
        <w:rPr>
          <w:sz w:val="20"/>
          <w:szCs w:val="20"/>
          <w:color w:val="auto"/>
        </w:rPr>
      </w:pPr>
    </w:p>
    <w:p>
      <w:pPr>
        <w:ind w:left="8280"/>
        <w:spacing w:after="0"/>
        <w:tabs>
          <w:tab w:leader="none" w:pos="9540" w:val="left"/>
        </w:tabs>
        <w:rPr>
          <w:sz w:val="20"/>
          <w:szCs w:val="20"/>
          <w:color w:val="auto"/>
        </w:rPr>
      </w:pPr>
      <w:r>
        <w:rPr>
          <w:rFonts w:ascii="Arial" w:cs="Arial" w:eastAsia="Arial" w:hAnsi="Arial"/>
          <w:sz w:val="16"/>
          <w:szCs w:val="16"/>
          <w:b w:val="1"/>
          <w:bCs w:val="1"/>
          <w:color w:val="auto"/>
        </w:rPr>
        <w:t>2013</w:t>
      </w:r>
      <w:r>
        <w:rPr>
          <w:sz w:val="20"/>
          <w:szCs w:val="20"/>
          <w:color w:val="auto"/>
        </w:rPr>
        <w:tab/>
      </w:r>
      <w:r>
        <w:rPr>
          <w:rFonts w:ascii="Arial" w:cs="Arial" w:eastAsia="Arial" w:hAnsi="Arial"/>
          <w:sz w:val="16"/>
          <w:szCs w:val="16"/>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37465</wp:posOffset>
            </wp:positionV>
            <wp:extent cx="5848985"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18034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Supplemental disclosure of non-cash activities:</w:t>
      </w:r>
    </w:p>
    <w:p>
      <w:pPr>
        <w:spacing w:after="0" w:line="63" w:lineRule="exact"/>
        <w:rPr>
          <w:sz w:val="20"/>
          <w:szCs w:val="20"/>
          <w:color w:val="auto"/>
        </w:rPr>
      </w:pPr>
    </w:p>
    <w:p>
      <w:pPr>
        <w:ind w:left="1140" w:right="2660"/>
        <w:spacing w:after="0" w:line="274" w:lineRule="auto"/>
        <w:rPr>
          <w:sz w:val="20"/>
          <w:szCs w:val="20"/>
          <w:color w:val="auto"/>
        </w:rPr>
      </w:pPr>
      <w:r>
        <w:rPr>
          <w:rFonts w:ascii="Arial" w:cs="Arial" w:eastAsia="Arial" w:hAnsi="Arial"/>
          <w:sz w:val="18"/>
          <w:szCs w:val="18"/>
          <w:color w:val="auto"/>
        </w:rPr>
        <w:t>The Company acquired the business of VCON Video Conferencing, Ltd. in February 2012 and recorded the following assets and liabilities:</w:t>
      </w:r>
    </w:p>
    <w:p>
      <w:pPr>
        <w:spacing w:after="0" w:line="1" w:lineRule="exact"/>
        <w:rPr>
          <w:sz w:val="20"/>
          <w:szCs w:val="20"/>
          <w:color w:val="auto"/>
        </w:rPr>
      </w:pPr>
    </w:p>
    <w:tbl>
      <w:tblPr>
        <w:tblLayout w:type="fixed"/>
        <w:tblInd w:w="1120" w:type="dxa"/>
        <w:tblCellMar>
          <w:top w:w="0" w:type="dxa"/>
          <w:left w:w="0" w:type="dxa"/>
          <w:bottom w:w="0" w:type="dxa"/>
          <w:right w:w="0" w:type="dxa"/>
        </w:tblCellMar>
      </w:tblPr>
      <w:tr>
        <w:trPr>
          <w:trHeight w:val="27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520" w:type="dxa"/>
            <w:vAlign w:val="bottom"/>
          </w:tcPr>
          <w:p>
            <w:pPr>
              <w:spacing w:after="0"/>
              <w:rPr>
                <w:sz w:val="21"/>
                <w:szCs w:val="21"/>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warranty liability</w:t>
            </w: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Proprietary software</w:t>
            </w:r>
          </w:p>
        </w:tc>
        <w:tc>
          <w:tcPr>
            <w:tcW w:w="520" w:type="dxa"/>
            <w:vAlign w:val="bottom"/>
          </w:tcPr>
          <w:p>
            <w:pPr>
              <w:spacing w:after="0"/>
              <w:rPr>
                <w:sz w:val="21"/>
                <w:szCs w:val="21"/>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2,247</w:t>
            </w:r>
          </w:p>
        </w:tc>
      </w:tr>
      <w:tr>
        <w:trPr>
          <w:trHeight w:val="27"/>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2,319</w:t>
            </w:r>
          </w:p>
        </w:tc>
      </w:tr>
      <w:tr>
        <w:trPr>
          <w:trHeight w:val="237"/>
        </w:trPr>
        <w:tc>
          <w:tcPr>
            <w:tcW w:w="6760" w:type="dxa"/>
            <w:vAlign w:val="bottom"/>
          </w:tcPr>
          <w:p>
            <w:pPr>
              <w:ind w:left="20"/>
              <w:spacing w:after="0"/>
              <w:rPr>
                <w:sz w:val="20"/>
                <w:szCs w:val="20"/>
                <w:color w:val="auto"/>
              </w:rPr>
            </w:pPr>
            <w:r>
              <w:rPr>
                <w:rFonts w:ascii="Arial" w:cs="Arial" w:eastAsia="Arial" w:hAnsi="Arial"/>
                <w:sz w:val="18"/>
                <w:szCs w:val="18"/>
                <w:color w:val="auto"/>
              </w:rPr>
              <w:t>Cash paid</w:t>
            </w: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4,632</w:t>
            </w:r>
          </w:p>
        </w:tc>
      </w:tr>
      <w:tr>
        <w:trPr>
          <w:trHeight w:val="27"/>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482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20"/>
          </w:cols>
          <w:pgMar w:left="240" w:top="121" w:right="1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Business Description:</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ClearOne, Inc. and its subsidiaries (collectively, “ClearOne” or the “Company”) are a global company that designs, develops and sells conferencing, collaboration, streaming and digital signage solutions for audio and visual communications. The performance and simplicity of its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Basis of Presentation:</w:t>
      </w:r>
    </w:p>
    <w:p>
      <w:pPr>
        <w:spacing w:after="0" w:line="225" w:lineRule="exact"/>
        <w:rPr>
          <w:sz w:val="20"/>
          <w:szCs w:val="20"/>
          <w:color w:val="auto"/>
        </w:rPr>
      </w:pPr>
    </w:p>
    <w:p>
      <w:pPr>
        <w:ind w:right="460"/>
        <w:spacing w:after="0" w:line="216" w:lineRule="auto"/>
        <w:rPr>
          <w:sz w:val="20"/>
          <w:szCs w:val="20"/>
          <w:color w:val="auto"/>
        </w:rPr>
      </w:pPr>
      <w:r>
        <w:rPr>
          <w:rFonts w:ascii="Arial" w:cs="Arial" w:eastAsia="Arial" w:hAnsi="Arial"/>
          <w:sz w:val="18"/>
          <w:szCs w:val="18"/>
          <w:color w:val="auto"/>
        </w:rPr>
        <w:t>The fiscal year for ClearOne is the 12 months ending on December 31</w:t>
      </w:r>
      <w:r>
        <w:rPr>
          <w:rFonts w:ascii="Arial" w:cs="Arial" w:eastAsia="Arial" w:hAnsi="Arial"/>
          <w:sz w:val="25"/>
          <w:szCs w:val="25"/>
          <w:color w:val="auto"/>
          <w:vertAlign w:val="superscript"/>
        </w:rPr>
        <w:t>st</w:t>
      </w:r>
      <w:r>
        <w:rPr>
          <w:rFonts w:ascii="Arial" w:cs="Arial" w:eastAsia="Arial" w:hAnsi="Arial"/>
          <w:sz w:val="18"/>
          <w:szCs w:val="18"/>
          <w:color w:val="auto"/>
        </w:rPr>
        <w:t>. The consolidated financial statements include the accounts of ClearOne and its subsidiaries. All significant inter-company accounts and transactions have been eliminated.</w:t>
      </w:r>
    </w:p>
    <w:p>
      <w:pPr>
        <w:spacing w:after="0" w:line="20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These accompanying interim condensed consolidated financial statements for the three months ended March 31, 2013 and 2012, respectively,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consolidated financial statements contain all adjustments, consisting of normal recurring accruals, necessary for a fair presentation of our financial position as of March 31, 2013 and December 31, 2012, the results of operations for the three months ended March 31, 2013 and 2012, and the statements of cash flows for the three months ended March 31, 2013 and 2012. The results of operations for the three months ended March 31, 2013 and 2012 are not necessarily indicative of the results for a full-year period. These interim condensed consolidated financial statements should be read in conjunction with the financial statements included in our Annual Report on Form 10-K for the year ended December 31, 2012 filed with the SEC.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Significant Accounting Policies: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significant accounting policies were described in Note 2 to the audited consolidated financial statements included in the Company’s annual report on Form 10-K for the year ended December 31, 2012. There have been no changes to these policies during the three months ended March 31, 2013 that are of significance or potential significance to the Company.</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Warranty Costs </w:t>
      </w:r>
      <w:r>
        <w:rPr>
          <w:rFonts w:ascii="Arial" w:cs="Arial" w:eastAsia="Arial" w:hAnsi="Arial"/>
          <w:sz w:val="18"/>
          <w:szCs w:val="18"/>
          <w:color w:val="auto"/>
        </w:rPr>
        <w:t>– The Company accrues for warranty costs based on estimated warranty return rates and estimated costs to repair. Factors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warranty liability include the number of units sold, historical and anticipated rates of warranty returns, and repair cost. The Company reviews the adequacy of its recorded warranty accrual on a quarterly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changes in the Company’s warranty accrual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March 31, 2013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jc w:val="right"/>
              <w:ind w:right="452"/>
              <w:spacing w:after="0"/>
              <w:rPr>
                <w:sz w:val="20"/>
                <w:szCs w:val="20"/>
                <w:color w:val="auto"/>
              </w:rPr>
            </w:pPr>
            <w:r>
              <w:rPr>
                <w:rFonts w:ascii="Arial" w:cs="Arial" w:eastAsia="Arial" w:hAnsi="Arial"/>
                <w:sz w:val="16"/>
                <w:szCs w:val="16"/>
                <w:b w:val="1"/>
                <w:bCs w:val="1"/>
                <w:color w:val="auto"/>
                <w:w w:val="99"/>
              </w:rPr>
              <w:t>December 31, 2012</w:t>
            </w:r>
          </w:p>
        </w:tc>
      </w:tr>
      <w:tr>
        <w:trPr>
          <w:trHeight w:val="33"/>
        </w:trPr>
        <w:tc>
          <w:tcPr>
            <w:tcW w:w="67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ind w:left="40"/>
              <w:spacing w:after="0"/>
              <w:rPr>
                <w:sz w:val="20"/>
                <w:szCs w:val="20"/>
                <w:color w:val="auto"/>
              </w:rPr>
            </w:pPr>
            <w:r>
              <w:rPr>
                <w:rFonts w:ascii="Arial" w:cs="Arial" w:eastAsia="Arial" w:hAnsi="Arial"/>
                <w:sz w:val="18"/>
                <w:szCs w:val="18"/>
                <w:color w:val="auto"/>
              </w:rPr>
              <w:t>Balance at the beginning of year</w:t>
            </w:r>
          </w:p>
        </w:tc>
        <w:tc>
          <w:tcPr>
            <w:tcW w:w="1720" w:type="dxa"/>
            <w:vAlign w:val="bottom"/>
          </w:tcPr>
          <w:p>
            <w:pPr>
              <w:jc w:val="right"/>
              <w:ind w:right="1393"/>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0"/>
                <w:szCs w:val="20"/>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467</w:t>
            </w:r>
          </w:p>
        </w:tc>
      </w:tr>
      <w:tr>
        <w:trPr>
          <w:trHeight w:val="27"/>
        </w:trPr>
        <w:tc>
          <w:tcPr>
            <w:tcW w:w="6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Warranty accruals/additions</w:t>
            </w:r>
          </w:p>
        </w:tc>
        <w:tc>
          <w:tcPr>
            <w:tcW w:w="17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w:t>
            </w:r>
          </w:p>
        </w:tc>
      </w:tr>
      <w:tr>
        <w:trPr>
          <w:trHeight w:val="243"/>
        </w:trPr>
        <w:tc>
          <w:tcPr>
            <w:tcW w:w="6700" w:type="dxa"/>
            <w:vAlign w:val="bottom"/>
          </w:tcPr>
          <w:p>
            <w:pPr>
              <w:ind w:left="220"/>
              <w:spacing w:after="0"/>
              <w:rPr>
                <w:sz w:val="20"/>
                <w:szCs w:val="20"/>
                <w:color w:val="auto"/>
              </w:rPr>
            </w:pPr>
            <w:r>
              <w:rPr>
                <w:rFonts w:ascii="Arial" w:cs="Arial" w:eastAsia="Arial" w:hAnsi="Arial"/>
                <w:sz w:val="18"/>
                <w:szCs w:val="18"/>
                <w:color w:val="auto"/>
              </w:rPr>
              <w:t>Warranty usage</w:t>
            </w:r>
          </w:p>
        </w:tc>
        <w:tc>
          <w:tcPr>
            <w:tcW w:w="17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(525)</w:t>
            </w:r>
          </w:p>
        </w:tc>
      </w:tr>
      <w:tr>
        <w:trPr>
          <w:trHeight w:val="27"/>
        </w:trPr>
        <w:tc>
          <w:tcPr>
            <w:tcW w:w="67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720" w:type="dxa"/>
            <w:vAlign w:val="bottom"/>
            <w:tcBorders>
              <w:bottom w:val="single" w:sz="8" w:color="auto"/>
            </w:tcBorders>
            <w:shd w:val="clear" w:color="auto" w:fill="CCEEFF"/>
          </w:tcPr>
          <w:p>
            <w:pPr>
              <w:jc w:val="right"/>
              <w:ind w:right="13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385</w:t>
            </w:r>
          </w:p>
        </w:tc>
      </w:tr>
      <w:tr>
        <w:trPr>
          <w:trHeight w:val="20"/>
        </w:trPr>
        <w:tc>
          <w:tcPr>
            <w:tcW w:w="67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following table sets forth the computation of basic and diluted earnings per common share: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jc w:val="right"/>
              <w:ind w:right="371"/>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270"/>
        </w:trPr>
        <w:tc>
          <w:tcPr>
            <w:tcW w:w="8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ind w:right="511"/>
              <w:spacing w:after="0"/>
              <w:rPr>
                <w:sz w:val="20"/>
                <w:szCs w:val="20"/>
                <w:color w:val="auto"/>
              </w:rPr>
            </w:pPr>
            <w:r>
              <w:rPr>
                <w:rFonts w:ascii="Arial" w:cs="Arial" w:eastAsia="Arial" w:hAnsi="Arial"/>
                <w:sz w:val="16"/>
                <w:szCs w:val="16"/>
                <w:b w:val="1"/>
                <w:bCs w:val="1"/>
                <w:color w:val="auto"/>
              </w:rPr>
              <w:t>2012</w:t>
            </w:r>
          </w:p>
        </w:tc>
      </w:tr>
      <w:tr>
        <w:trPr>
          <w:trHeight w:val="33"/>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478</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220"/>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9,152,859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9,098,152</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Dilutive common stock equivalents using treasury stock method</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241,322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148,158</w:t>
            </w:r>
          </w:p>
        </w:tc>
      </w:tr>
      <w:tr>
        <w:trPr>
          <w:trHeight w:val="297"/>
        </w:trPr>
        <w:tc>
          <w:tcPr>
            <w:tcW w:w="8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Diluted weighted average shares outstanding</w:t>
            </w: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9,394,181</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9,246,310</w:t>
            </w:r>
          </w:p>
        </w:tc>
      </w:tr>
      <w:tr>
        <w:trPr>
          <w:trHeight w:val="311"/>
        </w:trPr>
        <w:tc>
          <w:tcPr>
            <w:tcW w:w="8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0.05</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r>
      <w:tr>
        <w:trPr>
          <w:trHeight w:val="324"/>
        </w:trPr>
        <w:tc>
          <w:tcPr>
            <w:tcW w:w="8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options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1,128,483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1,163,526</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Anti-dilutive options not included in the computations</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208,957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563,237</w:t>
            </w:r>
          </w:p>
        </w:tc>
      </w:tr>
    </w:tbl>
    <w:p>
      <w:pPr>
        <w:spacing w:after="0" w:line="22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March 31, 2013 and December 31, 2012 consisted of the following:</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Estimated useful</w:t>
            </w: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0"/>
        </w:trPr>
        <w:tc>
          <w:tcPr>
            <w:tcW w:w="59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lives</w:t>
            </w:r>
          </w:p>
        </w:tc>
        <w:tc>
          <w:tcPr>
            <w:tcW w:w="30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2013</w:t>
            </w:r>
          </w:p>
        </w:tc>
        <w:tc>
          <w:tcPr>
            <w:tcW w:w="300" w:type="dxa"/>
            <w:vAlign w:val="bottom"/>
          </w:tcPr>
          <w:p>
            <w:pPr>
              <w:spacing w:after="0"/>
              <w:rPr>
                <w:sz w:val="18"/>
                <w:szCs w:val="18"/>
                <w:color w:val="auto"/>
              </w:rPr>
            </w:pPr>
          </w:p>
        </w:tc>
        <w:tc>
          <w:tcPr>
            <w:tcW w:w="1720" w:type="dxa"/>
            <w:vAlign w:val="bottom"/>
          </w:tcPr>
          <w:p>
            <w:pPr>
              <w:jc w:val="right"/>
              <w:ind w:right="271"/>
              <w:spacing w:after="0"/>
              <w:rPr>
                <w:sz w:val="20"/>
                <w:szCs w:val="20"/>
                <w:color w:val="auto"/>
              </w:rPr>
            </w:pPr>
            <w:r>
              <w:rPr>
                <w:rFonts w:ascii="Arial" w:cs="Arial" w:eastAsia="Arial" w:hAnsi="Arial"/>
                <w:sz w:val="16"/>
                <w:szCs w:val="16"/>
                <w:b w:val="1"/>
                <w:bCs w:val="1"/>
                <w:color w:val="auto"/>
                <w:w w:val="92"/>
              </w:rPr>
              <w:t>December 31, 2012</w:t>
            </w:r>
          </w:p>
        </w:tc>
      </w:tr>
      <w:tr>
        <w:trPr>
          <w:trHeight w:val="33"/>
        </w:trPr>
        <w:tc>
          <w:tcPr>
            <w:tcW w:w="59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Tradename</w:t>
            </w: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7 years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Patents and technological know-how</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10 years</w:t>
            </w:r>
          </w:p>
        </w:tc>
        <w:tc>
          <w:tcPr>
            <w:tcW w:w="3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2,070</w:t>
            </w:r>
          </w:p>
        </w:tc>
      </w:tr>
      <w:tr>
        <w:trPr>
          <w:trHeight w:val="27"/>
        </w:trPr>
        <w:tc>
          <w:tcPr>
            <w:tcW w:w="5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software</w:t>
            </w: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15 years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2,961</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In-process research and development</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Indefinite</w:t>
            </w:r>
          </w:p>
        </w:tc>
        <w:tc>
          <w:tcPr>
            <w:tcW w:w="3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159</w:t>
            </w:r>
          </w:p>
        </w:tc>
      </w:tr>
      <w:tr>
        <w:trPr>
          <w:trHeight w:val="27"/>
        </w:trPr>
        <w:tc>
          <w:tcPr>
            <w:tcW w:w="5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5 years</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37"/>
        </w:trPr>
        <w:tc>
          <w:tcPr>
            <w:tcW w:w="5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5,674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5,674</w:t>
            </w:r>
          </w:p>
        </w:tc>
      </w:tr>
      <w:tr>
        <w:trPr>
          <w:trHeight w:val="27"/>
        </w:trPr>
        <w:tc>
          <w:tcPr>
            <w:tcW w:w="5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r>
      <w:tr>
        <w:trPr>
          <w:trHeight w:val="237"/>
        </w:trPr>
        <w:tc>
          <w:tcPr>
            <w:tcW w:w="5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4,115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4,258</w:t>
            </w:r>
          </w:p>
        </w:tc>
      </w:tr>
      <w:tr>
        <w:trPr>
          <w:trHeight w:val="27"/>
        </w:trPr>
        <w:tc>
          <w:tcPr>
            <w:tcW w:w="5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5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intangibles with finite lives as of March 31, 2013 and March 31, 2012 was as follows:</w:t>
      </w:r>
    </w:p>
    <w:p>
      <w:pPr>
        <w:spacing w:after="0" w:line="185"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p>
      <w:pPr>
        <w:ind w:left="8100"/>
        <w:spacing w:after="0"/>
        <w:tabs>
          <w:tab w:leader="none" w:pos="10160" w:val="left"/>
        </w:tabs>
        <w:rPr>
          <w:sz w:val="20"/>
          <w:szCs w:val="20"/>
          <w:color w:val="auto"/>
        </w:rPr>
      </w:pPr>
      <w:r>
        <w:rPr>
          <w:rFonts w:ascii="Arial" w:cs="Arial" w:eastAsia="Arial" w:hAnsi="Arial"/>
          <w:sz w:val="16"/>
          <w:szCs w:val="16"/>
          <w:b w:val="1"/>
          <w:bCs w:val="1"/>
          <w:color w:val="auto"/>
        </w:rPr>
        <w:t>2013</w:t>
      </w:r>
      <w:r>
        <w:rPr>
          <w:sz w:val="20"/>
          <w:szCs w:val="20"/>
          <w:color w:val="auto"/>
        </w:rPr>
        <w:tab/>
      </w:r>
      <w:r>
        <w:rPr>
          <w:rFonts w:ascii="Arial" w:cs="Arial" w:eastAsia="Arial" w:hAnsi="Arial"/>
          <w:sz w:val="16"/>
          <w:szCs w:val="16"/>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7480" w:val="left"/>
          <w:tab w:leader="none" w:pos="8760" w:val="left"/>
          <w:tab w:leader="none" w:pos="9400" w:val="left"/>
          <w:tab w:leader="none" w:pos="11020" w:val="left"/>
        </w:tabs>
        <w:rPr>
          <w:sz w:val="20"/>
          <w:szCs w:val="20"/>
          <w:color w:val="auto"/>
        </w:rPr>
      </w:pPr>
      <w:r>
        <w:rPr>
          <w:rFonts w:ascii="Arial" w:cs="Arial" w:eastAsia="Arial" w:hAnsi="Arial"/>
          <w:sz w:val="18"/>
          <w:szCs w:val="18"/>
          <w:color w:val="auto"/>
        </w:rPr>
        <w:t>Amortization of intangibles with finite lives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gridSpan w:val="3"/>
          </w:tcPr>
          <w:p>
            <w:pPr>
              <w:spacing w:after="0"/>
              <w:rPr>
                <w:sz w:val="20"/>
                <w:szCs w:val="20"/>
                <w:color w:val="auto"/>
              </w:rPr>
            </w:pPr>
            <w:r>
              <w:rPr>
                <w:rFonts w:ascii="Arial" w:cs="Arial" w:eastAsia="Arial" w:hAnsi="Arial"/>
                <w:sz w:val="18"/>
                <w:szCs w:val="18"/>
                <w:color w:val="auto"/>
              </w:rPr>
              <w:t>The estimated future amortization expense of intangible assets is as follows:</w:t>
            </w: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34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080" w:type="dxa"/>
            <w:vAlign w:val="bottom"/>
            <w:tcBorders>
              <w:top w:val="single" w:sz="8" w:color="auto"/>
            </w:tcBorders>
          </w:tcPr>
          <w:p>
            <w:pPr>
              <w:spacing w:after="0"/>
              <w:rPr>
                <w:sz w:val="4"/>
                <w:szCs w:val="4"/>
                <w:color w:val="auto"/>
              </w:rPr>
            </w:pPr>
          </w:p>
        </w:tc>
        <w:tc>
          <w:tcPr>
            <w:tcW w:w="5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2013 (remainder)  $</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2014</w:t>
            </w:r>
          </w:p>
        </w:tc>
        <w:tc>
          <w:tcPr>
            <w:tcW w:w="5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5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43"/>
        </w:trPr>
        <w:tc>
          <w:tcPr>
            <w:tcW w:w="73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3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4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40" w:type="dxa"/>
            <w:vAlign w:val="bottom"/>
            <w:gridSpan w:val="3"/>
          </w:tcPr>
          <w:p>
            <w:pPr>
              <w:spacing w:after="0"/>
              <w:rPr>
                <w:sz w:val="20"/>
                <w:szCs w:val="20"/>
                <w:color w:val="auto"/>
              </w:rPr>
            </w:pPr>
            <w:r>
              <w:rPr>
                <w:rFonts w:ascii="Arial" w:cs="Arial" w:eastAsia="Arial" w:hAnsi="Arial"/>
                <w:sz w:val="18"/>
                <w:szCs w:val="18"/>
                <w:color w:val="auto"/>
                <w:w w:val="90"/>
              </w:rPr>
              <w:t>Inventories, net of reserves, as of March 31, 2013 and December 31, 2012 consisted of the following:</w:t>
            </w: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2013</w:t>
            </w:r>
          </w:p>
        </w:tc>
        <w:tc>
          <w:tcPr>
            <w:tcW w:w="2040" w:type="dxa"/>
            <w:vAlign w:val="bottom"/>
            <w:gridSpan w:val="3"/>
          </w:tcPr>
          <w:p>
            <w:pPr>
              <w:jc w:val="right"/>
              <w:ind w:right="270"/>
              <w:spacing w:after="0"/>
              <w:rPr>
                <w:sz w:val="20"/>
                <w:szCs w:val="20"/>
                <w:color w:val="auto"/>
              </w:rPr>
            </w:pPr>
            <w:r>
              <w:rPr>
                <w:rFonts w:ascii="Arial" w:cs="Arial" w:eastAsia="Arial" w:hAnsi="Arial"/>
                <w:sz w:val="16"/>
                <w:szCs w:val="16"/>
                <w:b w:val="1"/>
                <w:bCs w:val="1"/>
                <w:color w:val="auto"/>
              </w:rPr>
              <w:t>December 31, 2012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00" w:type="dxa"/>
            <w:vAlign w:val="bottom"/>
            <w:gridSpan w:val="2"/>
          </w:tcPr>
          <w:p>
            <w:pPr>
              <w:ind w:left="180"/>
              <w:spacing w:after="0"/>
              <w:rPr>
                <w:sz w:val="20"/>
                <w:szCs w:val="20"/>
                <w:color w:val="auto"/>
              </w:rPr>
            </w:pPr>
            <w:r>
              <w:rPr>
                <w:rFonts w:ascii="Arial" w:cs="Arial" w:eastAsia="Arial" w:hAnsi="Arial"/>
                <w:sz w:val="18"/>
                <w:szCs w:val="18"/>
                <w:color w:val="auto"/>
              </w:rPr>
              <w:t>Raw materials</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c>
          <w:tcPr>
            <w:tcW w:w="4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10,668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11,604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10,873</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080" w:type="dxa"/>
            <w:vAlign w:val="bottom"/>
            <w:tcBorders>
              <w:bottom w:val="single" w:sz="8" w:color="CCEEFF"/>
            </w:tcBorders>
          </w:tcPr>
          <w:p>
            <w:pPr>
              <w:spacing w:after="0"/>
              <w:rPr>
                <w:sz w:val="5"/>
                <w:szCs w:val="5"/>
                <w:color w:val="auto"/>
              </w:rPr>
            </w:pPr>
          </w:p>
        </w:tc>
        <w:tc>
          <w:tcPr>
            <w:tcW w:w="52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w:t>
            </w:r>
          </w:p>
        </w:tc>
        <w:tc>
          <w:tcPr>
            <w:tcW w:w="3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00" w:type="dxa"/>
            <w:vAlign w:val="bottom"/>
            <w:gridSpan w:val="2"/>
          </w:tcPr>
          <w:p>
            <w:pPr>
              <w:ind w:left="180"/>
              <w:spacing w:after="0"/>
              <w:rPr>
                <w:sz w:val="20"/>
                <w:szCs w:val="20"/>
                <w:color w:val="auto"/>
              </w:rPr>
            </w:pPr>
            <w:r>
              <w:rPr>
                <w:rFonts w:ascii="Arial" w:cs="Arial" w:eastAsia="Arial" w:hAnsi="Arial"/>
                <w:sz w:val="18"/>
                <w:szCs w:val="18"/>
                <w:color w:val="auto"/>
              </w:rPr>
              <w:t>Raw materials</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4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Long-term inventory represents inventory held in excess of our current (next 12 months) requirements based on our recent sales and forecasted level of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sell the above inventory, net of reserves, at or above the stated cost and believe that no loss will be incurred on its sale.</w:t>
      </w:r>
    </w:p>
    <w:p>
      <w:pPr>
        <w:spacing w:after="0" w:line="21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Current finished goods include consigned inventory in the amounts of approximately $1,568 and $1,289 as of March 31, 2013 and December 31, 2012, respectively. Consigned inventory represents inventory at distributors and other customers where revenue recognition criteria have not yet been achieved.</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the losses incurred on valuation of inventory at lower of cost or market value and write-off of obsolete inventory during the three months ended March 31, 2013 and 2012, respectively.</w:t>
      </w:r>
    </w:p>
    <w:p>
      <w:pPr>
        <w:spacing w:after="0" w:line="130" w:lineRule="exact"/>
        <w:rPr>
          <w:sz w:val="20"/>
          <w:szCs w:val="20"/>
          <w:color w:val="auto"/>
        </w:rPr>
      </w:pPr>
    </w:p>
    <w:p>
      <w:pPr>
        <w:ind w:left="876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p>
      <w:pPr>
        <w:ind w:left="8880"/>
        <w:spacing w:after="0"/>
        <w:tabs>
          <w:tab w:leader="none" w:pos="10500" w:val="left"/>
        </w:tabs>
        <w:rPr>
          <w:sz w:val="20"/>
          <w:szCs w:val="20"/>
          <w:color w:val="auto"/>
        </w:rPr>
      </w:pPr>
      <w:r>
        <w:rPr>
          <w:rFonts w:ascii="Arial" w:cs="Arial" w:eastAsia="Arial" w:hAnsi="Arial"/>
          <w:sz w:val="16"/>
          <w:szCs w:val="16"/>
          <w:b w:val="1"/>
          <w:bCs w:val="1"/>
          <w:color w:val="auto"/>
        </w:rPr>
        <w:t>2013</w:t>
      </w:r>
      <w:r>
        <w:rPr>
          <w:sz w:val="20"/>
          <w:szCs w:val="20"/>
          <w:color w:val="auto"/>
        </w:rPr>
        <w:tab/>
      </w:r>
      <w:r>
        <w:rPr>
          <w:rFonts w:ascii="Arial" w:cs="Arial" w:eastAsia="Arial" w:hAnsi="Arial"/>
          <w:sz w:val="16"/>
          <w:szCs w:val="16"/>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8380" w:val="left"/>
          <w:tab w:leader="none" w:pos="9540" w:val="left"/>
          <w:tab w:leader="none" w:pos="9960" w:val="left"/>
          <w:tab w:leader="none" w:pos="11120" w:val="left"/>
        </w:tabs>
        <w:rPr>
          <w:sz w:val="20"/>
          <w:szCs w:val="20"/>
          <w:color w:val="auto"/>
        </w:rPr>
      </w:pPr>
      <w:r>
        <w:rPr>
          <w:rFonts w:ascii="Arial" w:cs="Arial" w:eastAsia="Arial" w:hAnsi="Arial"/>
          <w:sz w:val="18"/>
          <w:szCs w:val="18"/>
          <w:color w:val="auto"/>
        </w:rPr>
        <w:t>Losses incurred on valuation of inventory and write-off of obsolete inventory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90</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4.</w:t>
        <w:tab/>
        <w:t>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has been recorded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7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360" w:type="dxa"/>
            <w:vAlign w:val="bottom"/>
          </w:tcPr>
          <w:p>
            <w:pPr>
              <w:spacing w:after="0"/>
              <w:rPr>
                <w:sz w:val="18"/>
                <w:szCs w:val="18"/>
                <w:color w:val="auto"/>
              </w:rPr>
            </w:pPr>
          </w:p>
        </w:tc>
      </w:tr>
      <w:tr>
        <w:trPr>
          <w:trHeight w:val="270"/>
        </w:trPr>
        <w:tc>
          <w:tcPr>
            <w:tcW w:w="8340" w:type="dxa"/>
            <w:vAlign w:val="bottom"/>
          </w:tcPr>
          <w:p>
            <w:pPr>
              <w:spacing w:after="0"/>
              <w:rPr>
                <w:sz w:val="23"/>
                <w:szCs w:val="23"/>
                <w:color w:val="auto"/>
              </w:rPr>
            </w:pPr>
          </w:p>
        </w:tc>
        <w:tc>
          <w:tcPr>
            <w:tcW w:w="1060" w:type="dxa"/>
            <w:vAlign w:val="bottom"/>
          </w:tcPr>
          <w:p>
            <w:pPr>
              <w:jc w:val="right"/>
              <w:ind w:right="54"/>
              <w:spacing w:after="0"/>
              <w:rPr>
                <w:sz w:val="20"/>
                <w:szCs w:val="20"/>
                <w:color w:val="auto"/>
              </w:rPr>
            </w:pPr>
            <w:r>
              <w:rPr>
                <w:rFonts w:ascii="Arial" w:cs="Arial" w:eastAsia="Arial" w:hAnsi="Arial"/>
                <w:sz w:val="16"/>
                <w:szCs w:val="16"/>
                <w:b w:val="1"/>
                <w:bCs w:val="1"/>
                <w:color w:val="auto"/>
              </w:rPr>
              <w:t>2013</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133"/>
              <w:spacing w:after="0"/>
              <w:rPr>
                <w:sz w:val="20"/>
                <w:szCs w:val="20"/>
                <w:color w:val="auto"/>
              </w:rPr>
            </w:pPr>
            <w:r>
              <w:rPr>
                <w:rFonts w:ascii="Arial" w:cs="Arial" w:eastAsia="Arial" w:hAnsi="Arial"/>
                <w:sz w:val="16"/>
                <w:szCs w:val="16"/>
                <w:b w:val="1"/>
                <w:bCs w:val="1"/>
                <w:color w:val="auto"/>
              </w:rPr>
              <w:t>2012</w:t>
            </w:r>
          </w:p>
        </w:tc>
        <w:tc>
          <w:tcPr>
            <w:tcW w:w="360" w:type="dxa"/>
            <w:vAlign w:val="bottom"/>
          </w:tcPr>
          <w:p>
            <w:pPr>
              <w:spacing w:after="0"/>
              <w:rPr>
                <w:sz w:val="23"/>
                <w:szCs w:val="23"/>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0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8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83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March 31, 2013, the total remaining unrecognized compensation cost related to non-vested stock options, net of forfeitures, was approximately $493, which will be recognized over a weighted average period of 2.56 years.</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During the three months ended March 31, 2013 and 2012, we granted 0 and 30,000 stock options, respectively. We use judgment in determining the fair value of the share-based payments on the date of grant using an option-pricing model with assumptions regarding a number of highly complex and subjective variables. These variables include the risk-free interest rate of the awards, the expected life of the awards, the expected volatility over the term of the awards, the expected dividends of the awards, and an estimate of the amount of awards that are expected to be forfeited. We use the Black-Scholes option pricing model to determine the fair value of share-based payments granted under ASC Topic 718.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applying the Black-Scholes methodology to the options granted, the Company used the following assumptions:</w:t>
      </w:r>
    </w:p>
    <w:p>
      <w:pPr>
        <w:spacing w:after="0" w:line="185" w:lineRule="exact"/>
        <w:rPr>
          <w:sz w:val="20"/>
          <w:szCs w:val="20"/>
          <w:color w:val="auto"/>
        </w:rPr>
      </w:pPr>
    </w:p>
    <w:p>
      <w:pPr>
        <w:ind w:left="880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00" w:type="dxa"/>
            <w:vAlign w:val="bottom"/>
            <w:gridSpan w:val="2"/>
          </w:tcPr>
          <w:p>
            <w:pPr>
              <w:ind w:left="8920"/>
              <w:spacing w:after="0"/>
              <w:rPr>
                <w:sz w:val="20"/>
                <w:szCs w:val="20"/>
                <w:color w:val="auto"/>
              </w:rPr>
            </w:pPr>
            <w:r>
              <w:rPr>
                <w:rFonts w:ascii="Arial" w:cs="Arial" w:eastAsia="Arial" w:hAnsi="Arial"/>
                <w:sz w:val="16"/>
                <w:szCs w:val="16"/>
                <w:b w:val="1"/>
                <w:bCs w:val="1"/>
                <w:color w:val="auto"/>
              </w:rPr>
              <w:t>2013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r>
      <w:tr>
        <w:trPr>
          <w:trHeight w:val="33"/>
        </w:trPr>
        <w:tc>
          <w:tcPr>
            <w:tcW w:w="83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 average</w:t>
            </w: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1.4%</w:t>
            </w:r>
          </w:p>
        </w:tc>
      </w:tr>
      <w:tr>
        <w:trPr>
          <w:trHeight w:val="243"/>
        </w:trPr>
        <w:tc>
          <w:tcPr>
            <w:tcW w:w="9400" w:type="dxa"/>
            <w:vAlign w:val="bottom"/>
            <w:gridSpan w:val="2"/>
          </w:tcPr>
          <w:p>
            <w:pPr>
              <w:ind w:left="40"/>
              <w:spacing w:after="0"/>
              <w:rPr>
                <w:sz w:val="20"/>
                <w:szCs w:val="20"/>
                <w:color w:val="auto"/>
              </w:rPr>
            </w:pPr>
            <w:r>
              <w:rPr>
                <w:rFonts w:ascii="Arial" w:cs="Arial" w:eastAsia="Arial" w:hAnsi="Arial"/>
                <w:sz w:val="18"/>
                <w:szCs w:val="18"/>
                <w:color w:val="auto"/>
              </w:rPr>
              <w:t>Expected option life, average</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80" w:type="dxa"/>
            <w:vAlign w:val="bottom"/>
          </w:tcPr>
          <w:p>
            <w:pPr>
              <w:ind w:left="420"/>
              <w:spacing w:after="0"/>
              <w:rPr>
                <w:sz w:val="20"/>
                <w:szCs w:val="20"/>
                <w:color w:val="auto"/>
              </w:rPr>
            </w:pPr>
            <w:r>
              <w:rPr>
                <w:rFonts w:ascii="Arial" w:cs="Arial" w:eastAsia="Arial" w:hAnsi="Arial"/>
                <w:sz w:val="18"/>
                <w:szCs w:val="18"/>
                <w:color w:val="auto"/>
              </w:rPr>
              <w:t>7.1 years</w:t>
            </w:r>
          </w:p>
        </w:tc>
      </w:tr>
      <w:tr>
        <w:trPr>
          <w:trHeight w:val="27"/>
        </w:trPr>
        <w:tc>
          <w:tcPr>
            <w:tcW w:w="8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price volatility, average</w:t>
            </w: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51.9%</w:t>
            </w:r>
          </w:p>
        </w:tc>
      </w:tr>
      <w:tr>
        <w:trPr>
          <w:trHeight w:val="243"/>
        </w:trPr>
        <w:tc>
          <w:tcPr>
            <w:tcW w:w="9400" w:type="dxa"/>
            <w:vAlign w:val="bottom"/>
            <w:gridSpan w:val="2"/>
          </w:tcPr>
          <w:p>
            <w:pPr>
              <w:ind w:left="40"/>
              <w:spacing w:after="0"/>
              <w:rPr>
                <w:sz w:val="20"/>
                <w:szCs w:val="20"/>
                <w:color w:val="auto"/>
              </w:rPr>
            </w:pPr>
            <w:r>
              <w:rPr>
                <w:rFonts w:ascii="Arial" w:cs="Arial" w:eastAsia="Arial" w:hAnsi="Arial"/>
                <w:sz w:val="18"/>
                <w:szCs w:val="18"/>
                <w:color w:val="auto"/>
              </w:rPr>
              <w:t>Weighted average per share fair value</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$3.35</w:t>
            </w:r>
          </w:p>
        </w:tc>
      </w:tr>
    </w:tbl>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 in shareholders’ equity during the three months ended March 31, 2013 and 2012,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260" w:type="dxa"/>
            <w:vAlign w:val="bottom"/>
            <w:gridSpan w:val="5"/>
          </w:tcPr>
          <w:p>
            <w:pPr>
              <w:jc w:val="right"/>
              <w:ind w:right="45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3"/>
                <w:szCs w:val="23"/>
                <w:color w:val="auto"/>
              </w:rPr>
            </w:pPr>
          </w:p>
        </w:tc>
        <w:tc>
          <w:tcPr>
            <w:tcW w:w="49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2013</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53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422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beginning of the period</w:t>
            </w:r>
          </w:p>
        </w:tc>
        <w:tc>
          <w:tcPr>
            <w:tcW w:w="4900" w:type="dxa"/>
            <w:vAlign w:val="bottom"/>
            <w:tcBorders>
              <w:bottom w:val="single" w:sz="8" w:color="CCEEFF"/>
            </w:tcBorders>
            <w:gridSpan w:val="2"/>
            <w:shd w:val="clear" w:color="auto" w:fill="CCEEFF"/>
          </w:tcPr>
          <w:p>
            <w:pPr>
              <w:jc w:val="right"/>
              <w:ind w:right="63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66,668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39,664</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Net income during the period</w:t>
            </w:r>
          </w:p>
        </w:tc>
        <w:tc>
          <w:tcPr>
            <w:tcW w:w="3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purchased</w:t>
            </w:r>
          </w:p>
        </w:tc>
        <w:tc>
          <w:tcPr>
            <w:tcW w:w="39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3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39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Balance at end of the period</w:t>
            </w:r>
          </w:p>
        </w:tc>
        <w:tc>
          <w:tcPr>
            <w:tcW w:w="394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66,960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40,193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940" w:type="dxa"/>
            <w:vAlign w:val="bottom"/>
            <w:vMerge w:val="restart"/>
          </w:tcPr>
          <w:p>
            <w:pPr>
              <w:jc w:val="right"/>
              <w:ind w:right="2313"/>
              <w:spacing w:after="0"/>
              <w:rPr>
                <w:sz w:val="20"/>
                <w:szCs w:val="20"/>
                <w:color w:val="auto"/>
              </w:rPr>
            </w:pPr>
            <w:r>
              <w:rPr>
                <w:rFonts w:ascii="Arial" w:cs="Arial" w:eastAsia="Arial" w:hAnsi="Arial"/>
                <w:sz w:val="18"/>
                <w:szCs w:val="18"/>
                <w:color w:val="auto"/>
              </w:rPr>
              <w:t>8</w:t>
            </w: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2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Company's forecasted effective tax rate at March 31, 2013 is 33.4%, a (4.0)% decrease from the 37.4% effective tax rate recorded at March 31, 2013. The forecasted effective tax rate of 33.4% excludes jurisdictions for which no benefit from forecasted current year losses is anticipated. Including losses from such jurisdictions results in a forecasted effective tax rate of 45.1%. Our forecasted effective tax rate could fluctuate significantly on a quarterly basis and could change, to the extent that earnings in countries with tax rates that differ from that of the U.S. differ, from amounts anticipated at March 31, 2013.</w:t>
      </w:r>
    </w:p>
    <w:p>
      <w:pPr>
        <w:spacing w:after="0" w:line="15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After discrete benefit of $269, the effective tax rate for the quarter ended March 31, 2013 is 30.7%. The discrete benefit is primarily attributable to the recognition of the U.S. research and development credit for 2012.</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Subsequent Events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evaluated its consolidated financial statements as of and for the three months ended March 31, 2013 for subsequent events through the date the financial statements were issued. The Company is not aware of any subsequent event which would require recognition or disclosure in the financial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reasonable,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and other factors referred to in our press releases and reports filed with the SEC, including our Annual Report on Form 10-K for the year ended December 31, 2012.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are a global company that designs, develops and sells conferencing, collaboration, streaming and digital signage solutions for audio and visual communications. The performance and simplicity of our advanced comprehensive solutions enhance the quality of life and offer unprecedented levels of functionality, reliability and scalability.</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design, develop, market, and service a comprehensive line of high-quality conferencing products for personal use, as well as traditional tabletop, mid-tier premium and higher-end professional products for both large and small businesses. We occupy the number one global market share position, with nearly 50% market share in the professional audio conferencing market for our products used by large businesses and organizations such as enterprise, healthcare, education and distance learning, government, legal and finance. Our solutions save organizations time and money by creating a natural environment for collaboration and communication.</w:t>
      </w:r>
    </w:p>
    <w:p>
      <w:pPr>
        <w:spacing w:after="0" w:line="17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an established history of product innovation and plan to continue to apply our expertise in audio, video and network engineering to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primarily through a global network of independent distributors who in turn sell our products to dealers, systems integrators and other value-added resellers.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February 16, 2012, we completed the acquisition of the video conferencing business of Israel-based VCON Video Conferencing, Ltd. (“VCON”). VCON was a pioneer in software-based video conferencing solutions with product offerings that included group video conferencing endpoints, desktop video conferencing endpoints, video conferencing infrastructure solutions and software development kits. This acquisition and the combination of our streaming and digital signage technologies has provided us with complementary technology opportunities allowing us to enter new growth markets. Pursuant to the asset purchase agreement, ClearOne paid consideration of $4.6 million in cash to VCON in consideration for all VCON's assets, including intellectual property, fixed assets and inventory, and assumed no debt.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Our business goals are to:</w:t>
      </w:r>
    </w:p>
    <w:p>
      <w:pPr>
        <w:spacing w:after="0" w:line="19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our leading global market share in professional audio conferencing products for large businesses and organizations;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the video conferencing, streaming and digital signage technologies we recently acquired to enter new growth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Focus on the small and medium business (SMB) market with scaled, lower cost and less complex products and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Capitalize on the growing adoption of unified communications and introduce new products through emerging information technology channels;</w:t>
      </w:r>
    </w:p>
    <w:p>
      <w:pPr>
        <w:spacing w:after="0" w:line="20" w:lineRule="exact"/>
        <w:rPr>
          <w:rFonts w:ascii="Arial" w:cs="Arial" w:eastAsia="Arial" w:hAnsi="Arial"/>
          <w:sz w:val="17"/>
          <w:szCs w:val="17"/>
          <w:color w:val="auto"/>
        </w:rPr>
      </w:pPr>
    </w:p>
    <w:p>
      <w:pPr>
        <w:ind w:left="660" w:right="6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Capitalize on emerging market opportunities as audio visual, information technology, unified communications and traditional digital signage converge to meet enterprise and commercial multimedia needs; and</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and strengthen our sales channels.</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will continue to improve our existing high-quality products and develop new products for the burgeoning conferencing and collaboration and multimedia streaming markets and focus on strategic initiatives to achieve our business goals.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revenues were $11.3 million and $10.2 million during the three months ended March 31, 2013 and 2012, respectively. The increase in revenues was primarily due to increased sales of video products and new products introduced during the last year. Our gross profit increased by $891,000 during the three months ended March 31, 2013 compared to the three months ended March 31, 2012. Net income also increased by $253,000 during the three months ended March 31, 2013 compared to the three months ended March 31, 2012. Net income for the three months ended March 31, 2013 increased primarily due to higher margins and higher revenue.</w:t>
      </w:r>
    </w:p>
    <w:p>
      <w:pPr>
        <w:spacing w:after="0" w:line="18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expect continued growth in revenue from video products and new products. However the prospects of growth and its magnitude in both revenues and profits in the near future would depend on the strength of the global economy and the penetration level of our new products, including products added through acquisitions. We continue to closely monitor the economic situation caused by the US government's budget cuts and global economic events.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months ended March 31, 2013, and 2012</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following table sets forth certain items from our unaudited condensed consolidated statements of operations (dollars in thousands) for the three months ended March 31, 2013 and 2012, respectively, together with the percentage of total revenue which each such item represents: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Three months ended March 31,</w:t>
            </w:r>
          </w:p>
        </w:tc>
        <w:tc>
          <w:tcPr>
            <w:tcW w:w="1140" w:type="dxa"/>
            <w:vAlign w:val="bottom"/>
            <w:tcBorders>
              <w:bottom w:val="single" w:sz="8" w:color="auto"/>
            </w:tcBorders>
          </w:tcPr>
          <w:p>
            <w:pPr>
              <w:spacing w:after="0"/>
              <w:rPr>
                <w:sz w:val="16"/>
                <w:szCs w:val="16"/>
                <w:color w:val="auto"/>
              </w:rPr>
            </w:pPr>
          </w:p>
        </w:tc>
      </w:tr>
      <w:tr>
        <w:trPr>
          <w:trHeight w:val="264"/>
        </w:trPr>
        <w:tc>
          <w:tcPr>
            <w:tcW w:w="68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2013</w:t>
            </w: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 of Revenue</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2012</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 of Revenue</w:t>
            </w: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11,293</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100 %</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10,154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37"/>
        </w:trPr>
        <w:tc>
          <w:tcPr>
            <w:tcW w:w="680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20"/>
                <w:szCs w:val="20"/>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4,294</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38 %</w:t>
            </w:r>
          </w:p>
        </w:tc>
        <w:tc>
          <w:tcPr>
            <w:tcW w:w="280" w:type="dxa"/>
            <w:vAlign w:val="bottom"/>
          </w:tcPr>
          <w:p>
            <w:pPr>
              <w:spacing w:after="0"/>
              <w:rPr>
                <w:sz w:val="20"/>
                <w:szCs w:val="20"/>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4,046</w:t>
            </w:r>
          </w:p>
        </w:tc>
        <w:tc>
          <w:tcPr>
            <w:tcW w:w="1140" w:type="dxa"/>
            <w:vAlign w:val="bottom"/>
          </w:tcPr>
          <w:p>
            <w:pPr>
              <w:jc w:val="right"/>
              <w:spacing w:after="0"/>
              <w:rPr>
                <w:sz w:val="20"/>
                <w:szCs w:val="20"/>
                <w:color w:val="auto"/>
              </w:rPr>
            </w:pPr>
            <w:r>
              <w:rPr>
                <w:rFonts w:ascii="Arial" w:cs="Arial" w:eastAsia="Arial" w:hAnsi="Arial"/>
                <w:sz w:val="16"/>
                <w:szCs w:val="16"/>
                <w:color w:val="auto"/>
              </w:rPr>
              <w:t>40 %</w:t>
            </w:r>
          </w:p>
        </w:tc>
      </w:tr>
      <w:tr>
        <w:trPr>
          <w:trHeight w:val="33"/>
        </w:trPr>
        <w:tc>
          <w:tcPr>
            <w:tcW w:w="6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6,999</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62 %</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6,108</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60 %</w:t>
            </w:r>
          </w:p>
        </w:tc>
      </w:tr>
      <w:tr>
        <w:trPr>
          <w:trHeight w:val="237"/>
        </w:trPr>
        <w:tc>
          <w:tcPr>
            <w:tcW w:w="6800" w:type="dxa"/>
            <w:vAlign w:val="bottom"/>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Pr>
          <w:p>
            <w:pPr>
              <w:spacing w:after="0"/>
              <w:rPr>
                <w:sz w:val="20"/>
                <w:szCs w:val="20"/>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2,267</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20 %</w:t>
            </w:r>
          </w:p>
        </w:tc>
        <w:tc>
          <w:tcPr>
            <w:tcW w:w="280" w:type="dxa"/>
            <w:vAlign w:val="bottom"/>
          </w:tcPr>
          <w:p>
            <w:pPr>
              <w:spacing w:after="0"/>
              <w:rPr>
                <w:sz w:val="20"/>
                <w:szCs w:val="20"/>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2,134</w:t>
            </w:r>
          </w:p>
        </w:tc>
        <w:tc>
          <w:tcPr>
            <w:tcW w:w="114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33"/>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product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1,866</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17 %</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2,008</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37"/>
        </w:trPr>
        <w:tc>
          <w:tcPr>
            <w:tcW w:w="68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20"/>
                <w:szCs w:val="20"/>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1,797</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16 %</w:t>
            </w:r>
          </w:p>
        </w:tc>
        <w:tc>
          <w:tcPr>
            <w:tcW w:w="280" w:type="dxa"/>
            <w:vAlign w:val="bottom"/>
          </w:tcPr>
          <w:p>
            <w:pPr>
              <w:spacing w:after="0"/>
              <w:rPr>
                <w:sz w:val="20"/>
                <w:szCs w:val="20"/>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1,480</w:t>
            </w:r>
          </w:p>
        </w:tc>
        <w:tc>
          <w:tcPr>
            <w:tcW w:w="114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33"/>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litigation</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(250)</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1"/>
        </w:trPr>
        <w:tc>
          <w:tcPr>
            <w:tcW w:w="6800" w:type="dxa"/>
            <w:vAlign w:val="bottom"/>
          </w:tcPr>
          <w:p>
            <w:pPr>
              <w:ind w:left="200"/>
              <w:spacing w:after="0"/>
              <w:rPr>
                <w:sz w:val="20"/>
                <w:szCs w:val="20"/>
                <w:color w:val="auto"/>
              </w:rPr>
            </w:pPr>
            <w:r>
              <w:rPr>
                <w:rFonts w:ascii="Arial" w:cs="Arial" w:eastAsia="Arial" w:hAnsi="Arial"/>
                <w:sz w:val="16"/>
                <w:szCs w:val="16"/>
                <w:color w:val="auto"/>
              </w:rPr>
              <w:t>Operating income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1,069</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9 %</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736</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7 %</w:t>
            </w:r>
          </w:p>
        </w:tc>
      </w:tr>
      <w:tr>
        <w:trPr>
          <w:trHeight w:val="33"/>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0 %</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0 %</w:t>
            </w:r>
          </w:p>
        </w:tc>
      </w:tr>
      <w:tr>
        <w:trPr>
          <w:trHeight w:val="231"/>
        </w:trPr>
        <w:tc>
          <w:tcPr>
            <w:tcW w:w="6800" w:type="dxa"/>
            <w:vAlign w:val="bottom"/>
          </w:tcPr>
          <w:p>
            <w:pPr>
              <w:ind w:left="20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1,055</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9 %</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752</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7 %</w:t>
            </w:r>
          </w:p>
        </w:tc>
      </w:tr>
      <w:tr>
        <w:trPr>
          <w:trHeight w:val="33"/>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324</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3 %</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274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57"/>
        </w:trPr>
        <w:tc>
          <w:tcPr>
            <w:tcW w:w="68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731</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6 %</w:t>
            </w:r>
          </w:p>
        </w:tc>
        <w:tc>
          <w:tcPr>
            <w:tcW w:w="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478</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5 %</w:t>
            </w:r>
          </w:p>
        </w:tc>
      </w:tr>
      <w:tr>
        <w:trPr>
          <w:trHeight w:val="20"/>
        </w:trPr>
        <w:tc>
          <w:tcPr>
            <w:tcW w:w="6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for the three months ended March 31, 2013 ("2013 Q1") increased by approximately 11% over the three months ended March 31, 2012 ("2012 Q1"). The increased revenue was due to increased demand in Asia and North America. Increases in revenue were primarily attributable to increased demand for our new products introduced last year and from the video products.</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net change in deferred revenue during the three months ended March 31, 2013 and 2012 was a net increase (decrease) of deferred revenue of $599 and $(418), respectively. See “Critical Accounting Policies and Estimates” under “Revenue and Associated Allowance for Revenue Adjustments and Doubtful Accounts” below for a detailed discussion of deferred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Costs of Goods Sold and Gross Profit</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Costs of goods sold include expenses associated with finished goods purchased from electronic manufacturing services (EMS) providers, in addition to other operating expenses, which include material and direct labor, our manufacturing and operations organization, property and equipment depreciation, warranty expenses, freight expenses, royalty payments, and the allocation of overhead expenses.</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gross profit margin (GPM), which is gross profit as a percentage of revenue, was 62% and 60% for the three months ended March 31, 2013 and 2012, respectively. The increase in gross margin was due to a product mix favorable to better gross margins and due to the absence of inventory obsolescence charges.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Operating Expenses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2013 Q1 operating expenses were approximately $5.9 million, compared to 2012 Q1 operating expenses, excluding litigation proceeds of $250,000, of approximately $5.6 million.</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 xml:space="preserve">Sales and Marketing (“S&amp;M”) Expenses. </w:t>
      </w:r>
      <w:r>
        <w:rPr>
          <w:rFonts w:ascii="Arial" w:cs="Arial" w:eastAsia="Arial" w:hAnsi="Arial"/>
          <w:sz w:val="18"/>
          <w:szCs w:val="18"/>
          <w:color w:val="auto"/>
        </w:rPr>
        <w:t>S&amp;M expenses include selling, customer service, and marketing expenses, such as employee-related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allocations of overhead expenses, trade shows, and other advertising and selling expenses.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S&amp;M expenses during 2013 Q1 increased $133,000, or 6%, when compared to 2012 Q1 primarily due to increases in commission and bonus payments to sales employees and independent sales agents.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include research and development and product line management, including employee-related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outside services, expensed materials and depreciation, and an allocation of overhead expenses.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R&amp;D expenses during 2013 Q1 decreased by $142,000, or 7%, compared to R&amp;D expenses during 2012 Q1. The decrease was primarily due to decreases in depreciation related to R&amp;D assets, project related costs and allocation of facilities expenses to R&amp;D.</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General and Administrative (“G&amp;A”) Expenses. </w:t>
      </w:r>
      <w:r>
        <w:rPr>
          <w:rFonts w:ascii="Arial" w:cs="Arial" w:eastAsia="Arial" w:hAnsi="Arial"/>
          <w:sz w:val="18"/>
          <w:szCs w:val="18"/>
          <w:color w:val="auto"/>
        </w:rPr>
        <w:t>G&amp;A expenses include employee-related costs, professional service fees, allocations of overhead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costs, and corporate administrative costs, including finance, information technology and human resources.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G&amp;A expenses during 2013 Q1 increased by $317,000, or 21%, compared to G&amp;A expenses during 2012 Q1. The increase was primarily due to increases in employee costs, amortization of intangibles, bad debts expense, audit and accounting fees and legal fees.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continue to incur high legal expenses due to various legal proceedings explained in detail in our Form 10-K for the year ended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Proceeds from Litigation</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litigation proceeds received in 2012 Q1 of $250,000 represent the receipt of a settlement of amounts due from a defendant in our litigation related to the “Theft of Intellectual Property and Related Cases” described in detail in Note 8 – Commitments and Contingencies of the Notes to the Consolidated Financial Statements in our Form 10-K for the year ended December 31,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includes interest income, interest expense, and currency gain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Provision for income taxes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2013 Q1, we accrued income taxes at the expected annualized rate of 33.4% as compared to an annualized rate of 37.4% in 2012 Q1. The decrease in the expected annualized rate in 2013 Q1 was primarily due to earnings anticipated in countries that have lower statutory tax rates. In addition, a discrete tax benefit of $269 related to federal research and development credit was recognized in the first quarter of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March 31, 2013, our cash and cash equivalents were approximately $42.6 million, a decrease of $12.9 million compared to cash and cash equivalents of approximately $55.5 million as of December 31, 2012.</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in operating activities was $12.4 million in 2013 Q1, an increase in outflow of approximately $11.0 million compared to $1.4 million cash used in operating activities in 2012 Q1. The increase in outflow was primarily due to payment of income taxes associated with the arbitration settlement proceeds received in 2012, reduction in collections from receivables and reduction in accrued payables partially offset by reduction in payments for inventories and accounts payable.</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Net cash used in investing activities in 2013 Q1 was approximately $62,000, which consisted of purchases of equipment. Net cash used in investing activities in 2012 Q1 consisted of the acquisition of the business of VCON for $4.6 million and $65,000 towards purchases of equipment.</w:t>
      </w:r>
    </w:p>
    <w:p>
      <w:pPr>
        <w:spacing w:after="0" w:line="14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Net cash used in financing activities in 2013 Q1 was approximately $498,000, which consisted of the acquisition of outstanding stock totaling $574,000, offset by $76,000 in proceeds received through exercise of stock options. In 2012 Q1, there were no financing cash flow activities.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2013, our working capital was $57.1 million as compared to $56.5 million as of December 31, 2012.</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that our current cash balance, future income from operations and effective management of working capital will provide the liquidity needed to meet our short-term and long-term operating requirements and finance our growth plans. We also believe that our strong financial position and sound business structure will enable us to raise additional capital when needed to meet our short and long-term financing needs. In addition to capital expenditures, we may use cash in the near future for selective infusions of technology, sales &amp; marketing, infrastructure, and other investments to fuel our growth, as well as acquisitions that may strategically fit our business and are accretive to our performance. We may also use cash to finance the repurchase of our outstanding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significant accounting policies are described in Note 2 of the Notes to the Consolidated Financial Statements included in our Annual Report on Form 10-K for the year ended December 31, 2012 and Note 1 to the Condensed Consolidated Financial Statements attached herewith. We believe the policies described below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Revenue and Associated Allowances for Revenue Adjustments and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18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provide a right of return on product sales to major distributors under a product rotation program. Under this seldom used program, once a quarter, a distributor is allowed to return products purchased during the prior quarter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the deferral analysis described below. In a small number of cases, the distributors are also permitted to return the products for other business reasons.</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Revenue from product sales to distributors is not recognized until the return privilege has expired or until it can be determined with reasonable certainty that the return privilege has expired, which approximates when the product is sold-through to customers of our distributors (dealers, system integrators, value-added resellers, and end-users), rather than when the product is initially shipped to a distributor. At each quarter-end, we evaluate the inventory in the distribution channel through information provided by our distributors. The level of inventory in the channel will fluctuate up or down each quarter based upon our distributors’ individual operations. Accordingly, each quarter-end deferral of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6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amount of deferred cost of goods sold was included in consigned inventory. The following table details the amount of deferred revenue, cost of goods sold, and gross profit as of March 31, 2013 and December 31, 2012: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As of</w:t>
            </w:r>
          </w:p>
        </w:tc>
        <w:tc>
          <w:tcPr>
            <w:tcW w:w="260" w:type="dxa"/>
            <w:vAlign w:val="bottom"/>
          </w:tcPr>
          <w:p>
            <w:pPr>
              <w:spacing w:after="0"/>
              <w:rPr>
                <w:sz w:val="17"/>
                <w:szCs w:val="17"/>
                <w:color w:val="auto"/>
              </w:rPr>
            </w:pPr>
          </w:p>
        </w:tc>
        <w:tc>
          <w:tcPr>
            <w:tcW w:w="1800" w:type="dxa"/>
            <w:vAlign w:val="bottom"/>
          </w:tcPr>
          <w:p>
            <w:pPr>
              <w:jc w:val="right"/>
              <w:ind w:right="754"/>
              <w:spacing w:after="0"/>
              <w:rPr>
                <w:sz w:val="20"/>
                <w:szCs w:val="20"/>
                <w:color w:val="auto"/>
              </w:rPr>
            </w:pPr>
            <w:r>
              <w:rPr>
                <w:rFonts w:ascii="Arial" w:cs="Arial" w:eastAsia="Arial" w:hAnsi="Arial"/>
                <w:sz w:val="16"/>
                <w:szCs w:val="16"/>
                <w:b w:val="1"/>
                <w:bCs w:val="1"/>
                <w:color w:val="auto"/>
              </w:rPr>
              <w:t>As of</w:t>
            </w:r>
          </w:p>
        </w:tc>
      </w:tr>
      <w:tr>
        <w:trPr>
          <w:trHeight w:val="210"/>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March 31, 2013</w:t>
            </w:r>
          </w:p>
        </w:tc>
        <w:tc>
          <w:tcPr>
            <w:tcW w:w="260" w:type="dxa"/>
            <w:vAlign w:val="bottom"/>
          </w:tcPr>
          <w:p>
            <w:pPr>
              <w:spacing w:after="0"/>
              <w:rPr>
                <w:sz w:val="18"/>
                <w:szCs w:val="18"/>
                <w:color w:val="auto"/>
              </w:rPr>
            </w:pPr>
          </w:p>
        </w:tc>
        <w:tc>
          <w:tcPr>
            <w:tcW w:w="1800" w:type="dxa"/>
            <w:vAlign w:val="bottom"/>
          </w:tcPr>
          <w:p>
            <w:pPr>
              <w:jc w:val="right"/>
              <w:ind w:right="294"/>
              <w:spacing w:after="0"/>
              <w:rPr>
                <w:sz w:val="20"/>
                <w:szCs w:val="20"/>
                <w:color w:val="auto"/>
              </w:rPr>
            </w:pPr>
            <w:r>
              <w:rPr>
                <w:rFonts w:ascii="Arial" w:cs="Arial" w:eastAsia="Arial" w:hAnsi="Arial"/>
                <w:sz w:val="16"/>
                <w:szCs w:val="16"/>
                <w:b w:val="1"/>
                <w:bCs w:val="1"/>
                <w:color w:val="auto"/>
                <w:w w:val="97"/>
              </w:rPr>
              <w:t>December 31, 2012</w:t>
            </w:r>
          </w:p>
        </w:tc>
      </w:tr>
      <w:tr>
        <w:trPr>
          <w:trHeight w:val="33"/>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3,593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Deferred cost of goods sold</w:t>
            </w:r>
          </w:p>
        </w:tc>
        <w:tc>
          <w:tcPr>
            <w:tcW w:w="28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1,289</w:t>
            </w: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gross profit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2,304</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Impairment of Goodwill and Intangible Assets</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allocated the purchase price for the acquisitions of NetStreams in 2009, MagicBox in 2011 and VCON in 2012 on the basis of well-established valuation techniques performed by qualified experts. Goodwill is measured as the excess of the cost of acquisition over the sum of the amounts assigned to tangible and identifiable intangible assets acquired less liabilities assumed. We perform impairment tests of goodwill and intangible assets with indefinite useful lives on an annual basis in the fourth fiscal quarter, or sooner if a triggering event occurs suggesting possible impairment of the values of these assets. In association with the acquisition of NetStreams, $726,000 and $400,000 were recorded as goodwill and intangible assets with indefinite useful life, respectively. With respect to the MagicBox acquisition, $427,000 and $159,000 were recorded as goodwill and intangible assets with indefinite useful life, respectively. Goodwill of $2.3 million was recorded in connection with the VCON acquisition. There were no impairments recorded in 2013 or 2012 as no impairment indicators existed. However, due to uncertainty in the industrial, technological, and competitive environments in which we operate, we might be required to exit or dispose of the assets acquired through the NetStreams, MagicBox or VCON acquisitions, which could result in an impairment of goodwill and intangible assets.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Impairment of Long-Lived Assets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Accounting for Income Taxes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subject to income taxes in both the United States and in certain foreign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2012 and determined that based upon available evidence it is more likely than not that certain of our deferred tax assets related to capital loss carryovers and state research and development credits will not be realized and, accordingly, we have recorded a valuation allowance against these deferred tax assets in the amount of $270,000.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Lower-of-Cost or Market Adjustments and Reserves for Excess and Obsolete Inventory</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 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perform a quarterly analysis of obsolete and slow-moving inventory to determine if any inventory needs to be written down. In general, we write 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 down the value of that inventory to its expected realizable value. These charges are recorded in cost of goods sold. The reserve against slow-moving or obsolete inventory is increased or reduced based on several factors which, among other things, require us to make an estimate of a product’s life-cycle, potential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Share-Based Compensation</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December 2004, the FASB issued guidelines now contained under FASB ASC Topic 718, "Compensation – Stock Compensation". ASC Topic 718 establishes standards for the accounting for transactions in which an entity exchanges its equity instruments for goods or services. Primarily, ASC Topic 718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services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ASC Topic 718,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CLEARONE, INC.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An evaluation of the effectiveness of our disclosure controls and procedures (as defined in Rules 13a-15(e) and 15d-15(e) of the Exchange Act) as of March 31, 2013 was performed under the supervision and with the participation of our management, including our Chief Executive Officer and our Chief Financial Officer. Based on this evaluation, our management, including our Chief Executive Officer and Chief Financial Officer, concluded that our disclosure controls and procedures are effective as of March 31, 2013 to ensure that information required to be disclosed by us in reports we file or submit under the Exchange Act is recorded, processed, summarized and reported as specified in the SEC’s rules and forms.</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March 31, 2013 that materially affected, or that we believe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is an update to the status of the legal proceedings and commitments and contingencies reported in our Form 10-K for the year ended December 31, 2012 under Part I, Item 3. Legal Proceedings and Note 8 - Commitments and Contingencies of the Notes to Consolidated Financial Statements (Part II, Item 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Former Officer Indemnification:</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u w:val="single" w:color="auto"/>
          <w:color w:val="auto"/>
        </w:rPr>
        <w:t>Flood:</w:t>
      </w:r>
      <w:r>
        <w:rPr>
          <w:rFonts w:ascii="Arial" w:cs="Arial" w:eastAsia="Arial" w:hAnsi="Arial"/>
          <w:sz w:val="16"/>
          <w:szCs w:val="16"/>
          <w:color w:val="auto"/>
        </w:rPr>
        <w:t xml:space="preserve"> On March 1, 2013, Flood filed for personal bankruptcy pursuant to Chapter 7 and sought to discharge any monetary obligation to ClearOne and to preserve her claims against ClearOne after bankruptcy. On March 19, 2013, a Utah judge stayed the entire case in view of the bankruptcy filing.</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Strohm:</w:t>
      </w:r>
      <w:r>
        <w:rPr>
          <w:rFonts w:ascii="Arial" w:cs="Arial" w:eastAsia="Arial" w:hAnsi="Arial"/>
          <w:sz w:val="18"/>
          <w:szCs w:val="18"/>
          <w:color w:val="auto"/>
        </w:rPr>
        <w:t xml:space="preserve"> On April 9, 2013, the Utah Supreme Court issued its Opinion declaring that Strohm's attorney, Dorsey, is not entitled to recover any attorneys' fees or expenses in connection with its civil action against ClearOne but that Dorsey is entitled to recover post-verdict criminal fees incurred in connection with Strohm's sentencing and appeal. It is currently estimated that the net effect of this decision is the return to ClearOne of approximately $500,000 that had been posted as a cash bond with the Court. This amount has not been recognized in the financial statements. On April 23, 2013, Dorsey filed a petition for rehearing with the Utah Supreme Court seeking to recover its attorneys' fees and expenses incurred in obtaining court-ordered indemnification for Strohm. Dorsey has further requested that the Court reverse its public policy ruling that Dorsey is not entitled to attorneys' fees and expenses in connection with its civil action against ClearOne.</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table below summarizes information about our purchases of our equity securities registered pursuant to Section 12 of the Exchange Act of 1934, as amended, during the quarterly period ended March 31, 2013.</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2"/>
                <w:szCs w:val="12"/>
                <w:color w:val="auto"/>
              </w:rPr>
            </w:pPr>
          </w:p>
        </w:tc>
        <w:tc>
          <w:tcPr>
            <w:tcW w:w="1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w:t>
            </w: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Purchased 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Plans or Program (in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6"/>
              </w:rPr>
              <w:t>Shares Purchased (1)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Share (2)</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 (1)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3"/>
              </w:rPr>
              <w:t>millions)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gridSpan w:val="2"/>
          </w:tcPr>
          <w:p>
            <w:pPr>
              <w:ind w:left="20"/>
              <w:spacing w:after="0"/>
              <w:rPr>
                <w:sz w:val="20"/>
                <w:szCs w:val="20"/>
                <w:color w:val="auto"/>
              </w:rPr>
            </w:pPr>
            <w:r>
              <w:rPr>
                <w:rFonts w:ascii="Arial" w:cs="Arial" w:eastAsia="Arial" w:hAnsi="Arial"/>
                <w:sz w:val="18"/>
                <w:szCs w:val="18"/>
                <w:color w:val="auto"/>
              </w:rPr>
              <w:t>January 1, 2013 through January 31, 2013</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0"/>
              <w:spacing w:after="0"/>
              <w:rPr>
                <w:sz w:val="20"/>
                <w:szCs w:val="20"/>
                <w:color w:val="auto"/>
              </w:rPr>
            </w:pPr>
            <w:r>
              <w:rPr>
                <w:rFonts w:ascii="Arial" w:cs="Arial" w:eastAsia="Arial" w:hAnsi="Arial"/>
                <w:sz w:val="18"/>
                <w:szCs w:val="18"/>
                <w:color w:val="auto"/>
              </w:rPr>
              <w:t>2,615,628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gridSpan w:val="2"/>
          </w:tcPr>
          <w:p>
            <w:pPr>
              <w:ind w:left="20"/>
              <w:spacing w:after="0"/>
              <w:rPr>
                <w:sz w:val="20"/>
                <w:szCs w:val="20"/>
                <w:color w:val="auto"/>
              </w:rPr>
            </w:pPr>
            <w:r>
              <w:rPr>
                <w:rFonts w:ascii="Arial" w:cs="Arial" w:eastAsia="Arial" w:hAnsi="Arial"/>
                <w:sz w:val="18"/>
                <w:szCs w:val="18"/>
                <w:color w:val="auto"/>
              </w:rPr>
              <w:t>February 1, 2013 through February 28, 2013</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0"/>
              <w:spacing w:after="0"/>
              <w:rPr>
                <w:sz w:val="20"/>
                <w:szCs w:val="20"/>
                <w:color w:val="auto"/>
              </w:rPr>
            </w:pPr>
            <w:r>
              <w:rPr>
                <w:rFonts w:ascii="Arial" w:cs="Arial" w:eastAsia="Arial" w:hAnsi="Arial"/>
                <w:sz w:val="18"/>
                <w:szCs w:val="18"/>
                <w:color w:val="auto"/>
              </w:rPr>
              <w:t>9,615,628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gridSpan w:val="2"/>
          </w:tcPr>
          <w:p>
            <w:pPr>
              <w:ind w:left="20"/>
              <w:spacing w:after="0"/>
              <w:rPr>
                <w:sz w:val="20"/>
                <w:szCs w:val="20"/>
                <w:color w:val="auto"/>
              </w:rPr>
            </w:pPr>
            <w:r>
              <w:rPr>
                <w:rFonts w:ascii="Arial" w:cs="Arial" w:eastAsia="Arial" w:hAnsi="Arial"/>
                <w:sz w:val="18"/>
                <w:szCs w:val="18"/>
                <w:color w:val="auto"/>
              </w:rPr>
              <w:t>March 1, 2013 through March 31, 2013</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83,837</w:t>
            </w:r>
          </w:p>
        </w:tc>
        <w:tc>
          <w:tcPr>
            <w:tcW w:w="120" w:type="dxa"/>
            <w:vAlign w:val="bottom"/>
          </w:tcPr>
          <w:p>
            <w:pPr>
              <w:spacing w:after="0"/>
              <w:rPr>
                <w:sz w:val="23"/>
                <w:szCs w:val="23"/>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573,563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0"/>
              <w:spacing w:after="0"/>
              <w:rPr>
                <w:sz w:val="20"/>
                <w:szCs w:val="20"/>
                <w:color w:val="auto"/>
              </w:rPr>
            </w:pPr>
            <w:r>
              <w:rPr>
                <w:rFonts w:ascii="Arial" w:cs="Arial" w:eastAsia="Arial" w:hAnsi="Arial"/>
                <w:sz w:val="18"/>
                <w:szCs w:val="18"/>
                <w:color w:val="auto"/>
              </w:rPr>
              <w:t>9,042,065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gridSpan w:val="2"/>
          </w:tcPr>
          <w:p>
            <w:pPr>
              <w:ind w:left="2180"/>
              <w:spacing w:after="0"/>
              <w:rPr>
                <w:sz w:val="20"/>
                <w:szCs w:val="20"/>
                <w:color w:val="auto"/>
              </w:rPr>
            </w:pPr>
            <w:r>
              <w:rPr>
                <w:rFonts w:ascii="Arial" w:cs="Arial" w:eastAsia="Arial" w:hAnsi="Arial"/>
                <w:sz w:val="18"/>
                <w:szCs w:val="18"/>
                <w:b w:val="1"/>
                <w:bCs w:val="1"/>
                <w:color w:val="auto"/>
              </w:rPr>
              <w:t>Total</w:t>
            </w:r>
          </w:p>
        </w:tc>
        <w:tc>
          <w:tcPr>
            <w:tcW w:w="1500" w:type="dxa"/>
            <w:vAlign w:val="bottom"/>
          </w:tcPr>
          <w:p>
            <w:pPr>
              <w:jc w:val="right"/>
              <w:ind w:right="36"/>
              <w:spacing w:after="0"/>
              <w:rPr>
                <w:sz w:val="20"/>
                <w:szCs w:val="20"/>
                <w:color w:val="auto"/>
              </w:rPr>
            </w:pPr>
            <w:r>
              <w:rPr>
                <w:rFonts w:ascii="Arial" w:cs="Arial" w:eastAsia="Arial" w:hAnsi="Arial"/>
                <w:sz w:val="18"/>
                <w:szCs w:val="18"/>
                <w:b w:val="1"/>
                <w:bCs w:val="1"/>
                <w:color w:val="auto"/>
              </w:rPr>
              <w:t>83,837</w:t>
            </w:r>
          </w:p>
        </w:tc>
        <w:tc>
          <w:tcPr>
            <w:tcW w:w="12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b w:val="1"/>
                <w:bCs w:val="1"/>
                <w:color w:val="auto"/>
              </w:rPr>
              <w:t>6.84</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8"/>
                <w:szCs w:val="18"/>
                <w:b w:val="1"/>
                <w:bCs w:val="1"/>
                <w:color w:val="auto"/>
              </w:rPr>
              <w:t>573,563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80" w:type="dxa"/>
            <w:vAlign w:val="bottom"/>
          </w:tcPr>
          <w:p>
            <w:pPr>
              <w:spacing w:after="0" w:line="198" w:lineRule="exact"/>
              <w:rPr>
                <w:sz w:val="20"/>
                <w:szCs w:val="20"/>
                <w:color w:val="auto"/>
              </w:rPr>
            </w:pPr>
            <w:r>
              <w:rPr>
                <w:rFonts w:ascii="Arial" w:cs="Arial" w:eastAsia="Arial" w:hAnsi="Arial"/>
                <w:sz w:val="18"/>
                <w:szCs w:val="18"/>
                <w:color w:val="auto"/>
              </w:rPr>
              <w:t>___________________</w:t>
            </w:r>
          </w:p>
        </w:tc>
        <w:tc>
          <w:tcPr>
            <w:tcW w:w="12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40" w:hanging="332"/>
        <w:spacing w:after="0" w:line="26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May 2012, our Board of Directors authorized a stock repurchase program. Under the program, we are authorized to repurchase up to $2 million of our outstanding common stock from time to time over the following 12 months. Any stock repurchases may be made through open market and privately negotiated transactions, at times and in such amounts as management deems appropriate, including pursuant to one or more Rule 10b5-1 trading plans. Rule 10b5-1 permits us to establish, while not in possession of material nonpublic information, prearranged plans to buy stock at a specific price in the future, regardless of any subsequent possession of material nonpublic information. The timing and actual number of shares repurchased will depend on a variety of factors, including market conditions and other factors. The stock repurchase program may be suspended or discontinued at any time without prior notice. On July 30, 2012, the Board of Directors increased the repurchase amount to $3 million from the original $2 million. On February 20, 2013, the Board of Directors increased the repurchase amount to $10 million from $3 million.</w:t>
      </w:r>
    </w:p>
    <w:p>
      <w:pPr>
        <w:spacing w:after="0" w:line="182" w:lineRule="exact"/>
        <w:rPr>
          <w:rFonts w:ascii="Arial" w:cs="Arial" w:eastAsia="Arial" w:hAnsi="Arial"/>
          <w:sz w:val="17"/>
          <w:szCs w:val="17"/>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paid per share of common stock includes the related transaction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Title of Document</w:t>
            </w:r>
          </w:p>
        </w:tc>
      </w:tr>
      <w:tr>
        <w:trPr>
          <w:trHeight w:val="20"/>
        </w:trPr>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w:t>
            </w:r>
          </w:p>
        </w:tc>
      </w:tr>
      <w:tr>
        <w:trPr>
          <w:trHeight w:val="351"/>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w:t>
            </w:r>
          </w:p>
        </w:tc>
      </w:tr>
      <w:tr>
        <w:trPr>
          <w:trHeight w:val="351"/>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w:t>
            </w:r>
          </w:p>
        </w:tc>
      </w:tr>
      <w:tr>
        <w:trPr>
          <w:trHeight w:val="351"/>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w:t>
            </w:r>
          </w:p>
        </w:tc>
      </w:tr>
      <w:tr>
        <w:trPr>
          <w:trHeight w:val="351"/>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XBRL Taxonomy Extension Schema</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XBRL Taxonomy Extension Definitions Linkbase</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w w:val="98"/>
              </w:rPr>
              <w:t>XBRL Taxonomy Extension Presentation Linkbase</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CLEARONE, INC.</w:t>
      </w:r>
    </w:p>
    <w:p>
      <w:pPr>
        <w:spacing w:after="0" w:line="23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33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May 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May 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600"/>
          </w:cols>
          <w:pgMar w:left="240" w:top="121" w:right="105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11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820" w:right="380" w:hanging="488"/>
        <w:spacing w:after="0" w:line="264"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20" w:right="80" w:hanging="488"/>
        <w:spacing w:after="0" w:line="264"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820" w:right="880" w:hanging="488"/>
        <w:spacing w:after="0" w:line="342" w:lineRule="auto"/>
        <w:tabs>
          <w:tab w:leader="none" w:pos="8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100" w:hanging="488"/>
        <w:spacing w:after="0" w:line="264"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right="300" w:hanging="488"/>
        <w:spacing w:after="0" w:line="277"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right="240" w:hanging="488"/>
        <w:spacing w:after="0" w:line="277"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4400" w:val="left"/>
          <w:tab w:leader="none" w:pos="5060" w:val="left"/>
        </w:tabs>
        <w:rPr>
          <w:sz w:val="20"/>
          <w:szCs w:val="20"/>
          <w:color w:val="auto"/>
        </w:rPr>
      </w:pPr>
      <w:r>
        <w:rPr>
          <w:rFonts w:ascii="Arial" w:cs="Arial" w:eastAsia="Arial" w:hAnsi="Arial"/>
          <w:sz w:val="18"/>
          <w:szCs w:val="18"/>
          <w:color w:val="auto"/>
        </w:rPr>
        <w:t>May 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100330</wp:posOffset>
            </wp:positionV>
            <wp:extent cx="27101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64"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9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820" w:right="380" w:hanging="488"/>
        <w:spacing w:after="0" w:line="264"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20" w:right="80" w:hanging="488"/>
        <w:spacing w:after="0" w:line="264"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820" w:right="880" w:hanging="488"/>
        <w:spacing w:after="0" w:line="342" w:lineRule="auto"/>
        <w:tabs>
          <w:tab w:leader="none" w:pos="8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100" w:hanging="488"/>
        <w:spacing w:after="0" w:line="264"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right="300" w:hanging="488"/>
        <w:spacing w:after="0" w:line="277"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right="240" w:hanging="488"/>
        <w:spacing w:after="0" w:line="277"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4380" w:val="left"/>
          <w:tab w:leader="none" w:pos="5000" w:val="left"/>
        </w:tabs>
        <w:rPr>
          <w:sz w:val="20"/>
          <w:szCs w:val="20"/>
          <w:color w:val="auto"/>
        </w:rPr>
      </w:pPr>
      <w:r>
        <w:rPr>
          <w:rFonts w:ascii="Arial" w:cs="Arial" w:eastAsia="Arial" w:hAnsi="Arial"/>
          <w:sz w:val="18"/>
          <w:szCs w:val="18"/>
          <w:color w:val="auto"/>
        </w:rPr>
        <w:t>May 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100330</wp:posOffset>
            </wp:positionV>
            <wp:extent cx="3413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364"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March 31, 2013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4400" w:val="left"/>
          <w:tab w:leader="none" w:pos="5060" w:val="left"/>
        </w:tabs>
        <w:rPr>
          <w:sz w:val="20"/>
          <w:szCs w:val="20"/>
          <w:color w:val="auto"/>
        </w:rPr>
      </w:pPr>
      <w:r>
        <w:rPr>
          <w:rFonts w:ascii="Arial" w:cs="Arial" w:eastAsia="Arial" w:hAnsi="Arial"/>
          <w:sz w:val="18"/>
          <w:szCs w:val="18"/>
          <w:color w:val="auto"/>
        </w:rPr>
        <w:t>May 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100330</wp:posOffset>
            </wp:positionV>
            <wp:extent cx="27101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64"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March 31, 2013,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4420" w:val="left"/>
          <w:tab w:leader="none" w:pos="5020" w:val="left"/>
        </w:tabs>
        <w:rPr>
          <w:sz w:val="20"/>
          <w:szCs w:val="20"/>
          <w:color w:val="auto"/>
        </w:rPr>
      </w:pPr>
      <w:r>
        <w:rPr>
          <w:rFonts w:ascii="Arial" w:cs="Arial" w:eastAsia="Arial" w:hAnsi="Arial"/>
          <w:sz w:val="18"/>
          <w:szCs w:val="18"/>
          <w:color w:val="auto"/>
        </w:rPr>
        <w:t>May 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100330</wp:posOffset>
            </wp:positionV>
            <wp:extent cx="31642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16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Roman"/>
      <w:start w:val="10"/>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6"/>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2019-12-06T04:13:58Z</dcterms:created>
  <dcterms:modified xsi:type="dcterms:W3CDTF">2019-12-06T04:13:58Z</dcterms:modified>
</cp:coreProperties>
</file>