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3880" w:right="3860" w:hanging="3872"/>
        <w:spacing w:after="0" w:line="598" w:lineRule="auto"/>
        <w:tabs>
          <w:tab w:leader="none" w:pos="618"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September 30, 2007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600" w:hanging="59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For the transition period from _______________ to _______________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000-17219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CLEARONE COMMUNICATIONS,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460" w:type="dxa"/>
        <w:tblCellMar>
          <w:top w:w="0" w:type="dxa"/>
          <w:left w:w="0" w:type="dxa"/>
          <w:bottom w:w="0" w:type="dxa"/>
          <w:right w:w="0" w:type="dxa"/>
        </w:tblCellMar>
      </w:tblPr>
      <w:tr>
        <w:trPr>
          <w:trHeight w:val="241"/>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5480" w:type="dxa"/>
            <w:vAlign w:val="bottom"/>
            <w:gridSpan w:val="2"/>
          </w:tcPr>
          <w:p>
            <w:pPr>
              <w:jc w:val="right"/>
              <w:ind w:right="199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60" w:type="dxa"/>
            <w:vAlign w:val="bottom"/>
          </w:tcPr>
          <w:p>
            <w:pPr>
              <w:spacing w:after="0"/>
              <w:rPr>
                <w:sz w:val="20"/>
                <w:szCs w:val="20"/>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27"/>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89"/>
              </w:rPr>
              <w:t>5225 Wiley Post Way, Suite 500</w:t>
            </w:r>
          </w:p>
        </w:tc>
        <w:tc>
          <w:tcPr>
            <w:tcW w:w="4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41"/>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2"/>
              </w:rPr>
              <w:t>Salt Lake City, Utah</w:t>
            </w:r>
          </w:p>
        </w:tc>
        <w:tc>
          <w:tcPr>
            <w:tcW w:w="548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84116</w:t>
            </w:r>
          </w:p>
        </w:tc>
      </w:tr>
      <w:tr>
        <w:trPr>
          <w:trHeight w:val="230"/>
        </w:trPr>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(801) 975-7200</w:t>
      </w:r>
    </w:p>
    <w:p>
      <w:pPr>
        <w:spacing w:after="0" w:line="256" w:lineRule="exact"/>
        <w:rPr>
          <w:sz w:val="24"/>
          <w:szCs w:val="24"/>
          <w:color w:val="auto"/>
        </w:rPr>
      </w:pPr>
    </w:p>
    <w:p>
      <w:pPr>
        <w:jc w:val="both"/>
        <w:ind w:right="100"/>
        <w:spacing w:after="0" w:line="256"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60"/>
        <w:spacing w:after="0"/>
        <w:rPr>
          <w:sz w:val="20"/>
          <w:szCs w:val="20"/>
          <w:color w:val="auto"/>
        </w:rPr>
      </w:pPr>
      <w:r>
        <w:rPr>
          <w:rFonts w:ascii="Arial" w:cs="Arial" w:eastAsia="Arial" w:hAnsi="Arial"/>
          <w:sz w:val="17"/>
          <w:szCs w:val="17"/>
          <w:color w:val="auto"/>
        </w:rPr>
        <w:t>Yes T No o</w:t>
      </w:r>
    </w:p>
    <w:p>
      <w:pPr>
        <w:spacing w:after="0" w:line="249" w:lineRule="exact"/>
        <w:rPr>
          <w:sz w:val="24"/>
          <w:szCs w:val="24"/>
          <w:color w:val="auto"/>
        </w:rPr>
      </w:pPr>
    </w:p>
    <w:p>
      <w:pPr>
        <w:ind w:right="28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pacing w:after="0" w:line="1" w:lineRule="exact"/>
        <w:rPr>
          <w:sz w:val="24"/>
          <w:szCs w:val="24"/>
          <w:color w:val="auto"/>
        </w:rPr>
      </w:pPr>
    </w:p>
    <w:p>
      <w:pPr>
        <w:ind w:left="2300"/>
        <w:spacing w:after="0"/>
        <w:tabs>
          <w:tab w:leader="none" w:pos="5060" w:val="left"/>
          <w:tab w:leader="none" w:pos="7340" w:val="left"/>
        </w:tabs>
        <w:rPr>
          <w:sz w:val="20"/>
          <w:szCs w:val="20"/>
          <w:color w:val="auto"/>
        </w:rPr>
      </w:pPr>
      <w:r>
        <w:rPr>
          <w:rFonts w:ascii="Arial" w:cs="Arial" w:eastAsia="Arial" w:hAnsi="Arial"/>
          <w:sz w:val="18"/>
          <w:szCs w:val="18"/>
          <w:color w:val="auto"/>
        </w:rPr>
        <w:t>Larger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T</w:t>
      </w:r>
    </w:p>
    <w:p>
      <w:pPr>
        <w:spacing w:after="0" w:line="25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There were 10,848,945 shares of the Company’s Common Stock, par value $0.001, outstanding on November 12,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40" w:type="dxa"/>
            <w:vAlign w:val="bottom"/>
            <w:gridSpan w:val="14"/>
          </w:tcPr>
          <w:p>
            <w:pPr>
              <w:jc w:val="center"/>
              <w:ind w:right="2580"/>
              <w:spacing w:after="0"/>
              <w:rPr>
                <w:sz w:val="20"/>
                <w:szCs w:val="20"/>
                <w:color w:val="auto"/>
              </w:rPr>
            </w:pPr>
            <w:r>
              <w:rPr>
                <w:rFonts w:ascii="Arial" w:cs="Arial" w:eastAsia="Arial" w:hAnsi="Arial"/>
                <w:sz w:val="18"/>
                <w:szCs w:val="18"/>
                <w:b w:val="1"/>
                <w:bCs w:val="1"/>
                <w:color w:val="auto"/>
              </w:rPr>
              <w:t>CLEARONE COMMUNICATIONS, 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80" w:type="dxa"/>
            <w:vAlign w:val="bottom"/>
            <w:gridSpan w:val="11"/>
          </w:tcPr>
          <w:p>
            <w:pPr>
              <w:jc w:val="center"/>
              <w:ind w:right="3360"/>
              <w:spacing w:after="0"/>
              <w:rPr>
                <w:sz w:val="20"/>
                <w:szCs w:val="20"/>
                <w:color w:val="auto"/>
              </w:rPr>
            </w:pPr>
            <w:r>
              <w:rPr>
                <w:rFonts w:ascii="Arial" w:cs="Arial" w:eastAsia="Arial" w:hAnsi="Arial"/>
                <w:sz w:val="18"/>
                <w:szCs w:val="18"/>
                <w:b w:val="1"/>
                <w:bCs w:val="1"/>
                <w:color w:val="auto"/>
              </w:rPr>
              <w:t>INDEX TO FORM 10-Q</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0" w:type="dxa"/>
            <w:vAlign w:val="bottom"/>
            <w:gridSpan w:val="15"/>
          </w:tcPr>
          <w:p>
            <w:pPr>
              <w:jc w:val="center"/>
              <w:ind w:right="2340"/>
              <w:spacing w:after="0"/>
              <w:rPr>
                <w:sz w:val="20"/>
                <w:szCs w:val="20"/>
                <w:color w:val="auto"/>
              </w:rPr>
            </w:pPr>
            <w:r>
              <w:rPr>
                <w:rFonts w:ascii="Arial" w:cs="Arial" w:eastAsia="Arial" w:hAnsi="Arial"/>
                <w:sz w:val="18"/>
                <w:szCs w:val="18"/>
                <w:b w:val="1"/>
                <w:bCs w:val="1"/>
                <w:color w:val="auto"/>
                <w:w w:val="96"/>
              </w:rPr>
              <w:t>FOR THE QUARTER ENDED September 30, 2007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Page Number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2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Disclosure Regarding Forward-Looking Statements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540" w:type="dxa"/>
            <w:vAlign w:val="bottom"/>
            <w:tcBorders>
              <w:top w:val="single" w:sz="8" w:color="CCEEFF"/>
            </w:tcBorders>
            <w:gridSpan w:val="14"/>
          </w:tcPr>
          <w:p>
            <w:pPr>
              <w:jc w:val="center"/>
              <w:ind w:right="2600"/>
              <w:spacing w:after="0" w:line="17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PART I – FINANCIAL INFORMATION</w:t>
              </w:r>
            </w:hyperlink>
          </w:p>
        </w:tc>
        <w:tc>
          <w:tcPr>
            <w:tcW w:w="1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120" w:type="dxa"/>
            <w:vAlign w:val="bottom"/>
            <w:gridSpan w:val="21"/>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2007 and June 30, 2007</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September 30, 2007 and 2006</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120" w:type="dxa"/>
            <w:vAlign w:val="bottom"/>
            <w:gridSpan w:val="21"/>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September 30, 2007 and 2006</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5120" w:type="dxa"/>
            <w:vAlign w:val="bottom"/>
            <w:tcBorders>
              <w:bottom w:val="single" w:sz="8" w:color="CCEEFF"/>
            </w:tcBorders>
            <w:gridSpan w:val="9"/>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21"/>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4760" w:type="dxa"/>
            <w:vAlign w:val="bottom"/>
            <w:tcBorders>
              <w:bottom w:val="single" w:sz="8" w:color="CCEEFF"/>
            </w:tcBorders>
            <w:gridSpan w:val="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21"/>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900" w:type="dxa"/>
            <w:vAlign w:val="bottom"/>
            <w:gridSpan w:val="12"/>
            <w:shd w:val="clear" w:color="auto" w:fill="CCEEFF"/>
          </w:tcPr>
          <w:p>
            <w:pPr>
              <w:jc w:val="center"/>
              <w:ind w:right="3240"/>
              <w:spacing w:after="0" w:line="17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PART II – OTHER INFORMATION</w:t>
              </w:r>
            </w:hyperlink>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1</w:t>
            </w:r>
          </w:p>
        </w:tc>
        <w:tc>
          <w:tcPr>
            <w:tcW w:w="3220" w:type="dxa"/>
            <w:vAlign w:val="bottom"/>
            <w:tcBorders>
              <w:top w:val="single" w:sz="8" w:color="CCEEFF"/>
            </w:tcBorders>
            <w:gridSpan w:val="9"/>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2660" w:type="dxa"/>
            <w:vAlign w:val="bottom"/>
            <w:tcBorders>
              <w:top w:val="single" w:sz="8" w:color="0000EE"/>
            </w:tcBorders>
            <w:gridSpan w:val="6"/>
          </w:tcPr>
          <w:p>
            <w:pPr>
              <w:spacing w:after="0"/>
              <w:rPr>
                <w:sz w:val="15"/>
                <w:szCs w:val="15"/>
                <w:color w:val="auto"/>
              </w:rPr>
            </w:pPr>
          </w:p>
        </w:tc>
        <w:tc>
          <w:tcPr>
            <w:tcW w:w="3240" w:type="dxa"/>
            <w:vAlign w:val="bottom"/>
            <w:tcBorders>
              <w:top w:val="single" w:sz="8" w:color="CCEEFF"/>
            </w:tcBorders>
            <w:gridSpan w:val="6"/>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21"/>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21"/>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Submission of Matters to a Vote of Security Holders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7800" w:type="dxa"/>
            <w:vAlign w:val="bottom"/>
            <w:tcBorders>
              <w:bottom w:val="single" w:sz="8" w:color="CCEEFF"/>
            </w:tcBorders>
            <w:gridSpan w:val="18"/>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21"/>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880" w:type="dxa"/>
            <w:vAlign w:val="bottom"/>
            <w:tcBorders>
              <w:top w:val="single" w:sz="8" w:color="CCEEFF"/>
            </w:tcBorders>
            <w:gridSpan w:val="15"/>
          </w:tcPr>
          <w:p>
            <w:pPr>
              <w:jc w:val="center"/>
              <w:ind w:left="3131"/>
              <w:spacing w:after="0"/>
              <w:rPr>
                <w:sz w:val="20"/>
                <w:szCs w:val="20"/>
                <w:color w:val="auto"/>
              </w:rPr>
            </w:pPr>
            <w:r>
              <w:rPr>
                <w:rFonts w:ascii="Arial" w:cs="Arial" w:eastAsia="Arial" w:hAnsi="Arial"/>
                <w:sz w:val="14"/>
                <w:szCs w:val="14"/>
                <w:color w:val="auto"/>
                <w:w w:val="76"/>
              </w:rPr>
              <w:t>2</w:t>
            </w: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however, not all forward-looking statements contain these words.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in Item 2, “Management’s Discussion and Analysis of Financial Condition and Results of Operations,” Item 3, “Quantitative and Qualitative Disclosures About Market Risk,” and Item 4, “Controls and Procedures” included in this Quarterly Report on Form 10-Q.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Part II – Other Information, Item 1A, “Risk Factors” and the application of “Critical Accounting Policies” as discussed in Item 2, “Management’s Discussion and Analysis of Financial Condition and Results of Operations.”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changes in circumstances, or changes in estimates.</w:t>
      </w:r>
    </w:p>
    <w:p>
      <w:pPr>
        <w:spacing w:after="0" w:line="200" w:lineRule="exact"/>
        <w:rPr>
          <w:sz w:val="20"/>
          <w:szCs w:val="20"/>
          <w:color w:val="auto"/>
        </w:rPr>
      </w:pPr>
    </w:p>
    <w:p>
      <w:pPr>
        <w:spacing w:after="0" w:line="2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References in this quarterly Form 10-Q to “ClearOne”, “we”, “us”, “CLRO” or the “Company” refer to ClearOne Communications, Inc., a Utah corporation, and, unless the context otherwise requires or is otherwise expressly stated, its subsidiaries.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52" w:lineRule="exact"/>
        <w:rPr>
          <w:sz w:val="20"/>
          <w:szCs w:val="20"/>
          <w:color w:val="auto"/>
        </w:rPr>
      </w:pPr>
    </w:p>
    <w:p>
      <w:pPr>
        <w:jc w:val="center"/>
        <w:ind w:left="33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left="33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left="332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Marketable securities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 net of allowance for doubtful accounts of $56 and $54,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jc w:val="center"/>
        <w:ind w:right="606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Note Receiveable -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assets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5"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taxes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product revenue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w:t>
      </w:r>
    </w:p>
    <w:p>
      <w:pPr>
        <w:spacing w:after="0" w:line="23" w:lineRule="exact"/>
        <w:rPr>
          <w:sz w:val="20"/>
          <w:szCs w:val="20"/>
          <w:color w:val="auto"/>
        </w:rPr>
      </w:pPr>
    </w:p>
    <w:p>
      <w:pPr>
        <w:ind w:left="340" w:right="120" w:hanging="161"/>
        <w:spacing w:after="0" w:line="250" w:lineRule="auto"/>
        <w:rPr>
          <w:sz w:val="20"/>
          <w:szCs w:val="20"/>
          <w:color w:val="auto"/>
        </w:rPr>
      </w:pPr>
      <w:r>
        <w:rPr>
          <w:rFonts w:ascii="Arial" w:cs="Arial" w:eastAsia="Arial" w:hAnsi="Arial"/>
          <w:sz w:val="18"/>
          <w:szCs w:val="18"/>
          <w:color w:val="auto"/>
        </w:rPr>
        <w:t>Common stock, par value $.001, 50,000,000 shares authorized,10,937,460 and 10,861,920 shares issued and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Additional paid-in-capital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7"/>
              </w:rPr>
              <w:t>September 30,</w:t>
            </w:r>
          </w:p>
        </w:tc>
        <w:tc>
          <w:tcPr>
            <w:tcW w:w="28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r>
      <w:tr>
        <w:trPr>
          <w:trHeight w:val="241"/>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r>
      <w:tr>
        <w:trPr>
          <w:trHeight w:val="634"/>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2,782</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21,102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19,871</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8,053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8,025</w:t>
            </w:r>
          </w:p>
        </w:tc>
      </w:tr>
      <w:tr>
        <w:trPr>
          <w:trHeight w:val="41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7,490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7,263</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7"/>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40,101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38,317</w:t>
            </w:r>
          </w:p>
        </w:tc>
      </w:tr>
      <w:tr>
        <w:trPr>
          <w:trHeight w:val="40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2,619</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2,694</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42,729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41,063</w:t>
            </w:r>
          </w:p>
        </w:tc>
      </w:tr>
      <w:tr>
        <w:trPr>
          <w:trHeight w:val="21"/>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44"/>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1,745</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3,411</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1,874</w:t>
            </w:r>
          </w:p>
        </w:tc>
      </w:tr>
      <w:tr>
        <w:trPr>
          <w:trHeight w:val="237"/>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11,484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9,151</w:t>
            </w:r>
          </w:p>
        </w:tc>
      </w:tr>
      <w:tr>
        <w:trPr>
          <w:trHeight w:val="40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855</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7"/>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958</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13,380</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10,625</w:t>
            </w:r>
          </w:p>
        </w:tc>
      </w:tr>
      <w:tr>
        <w:trPr>
          <w:trHeight w:val="85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47,712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47,582</w:t>
            </w:r>
          </w:p>
        </w:tc>
      </w:tr>
    </w:tbl>
    <w:p>
      <w:pPr>
        <w:spacing w:after="0" w:line="11" w:lineRule="exact"/>
        <w:rPr>
          <w:sz w:val="20"/>
          <w:szCs w:val="20"/>
          <w:color w:val="auto"/>
        </w:rPr>
      </w:pPr>
    </w:p>
    <w:p>
      <w:pPr>
        <w:sectPr>
          <w:pgSz w:w="11900" w:h="16838" w:orient="portrait"/>
          <w:cols w:equalWidth="0" w:num="2">
            <w:col w:w="8100" w:space="720"/>
            <w:col w:w="260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14"/>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(17,155)</w:t>
            </w:r>
          </w:p>
        </w:tc>
      </w:tr>
      <w:tr>
        <w:trPr>
          <w:trHeight w:val="223"/>
        </w:trPr>
        <w:tc>
          <w:tcPr>
            <w:tcW w:w="60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274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29,349</w:t>
            </w: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30,438</w:t>
            </w:r>
          </w:p>
        </w:tc>
        <w:tc>
          <w:tcPr>
            <w:tcW w:w="100" w:type="dxa"/>
            <w:vAlign w:val="bottom"/>
            <w:tcBorders>
              <w:top w:val="single" w:sz="8" w:color="CCEEFF"/>
            </w:tcBorders>
          </w:tcPr>
          <w:p>
            <w:pPr>
              <w:spacing w:after="0"/>
              <w:rPr>
                <w:sz w:val="19"/>
                <w:szCs w:val="19"/>
                <w:color w:val="auto"/>
              </w:rPr>
            </w:pPr>
          </w:p>
        </w:tc>
      </w:tr>
      <w:tr>
        <w:trPr>
          <w:trHeight w:val="237"/>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42,729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41,063</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2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560" w:type="dxa"/>
            <w:vAlign w:val="bottom"/>
          </w:tcPr>
          <w:p>
            <w:pPr>
              <w:jc w:val="center"/>
              <w:ind w:left="1670"/>
              <w:spacing w:after="0"/>
              <w:rPr>
                <w:sz w:val="20"/>
                <w:szCs w:val="20"/>
                <w:color w:val="auto"/>
              </w:rPr>
            </w:pPr>
            <w:r>
              <w:rPr>
                <w:rFonts w:ascii="Arial" w:cs="Arial" w:eastAsia="Arial" w:hAnsi="Arial"/>
                <w:sz w:val="18"/>
                <w:szCs w:val="18"/>
                <w:b w:val="1"/>
                <w:bCs w:val="1"/>
                <w:color w:val="auto"/>
              </w:rPr>
              <w:t>CLEARONE COMMUNICATIONS, INC.</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560" w:type="dxa"/>
            <w:vAlign w:val="bottom"/>
          </w:tcPr>
          <w:p>
            <w:pPr>
              <w:jc w:val="center"/>
              <w:ind w:left="16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560" w:type="dxa"/>
            <w:vAlign w:val="bottom"/>
          </w:tcPr>
          <w:p>
            <w:pPr>
              <w:jc w:val="center"/>
              <w:ind w:left="165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56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9,442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4,299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5,143</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Marketing and selling</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1,601</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2,895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6,252</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Total other income, net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(768)</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(939)</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Gain on disposal of discontinued operations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560" w:type="dxa"/>
            <w:vAlign w:val="bottom"/>
            <w:vMerge w:val="restart"/>
          </w:tcPr>
          <w:p>
            <w:pPr>
              <w:jc w:val="center"/>
              <w:ind w:left="167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80" w:type="dxa"/>
            <w:vAlign w:val="bottom"/>
            <w:tcBorders>
              <w:top w:val="single" w:sz="8" w:color="auto"/>
            </w:tcBorders>
            <w:gridSpan w:val="2"/>
          </w:tcPr>
          <w:p>
            <w:pPr>
              <w:jc w:val="right"/>
              <w:ind w:right="7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6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 from continuing operations</w:t>
            </w:r>
          </w:p>
        </w:tc>
        <w:tc>
          <w:tcPr>
            <w:tcW w:w="2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Diluted earnings per common share from continuing operations</w:t>
            </w:r>
          </w:p>
        </w:tc>
        <w:tc>
          <w:tcPr>
            <w:tcW w:w="2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Basic earnings per common share from discontinued operations</w:t>
            </w:r>
          </w:p>
        </w:tc>
        <w:tc>
          <w:tcPr>
            <w:tcW w:w="2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 from discontinued operations</w:t>
            </w:r>
          </w:p>
        </w:tc>
        <w:tc>
          <w:tcPr>
            <w:tcW w:w="2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10,961,256</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12,184,849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11,072,565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12,231,744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2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560" w:type="dxa"/>
            <w:vAlign w:val="bottom"/>
          </w:tcPr>
          <w:p>
            <w:pPr>
              <w:jc w:val="center"/>
              <w:ind w:left="1670"/>
              <w:spacing w:after="0"/>
              <w:rPr>
                <w:sz w:val="20"/>
                <w:szCs w:val="20"/>
                <w:color w:val="auto"/>
              </w:rPr>
            </w:pPr>
            <w:r>
              <w:rPr>
                <w:rFonts w:ascii="Arial" w:cs="Arial" w:eastAsia="Arial" w:hAnsi="Arial"/>
                <w:sz w:val="18"/>
                <w:szCs w:val="18"/>
                <w:b w:val="1"/>
                <w:bCs w:val="1"/>
                <w:color w:val="auto"/>
              </w:rPr>
              <w:t>CLEARONE COMMUNICATIONS, INC.</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560" w:type="dxa"/>
            <w:vAlign w:val="bottom"/>
          </w:tcPr>
          <w:p>
            <w:pPr>
              <w:jc w:val="center"/>
              <w:ind w:left="16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560" w:type="dxa"/>
            <w:vAlign w:val="bottom"/>
          </w:tcPr>
          <w:p>
            <w:pPr>
              <w:jc w:val="center"/>
              <w:ind w:left="165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56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top w:val="single" w:sz="8" w:color="auto"/>
            </w:tcBorders>
            <w:gridSpan w:val="2"/>
          </w:tcPr>
          <w:p>
            <w:pPr>
              <w:jc w:val="right"/>
              <w:ind w:right="7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 from continuing operations</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(loss) from continuing operations to net cash provided by operations: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Write-off of inventory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(Gain) loss on disposal of assets and fixed assets write-offs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Provision for doubtful accounts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rPr>
              <w:t>Note receivable - Ken-A-Vision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1,537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rPr>
              <w:t>Deferred product revenue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1,003</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Net change in other assets/liabilities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top w:val="single" w:sz="8" w:color="CCEEFF"/>
            </w:tcBorders>
            <w:gridSpan w:val="2"/>
          </w:tcPr>
          <w:p>
            <w:pPr>
              <w:ind w:left="640"/>
              <w:spacing w:after="0"/>
              <w:rPr>
                <w:sz w:val="20"/>
                <w:szCs w:val="20"/>
                <w:color w:val="auto"/>
              </w:rPr>
            </w:pPr>
            <w:r>
              <w:rPr>
                <w:rFonts w:ascii="Arial" w:cs="Arial" w:eastAsia="Arial" w:hAnsi="Arial"/>
                <w:sz w:val="18"/>
                <w:szCs w:val="18"/>
                <w:color w:val="auto"/>
              </w:rPr>
              <w:t>Net cash provided by continuing operating activities</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1,137</w:t>
            </w: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Net cash provided by discontinued operating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1,137</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marketable securities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Sale of marketable securities</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4,450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Net cash used in continuing investing activities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Proceeds from common stock</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455</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 purchased and retired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320"/>
              <w:spacing w:after="0"/>
              <w:rPr>
                <w:sz w:val="20"/>
                <w:szCs w:val="20"/>
                <w:color w:val="auto"/>
              </w:rPr>
            </w:pPr>
            <w:r>
              <w:rPr>
                <w:rFonts w:ascii="Arial" w:cs="Arial" w:eastAsia="Arial" w:hAnsi="Arial"/>
                <w:sz w:val="18"/>
                <w:szCs w:val="18"/>
                <w:color w:val="auto"/>
              </w:rPr>
              <w:t>Tax benefit attributable to exercise of stock options</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Net cash (used in) continuing financing activities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2,782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2,506</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7"/>
              </w:rPr>
              <w:t>Three Months Ended</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gridSpan w:val="2"/>
          </w:tcPr>
          <w:p>
            <w:pPr>
              <w:jc w:val="right"/>
              <w:ind w:right="3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260" w:type="dxa"/>
            <w:vAlign w:val="bottom"/>
            <w:gridSpan w:val="2"/>
          </w:tcPr>
          <w:p>
            <w:pPr>
              <w:ind w:left="14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9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(received) for income taxes</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Exchanged accounts receivable from a vendor with acccounts payable to the same vendor</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94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Increase in accumulated deficit and income tax liability as a result of the adoption of FIN48 (see note 6)</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accompanying condensed consolidated financial statements, consisting of the condensed consolidated balance sheets as of September 30, 2007 and June 30, 2007, the condensed consolidated statements of operations for the three months ended September 30, 2007 and 2006, and the condensed consolidated statements of cash flows for the three months ended September 30, 2007 and 2006, have been prepared in accordance with accounting principles generally accepted in the United States for interim financial information and with the instructions to Form 10-Q. Accordingly, certain information and footnote disclosures normally included in complete financial statements have been condensed or omitted. These condensed consolidated financial statements should be read in conjunction with the consolidated financial statements and notes thereto included in the Company's Annual Report on Form 10-K for the year ended June 30, 2007.</w:t>
      </w:r>
    </w:p>
    <w:p>
      <w:pPr>
        <w:spacing w:after="0" w:line="21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management’s opinion, all adjustments (consisting of normal recurring adjustments) considered necessary for a fair presentation have been included. The results of operations for interim periods are not necessarily indicative of the results of operations to be expected for the entire year or for any future period.</w:t>
      </w:r>
    </w:p>
    <w:p>
      <w:pPr>
        <w:spacing w:after="0" w:line="14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consisted of the following as of September 30, 2007 and June 30, 2007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4,902</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4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primarily consists of the following plans: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September 30, 2007, the Company had one active share-based compensation plan, the 1998 Stock Option Plan (the “1998 Plan”). Provisions of the 1998 Plan include the granting of up to 2,500,000 incentive and non-qualified stock options. Options may be granted to directors, officers, and key employees and may be granted upon such terms as the Board of Directors, in their sole discretion, determine.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 As of September 30, 2007, 20,875 and 150,250 of these options that cliff vest after 9.8 and 6.0 years, respectively, remain outstanding.</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 w:name="page10"/>
    <w:bookmarkEnd w:id="9"/>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w:t>
      </w:r>
    </w:p>
    <w:p>
      <w:pPr>
        <w:ind w:right="180"/>
        <w:spacing w:after="0" w:line="253" w:lineRule="auto"/>
        <w:rPr>
          <w:sz w:val="20"/>
          <w:szCs w:val="20"/>
          <w:color w:val="auto"/>
        </w:rPr>
      </w:pPr>
      <w:r>
        <w:rPr>
          <w:rFonts w:ascii="Arial" w:cs="Arial" w:eastAsia="Arial" w:hAnsi="Arial"/>
          <w:sz w:val="18"/>
          <w:szCs w:val="18"/>
          <w:color w:val="auto"/>
        </w:rPr>
        <w:t>corporate transaction, the Company’s Board of Directors have the authority to elect that all unvested options shall vest and become exercisable immediately prior to the event or closing of the transaction. All options outstanding as of September 30, 2007 had contractual lives of ten years. Under the 1998 Plan, 2,500,000 shares were authorized for grant. The 1998 Plan expires June 10, 2008, or when all the shares available under the plan have been issued if this occurs earlier. As of September 30, 2007, there were 1,391,317 options outstanding under the 1998 Plan, which includes the cliff vesting and 3 or 4-year vesting options discussed above.</w:t>
      </w:r>
    </w:p>
    <w:p>
      <w:pPr>
        <w:spacing w:after="0" w:line="21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also has an Employee Stock Purchase Plan (“ESPP”). Employees can purchase common stock through payroll deductions of up to 10 percent of their base pay. Amounts deducted and accumulated by the employees are used to purchase shares of common stock on or about the last day of each month. The Company contributes to the account of the employee one share of common stock for every nine shares purchased by the employee under the ESPP. The program was suspended during the period the Company failed to remain current in its filing of periodic reports with the SEC and reinstated in fiscal year 2007 after the Company became current.</w:t>
      </w:r>
    </w:p>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July 1, 2005, the Company adopted SFAS No. 123R, “Share-Based Payment.” The Company adopted the fair value recognition provisions of SFAS No. 123R using the modified prospective transition method. Under this transition method, stock-based compensation cost recognized beginning July 1, 2005 includes the straight-line compensation cost for (a) all share-based payments granted prior to July 1, 2005, but not yet vested, based on the grant date fair values used in the pro-forma disclosures under the original SFAS No. 123 and (b) all share-based payments granted on or after July 1, 2005, in accordance with the provisions of SFAS No. 123R.</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uses the Black-Scholes option pricing model to determine the fair value of share-based payments granted under SFAS No. 123R and the original SFAS No. 123.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5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During the first fiscal quarter of 2007, the Company completed the sales of its document and educational camera product line to Ken-A-Vision Manufacturing. Additionally, during fiscal 2005, the Company completed the sale of its Canadian audiovisual integration services, OM Video, to 6351352 Canada Inc, a Canada corporation (the “OM Purchaser”). Accordingly, the results of operations and the financial position have been reclassified in the accompanying condensed consolidated financial statements as discontinued operations. Summary operating results of the discontinued operations are as follows (in thousands of dollars):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4"/>
              </w:rPr>
              <w:t>Three Months Ended</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2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7"/>
              </w:rPr>
              <w:t>September 30,</w:t>
            </w:r>
          </w:p>
        </w:tc>
        <w:tc>
          <w:tcPr>
            <w:tcW w:w="116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2007</w:t>
            </w:r>
          </w:p>
        </w:tc>
        <w:tc>
          <w:tcPr>
            <w:tcW w:w="8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9"/>
              </w:rPr>
              <w:t>2006</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Ken-A-Vision</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discontinued operations: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8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20"/>
              <w:spacing w:after="0"/>
              <w:rPr>
                <w:sz w:val="20"/>
                <w:szCs w:val="20"/>
                <w:color w:val="auto"/>
              </w:rPr>
            </w:pPr>
            <w:r>
              <w:rPr>
                <w:rFonts w:ascii="Arial" w:cs="Arial" w:eastAsia="Arial" w:hAnsi="Arial"/>
                <w:sz w:val="18"/>
                <w:szCs w:val="18"/>
                <w:color w:val="auto"/>
              </w:rPr>
              <w:t>Total gain on disposal of discontinued operations</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86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Ken-A-Vision</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OM Video</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income tax (provision) benefit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income taxes: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8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color w:val="auto"/>
              </w:rPr>
              <w:t>Total income from discontinued operations,net of income taxes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$1.3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Through December 31, 2005, all required payments had been made however, 6351352 Canada Inc. failed to make any subsequent, required payments under the note receivable until June 30, 2006, when we received a payment of $50. The Company reevaluated its options and concluded that its best course of action was to enforce its security and appoint a receiver over the assets of OM Video. As of September 30, 2007, the amount of the promissory note and contingent earn-out provision was approximately $660 which is net of $632 collected through receivership. The Company expects to collect up to an additional $5 which is net of receiver fees, over the next several periods.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5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shareholders’ equity of $29.3 million at September 30, 2007 declined approximately $1.1 million from June 30, 2007. During the first three months of fiscal 2008, the Company reported a loss of $924, reduced its July 1, 2007 balance of retained earnings by $295 upon its adoption of FASB issued Interpretation No. 48 (“FIN 48”), Accounting for Uncertainty in Income Taxes and repurchased 88,000 shares at aggregate cost of $566. These items were partially offset by approximately $240 in stock-based compensation and related tax benefits and $455 upon the exercise of 163,495 stock options.</w:t>
      </w:r>
    </w:p>
    <w:p>
      <w:pPr>
        <w:spacing w:after="0" w:line="17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July 2006, the FASB issued Interpretation No. 48 (“FIN 48”), Accounting for Uncertainty in Income Taxes, which clarifies the accounting for uncertainty in income taxes recognized in the financial statements in accordance with FASB Statement No. 109, Accounting for Income Taxes. Under FIN 48, tax positions shall initially be recognized in the financial statements when it is more likely than not the position will be sustained upon examination by the tax authorities. Such tax positions shall initially and subsequently be measured as the largest amount of tax benefit that is greater than 50% likely of being realized upon ultimate settlement with the tax authority assuming full knowledge of the position and all relevant facts.</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adopted the provisions of FIN 48 on July 1, 2007. Upon adoption, we recognized a FIN 48 liability of $755 for permanent tax items. Included in the $755 liability is approximately $78 in interest and penalties related to unrecognized tax benefits. We also recognized $159 of temporary FIN 48 liability. After taking our SFAS 5 “Accounting for Contingencies” contingent liability balance of $618 from June 30, 2007 we posted a cumulative-effect adjustment of approximately $295, increasing our liability for unrecognized tax benefits and reducing the July 1, 2007 balance of retained earnings. The total liability for unrecognized tax benefits at July 1, 2007, including temporary tax differences, was approximately $914.</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our first fiscal quarter of 2008, we recorded approximately $45 related to unrecognized tax benefits that would favorably impact our effective tax rate if recognized. Included in this amount is approximately $8 related to interest and penalties. The total outstanding balance for liabilities related to unrecognized tax benefits at September 30, 2007 was $958 of which $86 was associated with interest and penalties. We account for interest expense and penalties for unrecognized tax benefits as part of our income tax provision.</w:t>
      </w:r>
    </w:p>
    <w:p>
      <w:pPr>
        <w:spacing w:after="0" w:line="21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The reversal of a previously established valuation allowance results in a benefit for income taxes.</w:t>
      </w:r>
    </w:p>
    <w:p>
      <w:pPr>
        <w:spacing w:after="0" w:line="18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Liability</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accordance with Statement of Financial Accounting Standards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the Company accrued $1.8 million in its fiscal 2008 first quarter, representing the probable amount that as of the date of the financial statements could be reasonably estimated of its liability, through trial, associated with the advancement of funds related to indemnification agreements with two former officers. As disclosed in July 2007, the Company was informed that two of its former officers have been indicted by the United States Attorney's Office for the District of Utah. The Company has been advised that a trial date has been set for January 22, 2008. The Company is cooperating fully with the U.S. Attorney's office in this matter and has been advised that it is neither a target nor a subject of the investigation or indictment.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September 2006, the Financial Accounting Standards Board (“FASB”) issued the Statement of Financial Accounting Standards (“SFAS”) No. 157 “Fair Value Measurements.” This statement defines fair value, establishes a framework for measuring fair value in generally accepted accounting principles and expands disclosures about fair value. SFAS 157 expands the disclosures about the use of fair value to measure assets and liabilities in interim and annual periods subsequent to initial recognition. The disclosures focus on the inputs used to measure fair value, the recurring fair value measurements using significant unobservable inputs and the effect of the measurement on earnings (or changes in net assets) for the period. The guidance in SFAS 157 also applies for derivatives and other financial instruments measured at fair value under Statement 133 “Accounting for Derivative Instruments and Hedging Activities” at initial recognition and in all subsequent periods. SFAS 157 is effective for fiscal years beginning after November 15, 2007, and interim periods within those fiscal years. We are currently reviewing the requirements of SFAS 157, and at this point in time, have not determined what impact, if any, SFAS 157 will have on our results of operations and financial position.</w:t>
      </w:r>
    </w:p>
    <w:p>
      <w:pPr>
        <w:spacing w:after="0" w:line="20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February 2007, the FASB issued SFAS 159 “The Fair Value Option for Financial Assets and Financial Liabilities.” This statement permits entities to choose to measure many financial instruments and certain other items at fair value that are not currently required to be measured at fair value. The objective is to improve financial reporting by providing entities with the opportunity to mitigate volatility in reported earnings caused by measuring related assets and liabilities differently without having to apply complex hedge accounting provisions. This statement requires a business entity to report unrealized gains and losses on items for which the fair value option has been elected in earnings at each subsequent reporting date. An entity may decide whether to elect the fair value option for each eligible item on its election date, subject to certain requirements described in the statement. SFAS 159 is effective for fiscal years beginning after November 15, 2007. We are currently reviewing the requirements of this statement and, at this point in time, have not determined the impact, if any, that this statement may have on our results of operations and financial position.</w:t>
      </w:r>
    </w:p>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Compromise Agreement and Release</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entered into a compromise agreement and release with its former Managing Director of Clear One Communications, Ltd. in connection with the cessation of his employment, which generally provided for his resignation from his position and employment with the Company, the payment of remuneration of approximately $94 representing six months’ notice, $10 for accrued but unused holiday pay, $32 severance, and a general release of claims against the Company by him.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Company’s warehouse lease agreement dated September 20, 2006, the Company modified the terms generally providing that effective March 31, 2008, the Company will lease approximately 6,000 square feet for $3 per month which will be used by the Company for document and equipment storage. The Company currently leases approximately 17,000 square feet of warehouse space for $8 per month.</w:t>
      </w:r>
    </w:p>
    <w:p>
      <w:pPr>
        <w:spacing w:after="0" w:line="21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Monday, November 5, 2007, Chief Judge Tena Campbell of the United States District Court, District of Utah, Central Division, in the case of ClearOne Communications, Inc. v. Andrew Chiang. et al.. Civil No 2:07ev00037TC, issued an order establishing the amount for the bond to be posted by ClearOne in conjunction with the Court's grant of ClearOne's motion for a preliminary injunction. This preliminary injunction order was issued by Chief Judge Tena Campbell on October 30, 2007 and is more fully described in the Form 8-K filed by the Company on November 1, 2007. The bond was set in the amount of $908. In accordance with the order, the Company placed the bond with the clerk of the Court on November 6, 2007. This litigation is subject to all of the risks and uncertainties of litigation and there can be no assurance as to the probable result of litigation.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The following discussion should be read in conjunction with our unaudited condensed consolidated financial statements and related notes to condensed consolidated financial statements included in this Form 10-Q and our audited consolidated financial statements included in our Annual Report on Form 10-K for the year ended June 30, 2007 filed with the SEC and management’s discussion and analysis contained therein.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Part II, Item 1A, as well as other information found in the documents we file from time to time with the SEC. Unless otherwise indicated, all references to a year reflect our fiscal year that ends on June 30.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high-quality audio conferencing products, which range from personal conferencing products to tabletop conferencing phones to professionally installed audio systems. We also manufacture and sell conferencing furniture. We have a strong history of product innovation and plan to continue to apply our expertise in audio engineering to develop and introduce innovative new products and enhance our existing products. We believe the performance and reliability of our high-quality audio products create a natural communications environment, which saves organizations of all sizes time and money by enabling more effective and efficient communication.</w:t>
      </w:r>
    </w:p>
    <w:p>
      <w:pPr>
        <w:spacing w:after="0" w:line="22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as well as individual consumers. We sell our products to these end-users primarily through a network of independent distributors who in turn sell our products to dealers, systems integrators, and value-added resellers. The Company also sells products on a limited basis directly to dealers, systems integrators, value-added resellers, and end-users.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Included in continuing operations is product revenue, primarily from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provide a right of return on product sales to distributors. Currently, we do not have sufficient historical return experience with our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 of goods sold could differ from actual amounts, we believe that our calculations are indicative of actual levels of inventory in the distribution channel. As of September 30, 2007, the Company deferred $5.9 million in revenue and $2.2 million in cost of goods sold related to products sold where return rights had not lapsed. The amounts of deferred cost of goods sold were included in consigned inventory. The following table details the amount of deferred revenue and cost of goods sold at each period end for the 21-month period ended September 30, 2007 (in thousands).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Deferred</w:t>
            </w: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Deferred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Deferred</w:t>
            </w:r>
          </w:p>
        </w:tc>
        <w:tc>
          <w:tcPr>
            <w:tcW w:w="2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Cost of</w:t>
            </w: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w w:val="87"/>
              </w:rPr>
              <w:t>Revenue</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Goods Sold</w:t>
            </w:r>
          </w:p>
        </w:tc>
        <w:tc>
          <w:tcPr>
            <w:tcW w:w="18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Profit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June 30, 2007</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4,872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2,115</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March 31, 2007</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December 31, 2006</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4,711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2006</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June 30, 2006</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5,871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March 31, 2006</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December 31, 2005</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4,936</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2,199</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offer rebates and market development funds to certain of our distributors and direct dealers/resellers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20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Intangibles</w:t>
      </w:r>
    </w:p>
    <w:p>
      <w:pPr>
        <w:spacing w:after="0" w:line="256" w:lineRule="exact"/>
        <w:rPr>
          <w:sz w:val="20"/>
          <w:szCs w:val="20"/>
          <w:color w:val="auto"/>
        </w:rPr>
      </w:pPr>
    </w:p>
    <w:p>
      <w:pPr>
        <w:ind w:right="1120"/>
        <w:spacing w:after="0" w:line="308" w:lineRule="auto"/>
        <w:rPr>
          <w:sz w:val="20"/>
          <w:szCs w:val="20"/>
          <w:color w:val="auto"/>
        </w:rPr>
      </w:pPr>
      <w:r>
        <w:rPr>
          <w:rFonts w:ascii="Arial" w:cs="Arial" w:eastAsia="Arial" w:hAnsi="Arial"/>
          <w:sz w:val="17"/>
          <w:szCs w:val="17"/>
          <w:color w:val="auto"/>
        </w:rPr>
        <w:t>We assess the impairment of intangibles annually or whenever events or changes in circumstances indicate that the carrying value may not be recoverable. Some factors we consider important which could trigger an impairment review include the following:</w:t>
      </w:r>
    </w:p>
    <w:p>
      <w:pPr>
        <w:spacing w:after="0" w:line="17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we determine that the carrying value of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intangibles for impairment at least annually.</w:t>
      </w:r>
    </w:p>
    <w:p>
      <w:pPr>
        <w:spacing w:after="0" w:line="19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15" w:name="page16"/>
    <w:bookmarkEnd w:id="1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assess the impairment of long-lived assets, such as property,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5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 expense for the allowance within the tax provision in the condensed consolidated statement of operations. The reversal of a previously established valuation allowance results in a benefit for income taxes. As of September 30, 2007 we continued to be fully reserved against our net deferred tax assets which total to approximately $5.2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 down the value of inventory to the lower-of-cost or market.</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 down our excess and obsolete inventory by an amount that is equal to the difference between the cost of the inventory and its estimated market value if market value is less than cost, based upon assumptions about future product life-cycles, product demand, or market conditions. Those items that are found to have a supply in excess of our estimated demand are considered to be slow-moving or obsolete and the appropriate reserve is made to write 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Prior to June 30, 2005 and as permitted under the original SFAS No. 123,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1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expected life of the awards, the expected volatility over the term of the awards, the expected dividends of the awards, the risk-free interest rate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audio conferencing products revenue has historically been strongest during our second and fourth quarters. There can be no assurance that any historic sales patterns will continue and, as a result, sales for any prior quarter are not necessarily indicative of the sales to be expected in any future quarter.</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17" w:name="page18"/>
    <w:bookmarkEnd w:id="17"/>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or the first fiscal quarter (“1Q”) ended September 30, 2007 and 2006</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items from our unaudited condensed consolidated statements of operations (in thousands)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2007 and 2006, together with the percentage of total revenue which each such item represents:</w:t>
      </w:r>
    </w:p>
    <w:p>
      <w:pPr>
        <w:spacing w:after="0" w:line="234" w:lineRule="exact"/>
        <w:rPr>
          <w:sz w:val="20"/>
          <w:szCs w:val="20"/>
          <w:color w:val="auto"/>
        </w:rPr>
      </w:pPr>
    </w:p>
    <w:p>
      <w:pPr>
        <w:jc w:val="center"/>
        <w:ind w:left="4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right"/>
              <w:ind w:right="1030"/>
              <w:spacing w:after="0"/>
              <w:rPr>
                <w:sz w:val="20"/>
                <w:szCs w:val="20"/>
                <w:color w:val="auto"/>
              </w:rPr>
            </w:pPr>
            <w:r>
              <w:rPr>
                <w:rFonts w:ascii="Arial" w:cs="Arial" w:eastAsia="Arial" w:hAnsi="Arial"/>
                <w:sz w:val="18"/>
                <w:szCs w:val="18"/>
                <w:b w:val="1"/>
                <w:bCs w:val="1"/>
                <w:color w:val="auto"/>
              </w:rPr>
              <w:t>2007</w:t>
            </w: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 of Revenue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Total cost of goods sold</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4,299</w:t>
            </w:r>
          </w:p>
        </w:tc>
        <w:tc>
          <w:tcPr>
            <w:tcW w:w="1340" w:type="dxa"/>
            <w:vAlign w:val="bottom"/>
          </w:tcPr>
          <w:p>
            <w:pPr>
              <w:jc w:val="right"/>
              <w:spacing w:after="0"/>
              <w:rPr>
                <w:sz w:val="20"/>
                <w:szCs w:val="20"/>
                <w:color w:val="auto"/>
              </w:rPr>
            </w:pPr>
            <w:r>
              <w:rPr>
                <w:rFonts w:ascii="Arial" w:cs="Arial" w:eastAsia="Arial" w:hAnsi="Arial"/>
                <w:sz w:val="18"/>
                <w:szCs w:val="18"/>
                <w:color w:val="auto"/>
              </w:rPr>
              <w:t>45.5%</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1,601</w:t>
            </w:r>
          </w:p>
        </w:tc>
        <w:tc>
          <w:tcPr>
            <w:tcW w:w="1340" w:type="dxa"/>
            <w:vAlign w:val="bottom"/>
          </w:tcPr>
          <w:p>
            <w:pPr>
              <w:jc w:val="right"/>
              <w:spacing w:after="0"/>
              <w:rPr>
                <w:sz w:val="20"/>
                <w:szCs w:val="20"/>
                <w:color w:val="auto"/>
              </w:rPr>
            </w:pPr>
            <w:r>
              <w:rPr>
                <w:rFonts w:ascii="Arial" w:cs="Arial" w:eastAsia="Arial" w:hAnsi="Arial"/>
                <w:sz w:val="18"/>
                <w:szCs w:val="18"/>
                <w:color w:val="auto"/>
              </w:rPr>
              <w:t>17.0%</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2,895</w:t>
            </w:r>
          </w:p>
        </w:tc>
        <w:tc>
          <w:tcPr>
            <w:tcW w:w="1340" w:type="dxa"/>
            <w:vAlign w:val="bottom"/>
          </w:tcPr>
          <w:p>
            <w:pPr>
              <w:jc w:val="right"/>
              <w:spacing w:after="0"/>
              <w:rPr>
                <w:sz w:val="20"/>
                <w:szCs w:val="20"/>
                <w:color w:val="auto"/>
              </w:rPr>
            </w:pPr>
            <w:r>
              <w:rPr>
                <w:rFonts w:ascii="Arial" w:cs="Arial" w:eastAsia="Arial" w:hAnsi="Arial"/>
                <w:sz w:val="18"/>
                <w:szCs w:val="18"/>
                <w:color w:val="auto"/>
              </w:rPr>
              <w:t>30.7%</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1Q 2008 revenue of $9.4 million was about even with 1Q 2007, the Company realized growth in its professional audio and personal conferencing products which collectively increased approximately $415,000 over 1Q 2007. The 1Q 2008 increases were offset by an approximate $385,000 collective decline in the Company’s premium, tabletop and conferencing furniture lines over the same period of 2007. The Company has not yet been able to fully penetrate and realize the potential within the premium or tabletop markets but continues to believe it has the differentiated products to become a formidable competitor in this space.</w:t>
      </w:r>
    </w:p>
    <w:p>
      <w:pPr>
        <w:spacing w:after="0" w:line="2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1Q 2008 and 2007, the net change in deferred revenue based on the net movement of inventory in the channel was a net deferral of ($1 million) and net recognition of $622,000 in revenue, respectively.</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revenues from sales outside of the United States accounted for 22% of total revenue for the three months ended September 30, 2007 and 26% of total revenue for the three months ended September 30, 2006,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our COGS and gross profit together with each item’s amount as a percentage of total revenue:</w:t>
      </w: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374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2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8"/>
                <w:szCs w:val="18"/>
                <w:b w:val="1"/>
                <w:bCs w:val="1"/>
                <w:color w:val="auto"/>
                <w:w w:val="88"/>
              </w:rPr>
              <w:t>(in thousands)</w:t>
            </w:r>
          </w:p>
        </w:tc>
        <w:tc>
          <w:tcPr>
            <w:tcW w:w="1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2"/>
          </w:tcPr>
          <w:p>
            <w:pPr>
              <w:jc w:val="right"/>
              <w:ind w:right="670"/>
              <w:spacing w:after="0" w:line="198" w:lineRule="exact"/>
              <w:rPr>
                <w:sz w:val="20"/>
                <w:szCs w:val="20"/>
                <w:color w:val="auto"/>
              </w:rPr>
            </w:pPr>
            <w:r>
              <w:rPr>
                <w:rFonts w:ascii="Arial" w:cs="Arial" w:eastAsia="Arial" w:hAnsi="Arial"/>
                <w:sz w:val="18"/>
                <w:szCs w:val="18"/>
                <w:b w:val="1"/>
                <w:bCs w:val="1"/>
                <w:color w:val="auto"/>
              </w:rPr>
              <w:t>September 30,</w:t>
            </w:r>
          </w:p>
        </w:tc>
        <w:tc>
          <w:tcPr>
            <w:tcW w:w="540" w:type="dxa"/>
            <w:vAlign w:val="bottom"/>
          </w:tcPr>
          <w:p>
            <w:pPr>
              <w:spacing w:after="0"/>
              <w:rPr>
                <w:sz w:val="17"/>
                <w:szCs w:val="17"/>
                <w:color w:val="auto"/>
              </w:rPr>
            </w:pPr>
          </w:p>
        </w:tc>
        <w:tc>
          <w:tcPr>
            <w:tcW w:w="12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4"/>
              </w:rPr>
              <w:t>September 30,</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ind w:right="1030"/>
              <w:spacing w:after="0"/>
              <w:rPr>
                <w:sz w:val="20"/>
                <w:szCs w:val="20"/>
                <w:color w:val="auto"/>
              </w:rPr>
            </w:pPr>
            <w:r>
              <w:rPr>
                <w:rFonts w:ascii="Arial" w:cs="Arial" w:eastAsia="Arial" w:hAnsi="Arial"/>
                <w:sz w:val="18"/>
                <w:szCs w:val="18"/>
                <w:b w:val="1"/>
                <w:bCs w:val="1"/>
                <w:color w:val="auto"/>
              </w:rPr>
              <w:t>2007</w:t>
            </w:r>
          </w:p>
        </w:tc>
        <w:tc>
          <w:tcPr>
            <w:tcW w:w="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 of Revenue</w:t>
            </w:r>
          </w:p>
        </w:tc>
        <w:tc>
          <w:tcPr>
            <w:tcW w:w="540" w:type="dxa"/>
            <w:vAlign w:val="bottom"/>
          </w:tcPr>
          <w:p>
            <w:pPr>
              <w:spacing w:after="0"/>
              <w:rPr>
                <w:sz w:val="18"/>
                <w:szCs w:val="18"/>
                <w:color w:val="auto"/>
              </w:rPr>
            </w:pPr>
          </w:p>
        </w:tc>
        <w:tc>
          <w:tcPr>
            <w:tcW w:w="1720" w:type="dxa"/>
            <w:vAlign w:val="bottom"/>
            <w:gridSpan w:val="2"/>
          </w:tcPr>
          <w:p>
            <w:pPr>
              <w:ind w:left="660"/>
              <w:spacing w:after="0"/>
              <w:rPr>
                <w:sz w:val="20"/>
                <w:szCs w:val="20"/>
                <w:color w:val="auto"/>
              </w:rPr>
            </w:pPr>
            <w:r>
              <w:rPr>
                <w:rFonts w:ascii="Arial" w:cs="Arial" w:eastAsia="Arial" w:hAnsi="Arial"/>
                <w:sz w:val="18"/>
                <w:szCs w:val="18"/>
                <w:b w:val="1"/>
                <w:bCs w:val="1"/>
                <w:color w:val="auto"/>
                <w:w w:val="88"/>
              </w:rPr>
              <w:t>% of Revenue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9,411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320"/>
              <w:spacing w:after="0"/>
              <w:rPr>
                <w:sz w:val="20"/>
                <w:szCs w:val="20"/>
                <w:color w:val="auto"/>
              </w:rPr>
            </w:pPr>
            <w:r>
              <w:rPr>
                <w:rFonts w:ascii="Arial" w:cs="Arial" w:eastAsia="Arial" w:hAnsi="Arial"/>
                <w:sz w:val="18"/>
                <w:szCs w:val="18"/>
                <w:color w:val="auto"/>
              </w:rPr>
              <w:t>Total cost of goods sold</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4,299</w:t>
            </w:r>
          </w:p>
        </w:tc>
        <w:tc>
          <w:tcPr>
            <w:tcW w:w="1340" w:type="dxa"/>
            <w:vAlign w:val="bottom"/>
          </w:tcPr>
          <w:p>
            <w:pPr>
              <w:jc w:val="right"/>
              <w:spacing w:after="0"/>
              <w:rPr>
                <w:sz w:val="20"/>
                <w:szCs w:val="20"/>
                <w:color w:val="auto"/>
              </w:rPr>
            </w:pPr>
            <w:r>
              <w:rPr>
                <w:rFonts w:ascii="Arial" w:cs="Arial" w:eastAsia="Arial" w:hAnsi="Arial"/>
                <w:sz w:val="18"/>
                <w:szCs w:val="18"/>
                <w:color w:val="auto"/>
              </w:rPr>
              <w:t>45.5%</w:t>
            </w:r>
          </w:p>
        </w:tc>
        <w:tc>
          <w:tcPr>
            <w:tcW w:w="540" w:type="dxa"/>
            <w:vAlign w:val="bottom"/>
          </w:tcPr>
          <w:p>
            <w:pPr>
              <w:spacing w:after="0"/>
              <w:rPr>
                <w:sz w:val="18"/>
                <w:szCs w:val="18"/>
                <w:color w:val="auto"/>
              </w:rPr>
            </w:pPr>
          </w:p>
        </w:tc>
        <w:tc>
          <w:tcPr>
            <w:tcW w:w="1240" w:type="dxa"/>
            <w:vAlign w:val="bottom"/>
          </w:tcPr>
          <w:p>
            <w:pPr>
              <w:jc w:val="right"/>
              <w:ind w:right="630"/>
              <w:spacing w:after="0"/>
              <w:rPr>
                <w:sz w:val="20"/>
                <w:szCs w:val="20"/>
                <w:color w:val="auto"/>
              </w:rPr>
            </w:pPr>
            <w:r>
              <w:rPr>
                <w:rFonts w:ascii="Arial" w:cs="Arial" w:eastAsia="Arial" w:hAnsi="Arial"/>
                <w:sz w:val="18"/>
                <w:szCs w:val="18"/>
                <w:color w:val="auto"/>
              </w:rPr>
              <w:t>4,316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5,095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Company’s gross profit margin (GPM), gross profit as a percentage of sales, was 54.5% and 54.1% in 1Q 2008 and 1Q 2007, respectively. Although GPM for each comparative quarter was about the same, the Company realized a favorable sales mix in 1Q08 as its highest margin professional audio conferencing products represented a larger portion of total revenue than in 1Q07, but GPM was negatively impacted by an increase in the Company’s reserve for inventory obsolescence required to account for an increase in slow-moving inventory in addition to unfavorable manufacturing variances.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Operating expenses include sales and marketing, general and administrative and research and development expenses. 1Q 2008 operating expenses were $6.2 million, an increase of $1.4 million, or 29%, from $4.8 million for 1Q 2007. The following is a more detailed discussion of expenses related to operating expenses.</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u w:val="single" w:color="auto"/>
          <w:color w:val="auto"/>
        </w:rPr>
        <w:t>Sales and Marketing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Sales and marketing (S&amp;M) expenses include selling, customer service, and marketing expenses such as employee-related</w:t>
      </w:r>
      <w:r>
        <w:rPr>
          <w:rFonts w:ascii="Arial" w:cs="Arial" w:eastAsia="Arial" w:hAnsi="Arial"/>
          <w:sz w:val="17"/>
          <w:szCs w:val="17"/>
          <w:b w:val="1"/>
          <w:bCs w:val="1"/>
          <w:color w:val="auto"/>
        </w:rPr>
        <w:t xml:space="preserve"> </w:t>
      </w:r>
      <w:r>
        <w:rPr>
          <w:rFonts w:ascii="Arial" w:cs="Arial" w:eastAsia="Arial" w:hAnsi="Arial"/>
          <w:sz w:val="17"/>
          <w:szCs w:val="17"/>
          <w:color w:val="auto"/>
        </w:rPr>
        <w:t>costs, allocations of overhead expenses, trade shows, and other advertising and selling expenses. 1Q 2008 S&amp;M expenses decreased approximately $300,000, or 17%, to $1.6 million compared to 1Q 2007 expenses of $1.9 million. As a percentage of revenues, 1Q 2008 and 2007 marketing and selling expenses were 17.0% and 20.4%, respectively. The lower total 1Q 2008 S&amp;M expenses in dollar terms and as a percentage of sales from 1Q 2007 can be attributed primarily to lower payroll and related expenses associated with lower overall S&amp;M headcount.</w:t>
      </w:r>
    </w:p>
    <w:p>
      <w:pPr>
        <w:spacing w:after="0" w:line="19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u w:val="single" w:color="auto"/>
          <w:color w:val="auto"/>
        </w:rPr>
        <w:t>Research and product development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product development (R&amp;D) expenses include research and development, product line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engineering services, and test and application expenses, including employee-related costs, outside services, expensed materials, depreciation, and an allocation of overhead expenses. 1Q 2008 R&amp;D expenses decreased to $1.8 million from $2.1 million in 1Q 2007. As a percentage of revenues, 1Q 2008 and 2007 R&amp;D expenses were 18.6% and 22.1%, respectively. The 1Q 2008 percentage and dollar decreases were due primarily to lower R&amp;D project expenses as compared to 1Q 2007 when the Company was heavily involved in working towards launching its next generation of professional product, Converge Pro.</w:t>
      </w:r>
    </w:p>
    <w:p>
      <w:pPr>
        <w:spacing w:after="0" w:line="21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u w:val="single" w:color="auto"/>
          <w:color w:val="auto"/>
        </w:rPr>
        <w:t>General and administrative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and administrative (G&amp;A) expenses include employee-related costs, professional service fees, allocations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overhead expenses, litigation costs, including costs associated with the SEC investigation and subsequent litigation, and corporate administrative costs, including finance and human resources. 1Q 2008 G&amp;A expenses increased $2.1 million to $2.9 million compared to 1Q 2007 expenses of $800,000. 1Q 2008 and 2007 G&amp;A expenses were 30.7% and 8.6% of sales, respectively. The significant 1Q 2008 increase was primarily due estimating and establishing a $1.8 million accrual for a contingent liability. In accordance with Statement of Financial Accounting Standards No.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the Company accrued $1.8 million in its fiscal 2008 first quarter, representing the probable amount that as of the date of the financial statements could be reasonably estimated of its liability, through trial, associated with the advancement of funds related to indemnification agreements with two former officers. As disclosed in July 2007, the Company was informed that two of its former officers have been indicted by the United States Attorney's Office for the District of Utah. The Company has been advised that a trial date has been set for January 22, 2008. The Company is cooperating fully with the U.S. Attorney's office in this matter and has been advised that it is neither a target nor a subject of the investigation or indictment. Also, during 1Q 2008 the Company paid Edward D. Bagley, the Company’s former director and Chairman the sum of $200,000 upon his resignation and in consideration for his service as a director of the Company since 1994.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1Q 2008 operating loss was ($1.1 million) compared to operating income of $289,000 in 1Q 2007. The 1Q 2008 operating income</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of approximately $1.4 million was due mainly to the $1.8 million contingent liability charged to general &amp; administrative expenses associated with the advancement of funds under the indemnification agreements with two former officers, partially offset by the $300,000 decreases in both the S&amp;M and R&amp;D expenses discussed above.</w:t>
      </w:r>
    </w:p>
    <w:p>
      <w:pPr>
        <w:spacing w:after="0" w:line="20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Other income, net. </w:t>
      </w:r>
      <w:r>
        <w:rPr>
          <w:rFonts w:ascii="Arial" w:cs="Arial" w:eastAsia="Arial" w:hAnsi="Arial"/>
          <w:sz w:val="18"/>
          <w:szCs w:val="18"/>
          <w:color w:val="auto"/>
        </w:rPr>
        <w:t>Other income, net, includes interest income, interest expense, capital gains, gain (loss) on the disposal of assets, and currency gain</w:t>
      </w:r>
      <w:r>
        <w:rPr>
          <w:rFonts w:ascii="Arial" w:cs="Arial" w:eastAsia="Arial" w:hAnsi="Arial"/>
          <w:sz w:val="18"/>
          <w:szCs w:val="18"/>
          <w:b w:val="1"/>
          <w:bCs w:val="1"/>
          <w:color w:val="auto"/>
        </w:rPr>
        <w:t xml:space="preserve"> </w:t>
      </w:r>
      <w:r>
        <w:rPr>
          <w:rFonts w:ascii="Arial" w:cs="Arial" w:eastAsia="Arial" w:hAnsi="Arial"/>
          <w:sz w:val="18"/>
          <w:szCs w:val="18"/>
          <w:color w:val="auto"/>
        </w:rPr>
        <w:t>(loss). 1Q 2008 other income was $341,000, slightly higher from other income of $332,000 in 1Q 2007.</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Income (loss) from continuing operations before income taxes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1Q 2008 loss from continuing operations was ($939,000) compared to income of $640,000</w:t>
      </w:r>
      <w:r>
        <w:rPr>
          <w:rFonts w:ascii="Arial" w:cs="Arial" w:eastAsia="Arial" w:hAnsi="Arial"/>
          <w:sz w:val="17"/>
          <w:szCs w:val="17"/>
          <w:b w:val="1"/>
          <w:bCs w:val="1"/>
          <w:color w:val="auto"/>
        </w:rPr>
        <w:t xml:space="preserve"> </w:t>
      </w:r>
      <w:r>
        <w:rPr>
          <w:rFonts w:ascii="Arial" w:cs="Arial" w:eastAsia="Arial" w:hAnsi="Arial"/>
          <w:sz w:val="17"/>
          <w:szCs w:val="17"/>
          <w:color w:val="auto"/>
        </w:rPr>
        <w:t>in 1Q 2007. As a percentage of revenues, 1Q 2008 and 2007 income (loss) from continuing operations was (9.9%) and 6.8%, respectively. The Company’s 1Q 2008 operating loss was partially offset by the $341,000 in other income in addition to the $171,000 benefit from income taxes.</w:t>
      </w:r>
    </w:p>
    <w:p>
      <w:pPr>
        <w:spacing w:after="0" w:line="185"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b w:val="1"/>
          <w:bCs w:val="1"/>
          <w:color w:val="auto"/>
        </w:rPr>
        <w:t xml:space="preserve">Income (loss) from discontinued operations, net of tax. </w:t>
      </w:r>
      <w:r>
        <w:rPr>
          <w:rFonts w:ascii="Arial" w:cs="Arial" w:eastAsia="Arial" w:hAnsi="Arial"/>
          <w:sz w:val="17"/>
          <w:szCs w:val="17"/>
          <w:color w:val="auto"/>
        </w:rPr>
        <w:t>During 1Q 2008 and 2007 we recorded income from discontinued operations, net of tax of</w:t>
      </w:r>
      <w:r>
        <w:rPr>
          <w:rFonts w:ascii="Arial" w:cs="Arial" w:eastAsia="Arial" w:hAnsi="Arial"/>
          <w:sz w:val="17"/>
          <w:szCs w:val="17"/>
          <w:b w:val="1"/>
          <w:bCs w:val="1"/>
          <w:color w:val="auto"/>
        </w:rPr>
        <w:t xml:space="preserve"> </w:t>
      </w:r>
      <w:r>
        <w:rPr>
          <w:rFonts w:ascii="Arial" w:cs="Arial" w:eastAsia="Arial" w:hAnsi="Arial"/>
          <w:sz w:val="17"/>
          <w:szCs w:val="17"/>
          <w:color w:val="auto"/>
        </w:rPr>
        <w:t>$15,000 and $37,000, respectively. The 1Q 2008 income was exclusively related to funds received through the receivership of OM Video. The 1Q 2007 income of $37,000 was related to income from the discontinued operations of the document and educational camera product line.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September 30, 2007, our cash and cash equivalents were approximately $2.5 million and our marketable securities were approximately $21.1 million, representing an overall increase of about $950,000 in our balances from June 30, 2007 which had cash and cash equivalents of approximately $2.8 million and marketable securities of approximately $19.8 million.</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flows provided by operating activities were $1.1 million for the three months ended September 30, 2007, an increase of $1.1 million from the net cash flows provided by operating activities of $56,000 for the three months ended September 30, 2006. The year-over-year increase can be attributed primarily to cash provided by changes in working capital of about $2.6 million partially offset by the approximately $1.6 million decrease in net income from continuing operations.</w:t>
      </w:r>
    </w:p>
    <w:p>
      <w:pPr>
        <w:spacing w:after="0" w:line="21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Net cash flows used in investing activities were approximately $1.4 million for the three months ended September 30, 2007, a decrease of about $1.8 million from the net cash flows provided by investing activities of $473,000 for the three months ended September 30, 2006. The change was primarily attributable to the purchase of $1.2 million in marketable securities and during the three months ending September 30, 2007.</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(used in) financing activities for the three months ended September 30, 2007 totaled ($42,000) and was attributed to the Company’s repurchase of approximately 88,000 shares of common stock for $566,000, partially offset by the receipt of $455,000 from the exercise of stock options and $69,000 related to the tax benefit attributable to the exercise of those stock options.</w:t>
      </w:r>
    </w:p>
    <w:p>
      <w:pPr>
        <w:spacing w:after="0" w:line="20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Management believes that future income from operations and effective management of working capital will provide the liquidity needed to finance growth plans. In addition to capital expenditures, the Company plans to use cash during the remainder of fiscal 2008 for selective infusions of technological, marketing or product manufacturing rights to broaden the Company's product offerings; for continued share repurchases; and if available for a reasonable price, acquisitions that may strategically fit the Company’s business and are accretive to performance.</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market risk has not changed materially since June 30, 2007.</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Principal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0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required by Rule 13a-15 under the Exchange Act, we have completed an evaluation, under the supervision and with the participation of our management, including the Chief Executive Officer and the Chief Financial Officer, of the effectiveness and the design and operation of our disclosure controls and procedures as of September 30 , 2007.</w:t>
      </w:r>
    </w:p>
    <w:p>
      <w:pPr>
        <w:ind w:right="580"/>
        <w:spacing w:after="0" w:line="261" w:lineRule="auto"/>
        <w:rPr>
          <w:sz w:val="20"/>
          <w:szCs w:val="20"/>
          <w:color w:val="auto"/>
        </w:rPr>
      </w:pPr>
      <w:r>
        <w:rPr>
          <w:rFonts w:ascii="Arial" w:cs="Arial" w:eastAsia="Arial" w:hAnsi="Arial"/>
          <w:sz w:val="18"/>
          <w:szCs w:val="18"/>
          <w:color w:val="auto"/>
        </w:rPr>
        <w:t>Based upon this evaluation, our management, including the Chief Executive Officer and the Chief Financial Officer, has concluded that our disclosure controls and procedures were effective as of September 30, 2007.</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quarter ended September 30, 2007, that have materially affected, or are reasonably likely to materially affect, the Company’s internal controls over financial reporting.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addition to the legal proceedings described below, we are also involved from time to time in various claims and other legal</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which arise in the normal course of business. Such matters are subject to many uncertainties and outcomes that are not predictable. However, based on the information available to us as of November 9, 2007 and after discussions with legal counsel, we do not believe any such other proceedings will have a material, adverse effect on our business, results of operations, financial position, or liquidity, except as described below.</w:t>
      </w:r>
    </w:p>
    <w:p>
      <w:pPr>
        <w:spacing w:after="0" w:line="198"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Theft of Intellectual Property and Copyright Complaints. </w:t>
      </w:r>
      <w:r>
        <w:rPr>
          <w:rFonts w:ascii="Arial" w:cs="Arial" w:eastAsia="Arial" w:hAnsi="Arial"/>
          <w:sz w:val="16"/>
          <w:szCs w:val="16"/>
          <w:color w:val="auto"/>
        </w:rPr>
        <w:t>In January 2007, the Company filed a lawsuit in the Third Judicial District Court, Salt Lake County,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 of Utah against WideBand Solutions, Inc. and two of its principals, one former employee named Dr. Jun Yang, and one previously affiliated with the Company (the “Intellectual Property Case”). ClearOne also brought claims against Biamp Systems Corporation, Inc. The matter was subsequently removed to federal court, the United States District Court, District of Utah, Central Division. The case is styled </w:t>
      </w:r>
      <w:r>
        <w:rPr>
          <w:rFonts w:ascii="Arial" w:cs="Arial" w:eastAsia="Arial" w:hAnsi="Arial"/>
          <w:sz w:val="16"/>
          <w:szCs w:val="16"/>
          <w:i w:val="1"/>
          <w:iCs w:val="1"/>
          <w:color w:val="auto"/>
        </w:rPr>
        <w:t>ClearOne Communications, Inc. v. Jun Yang, et. al.</w:t>
      </w:r>
      <w:r>
        <w:rPr>
          <w:rFonts w:ascii="Arial" w:cs="Arial" w:eastAsia="Arial" w:hAnsi="Arial"/>
          <w:sz w:val="16"/>
          <w:szCs w:val="16"/>
          <w:color w:val="auto"/>
        </w:rPr>
        <w:t xml:space="preserve"> Civil No. 2:07-co-37 TC. The Complaint brings claims against different combinations of the defendants for, among other things, misappropriation of certain trade secrets, breach of contract, conversion, unjust enrichment and intentional interference with business and contractual relations. The relief being sought by the Company includes an order enjoining the defendants from further use of the Company’s trade secrets and an award consisting of, among other things, compensation and damages related to the unjust enrichment of the defendants. The Court subsequently granted leave to add a third WideBand principal as a defendant to the case. In August 2007, the Company filed a motion for a preliminary injunction in the United States District Court, District of Utah, seeking to enjoin Wideband Solutions, Inc. from licensing certain technology the Company believes constitutes its intellectual property and trade secrets to Harman Music Group, Inc. On October 30, 2007, the Chief Judge of the United States District Court, the Honorable Tena Campbell, issued a Memorandum Decision and Order (the “Injunction Order”). The Injunction Order “GRANTS ClearOne’s motion for a Preliminary Injunction,” and orders that “Dr. Yang, as well as his agents, servants, officers, employees, entities and those acting under his direction and control, are hereby enjoined from working on or delivering any computer code – either source code or object code – to Harman until the completion of the trial.” In reaching its decision, the Court found that Dr. Yang was subject to a valid and enforceable Confidentiality, Non-Competition, and Invention Assignment Agreement (the “NDA”), and that ClearOne had demonstrated “a substantial likelihood that ClearOne will succeed on its claims that Dr. Yang violated the NDA” and derived the code that WideBand was attempting to license to Harman from code belonging to ClearOne. The Injunction Order is Docket Entry 572. On Monday, October 29, 2007, the Company filed a second action against WideBand and the same three principals named as defendants in the Intellectual Property Case, this time alleging copyright infringement, vicarious copyright infringement, and contributory copyright infringement (the “Copyright Case”). The claims in the Copyright Case arise out of a copyright issued to the Company for the same computer code that is the subject of the claims in the Intellectual Property Case. The relief being sought by the Company includes an order enjoining the defendants from further use of the Company’s copyrighted material, and an award consisting of, among other things, compensation and damages related the copyright infringement. The defendants in the Copyright Case have not yet filed a response. This litigation is subject to all of the risks and uncertainties of litigation and there can be no assurance as to the probable result of this litigation.</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Former Officer Indemnification. </w:t>
      </w:r>
      <w:r>
        <w:rPr>
          <w:rFonts w:ascii="Arial" w:cs="Arial" w:eastAsia="Arial" w:hAnsi="Arial"/>
          <w:sz w:val="16"/>
          <w:szCs w:val="16"/>
          <w:color w:val="auto"/>
        </w:rPr>
        <w:t>In July 2007, the Company was advised that the United States Attorney’s Office for the District of Utah indicted two former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of the Company. The Company has been advised that a trial date has been set for January 22, 2008. The Company is cooperating fully with the U.S. Attorney’s office in this matter and has been advised that it is neither a target nor a subject of the investigation or indictment. By virtue of certain provisions of the Company’s Articles of Incorporation, Bylaws and indemnification agreements with these former officers, the Company has a direct financial obligation to advance funds related to the indemnification agreements with each former officer for any liability and for all reasonable attorney’s fees and costs incurred in defending against the charges brought by the United States Attorney. In accordance with Statement of Financial Accounting Standards No. 5, Accounting for Contingencies, ClearOne accrued $1.8 million in its fiscal 2008 first quarter, representing the probable amount that as of the date of the financial statements could be reasonably estimated of its liability, through trial, associated with the advancement of funds related to the indemnification agreements. The $1.8 million accrual is management’s best estimate of the Company’s liability as of the date of the issuance of its financial statements. In accordance with SFAS 5, the Company will adjust its contingent liability, as necessary, to reflect the probable amount of its liability that can be reasonably estimated. The Company’s actual liability may be higher or lower than management’s estimate upon final resolution of the matter.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Quarterly Report on Form 10-Q, including our September 30, 2007 unaudited condensed consolidated financial statements and related notes.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We face intense competition in all markets for our products and services; our operating results will be adversely affected if we cannot compete effectively against other companies.</w:t>
      </w:r>
    </w:p>
    <w:p>
      <w:pPr>
        <w:spacing w:after="0" w:line="19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described in more detail in the section entitled “Competition,” in our Annual Report on Form 10-K for the year ended June 30, 2007, the markets for our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profits, and market share, each of which could have a materially adverse effect on our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5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revenues in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17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regulations regarding the materials used in manufacturing, the process of disposing of electronic equipment, and the efficient use of energy have emerged in the last few years. The first implementations of these regulations have taken place in Europe and have required significant effort from ClearOne to comply. Other countries and U.S. states are currently enacting or considering similar regulations, which could require additional resources and effort from ClearOne to comply.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European Parliament has published the RoHS Directive, which restricts the use of certain hazardous substances in electrical and electronic equipment beginning July 1, 2006. In order to comply with this directive, it has become necessary to re-design the majority of our products and switch over to components that do not contain the restricted substances, such as lead, mercury, and cadmium. This process involves procurement of the new compliant components, engineering effort to design, develop, test, and validate them, and re-submitting these re-designed products for multiple country emissions, safety, and telephone line interface compliance testing and approvals. This effort has consumed resources and time that would otherwise have been spent on new product development, which will continue until the products have been updated.</w:t>
      </w:r>
    </w:p>
    <w:p>
      <w:pPr>
        <w:spacing w:after="0" w:line="2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date, we have completed the re-design of our products and are shipping these products into the European market. Certain of our products will not be re-designed. Accordingly, sales into the European market may be negatively impacted and our results of operations could suffer. Our outsourced manufacturers may hold us responsible for the cost of purchased components that have become obsolete as a result of our re-design efforts. To the extent that we cannot manage these potential exposures to our current estimates, our results of operations could be negatively impacted.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 but also applies to many manufacturers exporting products to the European Union.</w:t>
      </w:r>
    </w:p>
    <w:p>
      <w:pPr>
        <w:spacing w:after="0" w:line="2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European Parliament has also published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our understanding of the directive, distributors of our product are deemed producers and must comply with this directive by contracting with a recycler for the recovery, recycling, and reuse of product. We have also completed the re-design of power supplies on certain products bringing us into compliance with a California law regarding efficient use of energy which went into effect in July 2007.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52"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We have, in the past,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could be experienced by us include difficulty in:</w:t>
      </w:r>
    </w:p>
    <w:p>
      <w:pPr>
        <w:spacing w:after="0" w:line="19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prototype products at anticipated cost levels;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7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profit margins.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profit margins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certain distributors.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 We periodically audit a limited number of distributors.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5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August 2005, we entered into a manufacturing agreement with a manufacturing services provider, to manufacturer substantially all the products that were previously manufactured at our Salt Lake City, Utah manufacturing facility. Subsequently, we entered into agreements with offshore manufacturers who also manufacture several of our product lines. If these manufacturers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quarantines, transportation restrictions, acts of terror,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some of our products.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cost of delivered product from our contract manufacturers is a direct function of their ability to buy components at a competitive price and to realize efficiencies and economies of scale within their overall business structure. If they are unsuccessful in driving efficient cost models, our delivered costs could rise, affecting our profitability and ability to compete. In addition, if the contract manufacturers are unable to achieve greater operational efficiencies, delivery schedules for new product development and current product delivery could be negatively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International sales represent a significant portion of our total product sales. We anticipate that the portion of our total product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1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unique environmental regulations;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36"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quarantines, transportation, or other restrictions associated with infectious diseases.</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depend on our ability to hire and retain qualified key and highly-skilled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Our inability to hire and retain employees with the skills we seek could hinder our ability to sell our existing products, systems, or services or to develop new products, systems, or services with a consequent adverse effect on our business, results of operations, financial position, or liquidity.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3"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As with any company, our operations are at risk of being interrupted by earthquake, fire, flood, and other natural and human-caused disasters, including disease and terrorist attacks. Our operations are also at risk of power loss, telecommunications failure, and other infrastructure and technology based problems. To help guard against such risks, we carry business interruption loss insurance to help compensate us for losses that may occur.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197" w:lineRule="exact"/>
        <w:rPr>
          <w:sz w:val="20"/>
          <w:szCs w:val="20"/>
          <w:color w:val="auto"/>
        </w:rPr>
      </w:pPr>
    </w:p>
    <w:p>
      <w:pPr>
        <w:ind w:left="660" w:right="10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36" w:lineRule="exact"/>
        <w:rPr>
          <w:rFonts w:ascii="Arial" w:cs="Arial" w:eastAsia="Arial" w:hAnsi="Arial"/>
          <w:sz w:val="18"/>
          <w:szCs w:val="18"/>
          <w:color w:val="auto"/>
        </w:rPr>
      </w:pPr>
    </w:p>
    <w:p>
      <w:pPr>
        <w:ind w:left="660" w:right="44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adoption of the new accounting standard, SFAS No. 123R, “Share-Based Payments,” which requires us to record compensation expense for certain options issued before July 1, 2005 and for all options issued or modified after June 30, 2005;</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5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our Form 10-K for the fiscal year ending June 30, 2006, we reported and identified a material weakness in our internal controls. Although we believe we have remedied this weakness through the commitment of considerable resources, we are always at risk that any future failure of our own internal controls or the internal control at any of our outsourced manufacturers or partners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 Stock Repurchases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purchases by ClearOne of its own securities during 1Q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ISSUER PURCHASES OF EQUITY SECURITIES</w:t>
            </w:r>
          </w:p>
        </w:tc>
        <w:tc>
          <w:tcPr>
            <w:tcW w:w="17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334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Maximum Number</w:t>
            </w:r>
          </w:p>
        </w:tc>
      </w:tr>
      <w:tr>
        <w:trPr>
          <w:trHeight w:val="216"/>
        </w:trPr>
        <w:tc>
          <w:tcPr>
            <w:tcW w:w="4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4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4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Purchased as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Shares that May by</w:t>
            </w:r>
          </w:p>
        </w:tc>
      </w:tr>
      <w:tr>
        <w:trPr>
          <w:trHeight w:val="216"/>
        </w:trPr>
        <w:tc>
          <w:tcPr>
            <w:tcW w:w="4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16"/>
        </w:trPr>
        <w:tc>
          <w:tcPr>
            <w:tcW w:w="4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Average Price Paid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41"/>
        </w:trPr>
        <w:tc>
          <w:tcPr>
            <w:tcW w:w="40" w:type="dxa"/>
            <w:vAlign w:val="bottom"/>
            <w:tcBorders>
              <w:right w:val="single" w:sz="8" w:color="auto"/>
            </w:tcBorders>
          </w:tcPr>
          <w:p>
            <w:pPr>
              <w:spacing w:after="0"/>
              <w:rPr>
                <w:sz w:val="20"/>
                <w:szCs w:val="20"/>
                <w:color w:val="auto"/>
              </w:rPr>
            </w:pPr>
          </w:p>
        </w:tc>
        <w:tc>
          <w:tcPr>
            <w:tcW w:w="334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Period</w:t>
            </w:r>
          </w:p>
        </w:tc>
        <w:tc>
          <w:tcPr>
            <w:tcW w:w="12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r>
      <w:tr>
        <w:trPr>
          <w:trHeight w:val="223"/>
        </w:trPr>
        <w:tc>
          <w:tcPr>
            <w:tcW w:w="40" w:type="dxa"/>
            <w:vAlign w:val="bottom"/>
            <w:tcBorders>
              <w:right w:val="single" w:sz="8" w:color="auto"/>
            </w:tcBorders>
          </w:tcPr>
          <w:p>
            <w:pPr>
              <w:spacing w:after="0"/>
              <w:rPr>
                <w:sz w:val="19"/>
                <w:szCs w:val="19"/>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2007 – July 31, 2007</w:t>
            </w: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$721,000</w:t>
            </w:r>
          </w:p>
        </w:tc>
      </w:tr>
      <w:tr>
        <w:trPr>
          <w:trHeight w:val="223"/>
        </w:trPr>
        <w:tc>
          <w:tcPr>
            <w:tcW w:w="40" w:type="dxa"/>
            <w:vAlign w:val="bottom"/>
            <w:tcBorders>
              <w:right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1, 2007 – August 31, 2007</w:t>
            </w:r>
          </w:p>
        </w:tc>
        <w:tc>
          <w:tcPr>
            <w:tcW w:w="120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51,243</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$6.11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51,243</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$3,312,000</w:t>
            </w:r>
          </w:p>
        </w:tc>
      </w:tr>
      <w:tr>
        <w:trPr>
          <w:trHeight w:val="223"/>
        </w:trPr>
        <w:tc>
          <w:tcPr>
            <w:tcW w:w="40" w:type="dxa"/>
            <w:vAlign w:val="bottom"/>
            <w:tcBorders>
              <w:right w:val="single" w:sz="8" w:color="auto"/>
            </w:tcBorders>
          </w:tcPr>
          <w:p>
            <w:pPr>
              <w:spacing w:after="0"/>
              <w:rPr>
                <w:sz w:val="19"/>
                <w:szCs w:val="19"/>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September 1, 2007 – September 30, 2007</w:t>
            </w: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37,012</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$6.84</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37,012</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$3,059,000</w:t>
            </w:r>
          </w:p>
        </w:tc>
      </w:tr>
      <w:tr>
        <w:trPr>
          <w:trHeight w:val="237"/>
        </w:trPr>
        <w:tc>
          <w:tcPr>
            <w:tcW w:w="4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88,255</w:t>
            </w:r>
          </w:p>
        </w:tc>
        <w:tc>
          <w:tcPr>
            <w:tcW w:w="17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88,255</w:t>
            </w:r>
          </w:p>
        </w:tc>
        <w:tc>
          <w:tcPr>
            <w:tcW w:w="1700" w:type="dxa"/>
            <w:vAlign w:val="bottom"/>
          </w:tcPr>
          <w:p>
            <w:pPr>
              <w:spacing w:after="0"/>
              <w:rPr>
                <w:sz w:val="20"/>
                <w:szCs w:val="20"/>
                <w:color w:val="auto"/>
              </w:rPr>
            </w:pPr>
          </w:p>
        </w:tc>
      </w:tr>
    </w:tbl>
    <w:p>
      <w:pPr>
        <w:spacing w:after="0" w:line="229" w:lineRule="exact"/>
        <w:rPr>
          <w:sz w:val="20"/>
          <w:szCs w:val="20"/>
          <w:color w:val="auto"/>
        </w:rPr>
      </w:pPr>
    </w:p>
    <w:p>
      <w:pPr>
        <w:ind w:left="980" w:right="200" w:hanging="972"/>
        <w:spacing w:after="0" w:line="25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August 31, 2006, the Company’s Board of Directors approved a stock buy-back program to purchase up to $2 million of the Company’s common stock over the following 12 months on the open market. All repurchased shares were retired. The stock buy-back program expired in August 2007.</w:t>
      </w:r>
    </w:p>
    <w:p>
      <w:pPr>
        <w:ind w:left="980" w:right="240"/>
        <w:spacing w:after="0" w:line="323" w:lineRule="auto"/>
        <w:rPr>
          <w:rFonts w:ascii="Arial" w:cs="Arial" w:eastAsia="Arial" w:hAnsi="Arial"/>
          <w:sz w:val="18"/>
          <w:szCs w:val="18"/>
          <w:color w:val="auto"/>
        </w:rPr>
      </w:pPr>
      <w:r>
        <w:rPr>
          <w:rFonts w:ascii="Arial" w:cs="Arial" w:eastAsia="Arial" w:hAnsi="Arial"/>
          <w:sz w:val="16"/>
          <w:szCs w:val="16"/>
          <w:color w:val="auto"/>
        </w:rPr>
        <w:t>On August 30, 2007, the Company’s Board of Directors approved a stock buy-back program to purchase up to $3.6 million of the Company’s common stock over the next 12 months in open market and private block transactions. All repurchased shares will be retired.</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c>
          <w:tcPr>
            <w:tcW w:w="44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45"/>
        </w:trPr>
        <w:tc>
          <w:tcPr>
            <w:tcW w:w="92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920" w:type="dxa"/>
            <w:vAlign w:val="bottom"/>
            <w:gridSpan w:val="2"/>
          </w:tcPr>
          <w:p>
            <w:pPr>
              <w:spacing w:after="0"/>
              <w:rPr>
                <w:sz w:val="20"/>
                <w:szCs w:val="20"/>
                <w:color w:val="auto"/>
              </w:rPr>
            </w:pPr>
            <w:r>
              <w:rPr>
                <w:rFonts w:ascii="Arial" w:cs="Arial" w:eastAsia="Arial" w:hAnsi="Arial"/>
                <w:sz w:val="18"/>
                <w:szCs w:val="18"/>
                <w:color w:val="auto"/>
              </w:rPr>
              <w:t>SEC Ref.</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320" w:type="dxa"/>
            <w:vAlign w:val="bottom"/>
            <w:gridSpan w:val="2"/>
          </w:tcPr>
          <w:p>
            <w:pPr>
              <w:spacing w:after="0" w:line="190" w:lineRule="exact"/>
              <w:rPr>
                <w:sz w:val="20"/>
                <w:szCs w:val="20"/>
                <w:color w:val="auto"/>
              </w:rPr>
            </w:pPr>
            <w:r>
              <w:rPr>
                <w:rFonts w:ascii="Arial" w:cs="Arial" w:eastAsia="Arial" w:hAnsi="Arial"/>
                <w:sz w:val="18"/>
                <w:szCs w:val="18"/>
                <w:color w:val="auto"/>
              </w:rPr>
              <w:t>No.</w:t>
            </w:r>
          </w:p>
        </w:tc>
        <w:tc>
          <w:tcPr>
            <w:tcW w:w="600" w:type="dxa"/>
            <w:vAlign w:val="bottom"/>
          </w:tcPr>
          <w:p>
            <w:pPr>
              <w:spacing w:after="0"/>
              <w:rPr>
                <w:sz w:val="16"/>
                <w:szCs w:val="16"/>
                <w:color w:val="auto"/>
              </w:rPr>
            </w:pPr>
          </w:p>
        </w:tc>
        <w:tc>
          <w:tcPr>
            <w:tcW w:w="320" w:type="dxa"/>
            <w:vAlign w:val="bottom"/>
          </w:tcPr>
          <w:p>
            <w:pPr>
              <w:ind w:left="60"/>
              <w:spacing w:after="0" w:line="190" w:lineRule="exact"/>
              <w:rPr>
                <w:sz w:val="20"/>
                <w:szCs w:val="20"/>
                <w:color w:val="auto"/>
              </w:rPr>
            </w:pPr>
            <w:r>
              <w:rPr>
                <w:rFonts w:ascii="Arial" w:cs="Arial" w:eastAsia="Arial" w:hAnsi="Arial"/>
                <w:sz w:val="18"/>
                <w:szCs w:val="18"/>
                <w:color w:val="auto"/>
                <w:w w:val="85"/>
              </w:rPr>
              <w:t>No.</w:t>
            </w:r>
          </w:p>
        </w:tc>
        <w:tc>
          <w:tcPr>
            <w:tcW w:w="600" w:type="dxa"/>
            <w:vAlign w:val="bottom"/>
          </w:tcPr>
          <w:p>
            <w:pPr>
              <w:spacing w:after="0"/>
              <w:rPr>
                <w:sz w:val="16"/>
                <w:szCs w:val="16"/>
                <w:color w:val="auto"/>
              </w:rPr>
            </w:pPr>
          </w:p>
        </w:tc>
        <w:tc>
          <w:tcPr>
            <w:tcW w:w="7780" w:type="dxa"/>
            <w:vAlign w:val="bottom"/>
            <w:gridSpan w:val="3"/>
          </w:tcPr>
          <w:p>
            <w:pPr>
              <w:spacing w:after="0" w:line="190" w:lineRule="exact"/>
              <w:rPr>
                <w:sz w:val="20"/>
                <w:szCs w:val="20"/>
                <w:color w:val="auto"/>
              </w:rPr>
            </w:pPr>
            <w:r>
              <w:rPr>
                <w:rFonts w:ascii="Arial" w:cs="Arial" w:eastAsia="Arial" w:hAnsi="Arial"/>
                <w:sz w:val="18"/>
                <w:szCs w:val="18"/>
                <w:color w:val="auto"/>
              </w:rPr>
              <w:t>Title of Document</w:t>
            </w:r>
          </w:p>
        </w:tc>
        <w:tc>
          <w:tcPr>
            <w:tcW w:w="162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Location</w:t>
            </w: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60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600" w:type="dxa"/>
            <w:vAlign w:val="bottom"/>
          </w:tcPr>
          <w:p>
            <w:pPr>
              <w:spacing w:after="0"/>
              <w:rPr>
                <w:sz w:val="17"/>
                <w:szCs w:val="17"/>
                <w:color w:val="auto"/>
              </w:rPr>
            </w:pPr>
          </w:p>
        </w:tc>
        <w:tc>
          <w:tcPr>
            <w:tcW w:w="7780" w:type="dxa"/>
            <w:vAlign w:val="bottom"/>
            <w:gridSpan w:val="3"/>
          </w:tcPr>
          <w:p>
            <w:pPr>
              <w:spacing w:after="0" w:line="196" w:lineRule="exact"/>
              <w:rPr>
                <w:sz w:val="20"/>
                <w:szCs w:val="20"/>
                <w:color w:val="auto"/>
              </w:rPr>
            </w:pPr>
            <w:r>
              <w:rPr>
                <w:rFonts w:ascii="Arial" w:cs="Arial" w:eastAsia="Arial" w:hAnsi="Arial"/>
                <w:sz w:val="18"/>
                <w:szCs w:val="18"/>
                <w:color w:val="auto"/>
                <w:w w:val="96"/>
              </w:rPr>
              <w:t>Compromise Agreement between ClearOne Communications UK Limited and Martin James Offwood</w:t>
            </w:r>
          </w:p>
        </w:tc>
        <w:tc>
          <w:tcPr>
            <w:tcW w:w="162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This filing</w:t>
            </w:r>
          </w:p>
        </w:tc>
      </w:tr>
      <w:tr>
        <w:trPr>
          <w:trHeight w:val="222"/>
        </w:trPr>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dated August 13, 2007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0"/>
        </w:trPr>
        <w:tc>
          <w:tcPr>
            <w:tcW w:w="320" w:type="dxa"/>
            <w:vAlign w:val="bottom"/>
            <w:tcBorders>
              <w:bottom w:val="single" w:sz="8" w:color="0000EE"/>
            </w:tcBorders>
            <w:gridSpan w:val="2"/>
          </w:tcPr>
          <w:p>
            <w:pPr>
              <w:spacing w:after="0" w:line="190" w:lineRule="exact"/>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p>
        </w:tc>
        <w:tc>
          <w:tcPr>
            <w:tcW w:w="600" w:type="dxa"/>
            <w:vAlign w:val="bottom"/>
          </w:tcPr>
          <w:p>
            <w:pPr>
              <w:spacing w:after="0"/>
              <w:rPr>
                <w:sz w:val="16"/>
                <w:szCs w:val="16"/>
                <w:color w:val="auto"/>
              </w:rPr>
            </w:pPr>
          </w:p>
        </w:tc>
        <w:tc>
          <w:tcPr>
            <w:tcW w:w="320" w:type="dxa"/>
            <w:vAlign w:val="bottom"/>
          </w:tcPr>
          <w:p>
            <w:pPr>
              <w:spacing w:after="0" w:line="190" w:lineRule="exact"/>
              <w:rPr>
                <w:sz w:val="20"/>
                <w:szCs w:val="20"/>
                <w:color w:val="auto"/>
              </w:rPr>
            </w:pPr>
            <w:r>
              <w:rPr>
                <w:rFonts w:ascii="Arial" w:cs="Arial" w:eastAsia="Arial" w:hAnsi="Arial"/>
                <w:sz w:val="18"/>
                <w:szCs w:val="18"/>
                <w:color w:val="auto"/>
              </w:rPr>
              <w:t>10</w:t>
            </w:r>
          </w:p>
        </w:tc>
        <w:tc>
          <w:tcPr>
            <w:tcW w:w="600" w:type="dxa"/>
            <w:vAlign w:val="bottom"/>
          </w:tcPr>
          <w:p>
            <w:pPr>
              <w:spacing w:after="0"/>
              <w:rPr>
                <w:sz w:val="16"/>
                <w:szCs w:val="16"/>
                <w:color w:val="auto"/>
              </w:rPr>
            </w:pPr>
          </w:p>
        </w:tc>
        <w:tc>
          <w:tcPr>
            <w:tcW w:w="7780" w:type="dxa"/>
            <w:vAlign w:val="bottom"/>
            <w:gridSpan w:val="3"/>
          </w:tcPr>
          <w:p>
            <w:pPr>
              <w:spacing w:after="0" w:line="190" w:lineRule="exact"/>
              <w:rPr>
                <w:sz w:val="20"/>
                <w:szCs w:val="20"/>
                <w:color w:val="auto"/>
              </w:rPr>
            </w:pPr>
            <w:r>
              <w:rPr>
                <w:rFonts w:ascii="Arial" w:cs="Arial" w:eastAsia="Arial" w:hAnsi="Arial"/>
                <w:sz w:val="18"/>
                <w:szCs w:val="18"/>
                <w:color w:val="auto"/>
                <w:w w:val="93"/>
              </w:rPr>
              <w:t>Warehouse Lease Agreement between Woodenshoe Development and ClearOne Communications, Inc.</w:t>
            </w:r>
          </w:p>
        </w:tc>
        <w:tc>
          <w:tcPr>
            <w:tcW w:w="162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This filing</w:t>
            </w:r>
          </w:p>
        </w:tc>
      </w:tr>
      <w:tr>
        <w:trPr>
          <w:trHeight w:val="222"/>
        </w:trPr>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dated October 5, 2007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7"/>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10.3</w:t>
            </w:r>
          </w:p>
        </w:tc>
        <w:tc>
          <w:tcPr>
            <w:tcW w:w="6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w w:val="92"/>
              </w:rPr>
              <w:t>Warehouse Lease Agreement between Alder Construction Company and ClearOne Communications, Inc.</w:t>
            </w:r>
          </w:p>
        </w:tc>
        <w:tc>
          <w:tcPr>
            <w:tcW w:w="1620" w:type="dxa"/>
            <w:vAlign w:val="bottom"/>
            <w:gridSpan w:val="3"/>
          </w:tcPr>
          <w:p>
            <w:pPr>
              <w:ind w:left="100"/>
              <w:spacing w:after="0" w:line="217" w:lineRule="exact"/>
              <w:rPr>
                <w:sz w:val="20"/>
                <w:szCs w:val="20"/>
                <w:color w:val="auto"/>
              </w:rPr>
            </w:pPr>
            <w:r>
              <w:rPr>
                <w:rFonts w:ascii="Arial" w:cs="Arial" w:eastAsia="Arial" w:hAnsi="Arial"/>
                <w:sz w:val="16"/>
                <w:szCs w:val="16"/>
                <w:color w:val="auto"/>
                <w:w w:val="98"/>
              </w:rPr>
              <w:t>Incorp. by reference</w:t>
            </w:r>
            <w:r>
              <w:rPr>
                <w:rFonts w:ascii="Arial" w:cs="Arial" w:eastAsia="Arial" w:hAnsi="Arial"/>
                <w:sz w:val="25"/>
                <w:szCs w:val="25"/>
                <w:color w:val="auto"/>
                <w:w w:val="98"/>
                <w:vertAlign w:val="superscript"/>
              </w:rPr>
              <w:t>1</w:t>
            </w:r>
          </w:p>
        </w:tc>
      </w:tr>
      <w:tr>
        <w:trPr>
          <w:trHeight w:val="215"/>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dated September 20, 2006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0"/>
        </w:trPr>
        <w:tc>
          <w:tcPr>
            <w:tcW w:w="320" w:type="dxa"/>
            <w:vAlign w:val="bottom"/>
            <w:tcBorders>
              <w:bottom w:val="single" w:sz="8" w:color="0000EE"/>
            </w:tcBorders>
            <w:gridSpan w:val="2"/>
          </w:tcPr>
          <w:p>
            <w:pPr>
              <w:spacing w:after="0" w:line="190"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600" w:type="dxa"/>
            <w:vAlign w:val="bottom"/>
          </w:tcPr>
          <w:p>
            <w:pPr>
              <w:spacing w:after="0"/>
              <w:rPr>
                <w:sz w:val="16"/>
                <w:szCs w:val="16"/>
                <w:color w:val="auto"/>
              </w:rPr>
            </w:pPr>
          </w:p>
        </w:tc>
        <w:tc>
          <w:tcPr>
            <w:tcW w:w="32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600" w:type="dxa"/>
            <w:vAlign w:val="bottom"/>
          </w:tcPr>
          <w:p>
            <w:pPr>
              <w:spacing w:after="0"/>
              <w:rPr>
                <w:sz w:val="16"/>
                <w:szCs w:val="16"/>
                <w:color w:val="auto"/>
              </w:rPr>
            </w:pPr>
          </w:p>
        </w:tc>
        <w:tc>
          <w:tcPr>
            <w:tcW w:w="7780" w:type="dxa"/>
            <w:vAlign w:val="bottom"/>
            <w:gridSpan w:val="3"/>
          </w:tcPr>
          <w:p>
            <w:pPr>
              <w:spacing w:after="0" w:line="190" w:lineRule="exact"/>
              <w:rPr>
                <w:sz w:val="20"/>
                <w:szCs w:val="20"/>
                <w:color w:val="auto"/>
              </w:rPr>
            </w:pPr>
            <w:r>
              <w:rPr>
                <w:rFonts w:ascii="Arial" w:cs="Arial" w:eastAsia="Arial" w:hAnsi="Arial"/>
                <w:sz w:val="18"/>
                <w:szCs w:val="18"/>
                <w:color w:val="auto"/>
              </w:rPr>
              <w:t>Section 302 Certification of Chief Executive Officer</w:t>
            </w:r>
          </w:p>
        </w:tc>
        <w:tc>
          <w:tcPr>
            <w:tcW w:w="162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This filing</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60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60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w w:val="90"/>
              </w:rPr>
              <w:t>Section 302</w:t>
            </w:r>
          </w:p>
        </w:tc>
        <w:tc>
          <w:tcPr>
            <w:tcW w:w="69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Certification of Principal Financial Officer</w:t>
            </w:r>
          </w:p>
        </w:tc>
        <w:tc>
          <w:tcPr>
            <w:tcW w:w="162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This filing</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60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60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w w:val="90"/>
              </w:rPr>
              <w:t>Section 906</w:t>
            </w:r>
          </w:p>
        </w:tc>
        <w:tc>
          <w:tcPr>
            <w:tcW w:w="69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Certification of Chief Executive Officer</w:t>
            </w:r>
          </w:p>
        </w:tc>
        <w:tc>
          <w:tcPr>
            <w:tcW w:w="162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This filing</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p>
        </w:tc>
        <w:tc>
          <w:tcPr>
            <w:tcW w:w="60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60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w w:val="90"/>
              </w:rPr>
              <w:t>Section 906</w:t>
            </w:r>
          </w:p>
        </w:tc>
        <w:tc>
          <w:tcPr>
            <w:tcW w:w="69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Certification of Principal Financial Officer</w:t>
            </w:r>
          </w:p>
        </w:tc>
        <w:tc>
          <w:tcPr>
            <w:tcW w:w="162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This filing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11061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20" w:hanging="112"/>
        <w:spacing w:after="0"/>
        <w:tabs>
          <w:tab w:leader="none" w:pos="12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Form 10-Q for the period ended September 30, 2006</w:t>
      </w:r>
    </w:p>
    <w:p>
      <w:pPr>
        <w:sectPr>
          <w:pgSz w:w="11900" w:h="16838" w:orient="portrait"/>
          <w:cols w:equalWidth="0" w:num="1">
            <w:col w:w="11420"/>
          </w:cols>
          <w:pgMar w:left="240" w:top="121"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900" w:type="dxa"/>
            <w:vAlign w:val="bottom"/>
            <w:gridSpan w:val="4"/>
          </w:tcPr>
          <w:p>
            <w:pPr>
              <w:ind w:left="2180"/>
              <w:spacing w:after="0"/>
              <w:rPr>
                <w:sz w:val="20"/>
                <w:szCs w:val="20"/>
                <w:color w:val="auto"/>
              </w:rPr>
            </w:pPr>
            <w:r>
              <w:rPr>
                <w:rFonts w:ascii="Arial" w:cs="Arial" w:eastAsia="Arial" w:hAnsi="Arial"/>
                <w:sz w:val="18"/>
                <w:szCs w:val="18"/>
                <w:color w:val="auto"/>
              </w:rPr>
              <w:t>CLEARONE COMMUNICATIONS, INC.</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November 12, 2007</w:t>
            </w: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5260" w:type="dxa"/>
            <w:vAlign w:val="bottom"/>
            <w:gridSpan w:val="3"/>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3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Zeynep Hakimoglu</w:t>
            </w:r>
          </w:p>
        </w:tc>
        <w:tc>
          <w:tcPr>
            <w:tcW w:w="3660" w:type="dxa"/>
            <w:vAlign w:val="bottom"/>
          </w:tcPr>
          <w:p>
            <w:pPr>
              <w:spacing w:after="0"/>
              <w:rPr>
                <w:sz w:val="19"/>
                <w:szCs w:val="19"/>
                <w:color w:val="auto"/>
              </w:rPr>
            </w:pP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6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November 12, 2007</w:t>
            </w: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5260" w:type="dxa"/>
            <w:vAlign w:val="bottom"/>
            <w:gridSpan w:val="3"/>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3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 A. LeClaire</w:t>
            </w:r>
          </w:p>
        </w:tc>
        <w:tc>
          <w:tcPr>
            <w:tcW w:w="3800" w:type="dxa"/>
            <w:vAlign w:val="bottom"/>
            <w:gridSpan w:val="2"/>
          </w:tcPr>
          <w:p>
            <w:pPr>
              <w:spacing w:after="0"/>
              <w:rPr>
                <w:sz w:val="19"/>
                <w:szCs w:val="19"/>
                <w:color w:val="auto"/>
              </w:rPr>
            </w:pP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VP Finance</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6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50"/>
        </w:trPr>
        <w:tc>
          <w:tcPr>
            <w:tcW w:w="3540" w:type="dxa"/>
            <w:vAlign w:val="bottom"/>
          </w:tcPr>
          <w:p>
            <w:pPr>
              <w:spacing w:after="0"/>
              <w:rPr>
                <w:sz w:val="24"/>
                <w:szCs w:val="24"/>
                <w:color w:val="auto"/>
              </w:rPr>
            </w:pPr>
          </w:p>
        </w:tc>
        <w:tc>
          <w:tcPr>
            <w:tcW w:w="2640" w:type="dxa"/>
            <w:vAlign w:val="bottom"/>
          </w:tcPr>
          <w:p>
            <w:pPr>
              <w:jc w:val="right"/>
              <w:ind w:right="314"/>
              <w:spacing w:after="0"/>
              <w:rPr>
                <w:sz w:val="20"/>
                <w:szCs w:val="20"/>
                <w:color w:val="auto"/>
              </w:rPr>
            </w:pPr>
            <w:r>
              <w:rPr>
                <w:rFonts w:ascii="Arial" w:cs="Arial" w:eastAsia="Arial" w:hAnsi="Arial"/>
                <w:sz w:val="14"/>
                <w:szCs w:val="14"/>
                <w:color w:val="auto"/>
              </w:rPr>
              <w:t>29</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03"/>
        </w:trPr>
        <w:tc>
          <w:tcPr>
            <w:tcW w:w="3540" w:type="dxa"/>
            <w:vAlign w:val="bottom"/>
            <w:tcBorders>
              <w:bottom w:val="single" w:sz="8" w:color="808080"/>
            </w:tcBorders>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6195"/>
                    </a:xfrm>
                    <a:prstGeom prst="rect">
                      <a:avLst/>
                    </a:prstGeom>
                    <a:noFill/>
                  </pic:spPr>
                </pic:pic>
              </a:graphicData>
            </a:graphic>
          </wp:anchor>
        </w:drawing>
        <w:t>WITHOUT PREJUDICE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SUBJECT TO CONTRACT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PRIVATE AND CONFIDENTIAL</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 August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CLEARONE COMMUNICATIONS UK LIMITED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MARTIN JAMES OFFWOOD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238125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COMPROMISE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238125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TAYLOR WESSING LLP</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Carmelite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50 Victoria Embankment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Blackfriars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London EC4Y 0DX</w:t>
      </w:r>
    </w:p>
    <w:p>
      <w:pPr>
        <w:spacing w:after="0" w:line="238" w:lineRule="exact"/>
        <w:rPr>
          <w:sz w:val="20"/>
          <w:szCs w:val="20"/>
          <w:color w:val="auto"/>
        </w:rPr>
      </w:pPr>
    </w:p>
    <w:tbl>
      <w:tblPr>
        <w:tblLayout w:type="fixed"/>
        <w:tblInd w:w="3740" w:type="dxa"/>
        <w:tblCellMar>
          <w:top w:w="0" w:type="dxa"/>
          <w:left w:w="0" w:type="dxa"/>
          <w:bottom w:w="0" w:type="dxa"/>
          <w:right w:w="0" w:type="dxa"/>
        </w:tblCellMar>
      </w:tblPr>
      <w:tr>
        <w:trPr>
          <w:trHeight w:val="216"/>
        </w:trPr>
        <w:tc>
          <w:tcPr>
            <w:tcW w:w="1540" w:type="dxa"/>
            <w:vAlign w:val="bottom"/>
            <w:gridSpan w:val="2"/>
          </w:tcPr>
          <w:p>
            <w:pPr>
              <w:jc w:val="right"/>
              <w:spacing w:after="0"/>
              <w:rPr>
                <w:sz w:val="20"/>
                <w:szCs w:val="20"/>
                <w:color w:val="auto"/>
              </w:rPr>
            </w:pPr>
            <w:r>
              <w:rPr>
                <w:rFonts w:ascii="Arial" w:cs="Arial" w:eastAsia="Arial" w:hAnsi="Arial"/>
                <w:sz w:val="18"/>
                <w:szCs w:val="18"/>
                <w:color w:val="auto"/>
                <w:w w:val="90"/>
              </w:rPr>
              <w:t>+44 (0)20 7300 7000</w:t>
            </w:r>
          </w:p>
        </w:tc>
      </w:tr>
      <w:tr>
        <w:trPr>
          <w:trHeight w:val="216"/>
        </w:trPr>
        <w:tc>
          <w:tcPr>
            <w:tcW w:w="1540" w:type="dxa"/>
            <w:vAlign w:val="bottom"/>
            <w:gridSpan w:val="2"/>
          </w:tcPr>
          <w:p>
            <w:pPr>
              <w:jc w:val="right"/>
              <w:spacing w:after="0"/>
              <w:rPr>
                <w:sz w:val="20"/>
                <w:szCs w:val="20"/>
                <w:color w:val="auto"/>
              </w:rPr>
            </w:pPr>
            <w:r>
              <w:rPr>
                <w:rFonts w:ascii="Arial" w:cs="Arial" w:eastAsia="Arial" w:hAnsi="Arial"/>
                <w:sz w:val="18"/>
                <w:szCs w:val="18"/>
                <w:color w:val="auto"/>
                <w:w w:val="90"/>
              </w:rPr>
              <w:t>+44 (0)20 7300 7100</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DX</w:t>
            </w:r>
          </w:p>
        </w:tc>
        <w:tc>
          <w:tcPr>
            <w:tcW w:w="1020" w:type="dxa"/>
            <w:vAlign w:val="bottom"/>
          </w:tcPr>
          <w:p>
            <w:pPr>
              <w:jc w:val="right"/>
              <w:spacing w:after="0"/>
              <w:rPr>
                <w:sz w:val="20"/>
                <w:szCs w:val="20"/>
                <w:color w:val="auto"/>
              </w:rPr>
            </w:pPr>
            <w:r>
              <w:rPr>
                <w:rFonts w:ascii="Arial" w:cs="Arial" w:eastAsia="Arial" w:hAnsi="Arial"/>
                <w:sz w:val="18"/>
                <w:szCs w:val="18"/>
                <w:color w:val="auto"/>
              </w:rPr>
              <w:t>41 London</w:t>
            </w:r>
          </w:p>
        </w:tc>
      </w:tr>
    </w:tbl>
    <w:p>
      <w:pPr>
        <w:spacing w:after="0" w:line="200" w:lineRule="exact"/>
        <w:rPr>
          <w:sz w:val="20"/>
          <w:szCs w:val="20"/>
          <w:color w:val="auto"/>
        </w:rPr>
      </w:pPr>
    </w:p>
    <w:p>
      <w:pPr>
        <w:spacing w:after="0" w:line="27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Ref: PYC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83"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6680" w:type="dxa"/>
            <w:vAlign w:val="bottom"/>
          </w:tcPr>
          <w:p>
            <w:pPr>
              <w:ind w:left="760"/>
              <w:spacing w:after="0"/>
              <w:rPr>
                <w:sz w:val="20"/>
                <w:szCs w:val="20"/>
                <w:color w:val="auto"/>
              </w:rPr>
            </w:pPr>
            <w:r>
              <w:rPr>
                <w:rFonts w:ascii="Arial" w:cs="Arial" w:eastAsia="Arial" w:hAnsi="Arial"/>
                <w:sz w:val="18"/>
                <w:szCs w:val="18"/>
                <w:b w:val="1"/>
                <w:bCs w:val="1"/>
                <w:color w:val="auto"/>
              </w:rPr>
              <w:t>Index</w:t>
            </w:r>
          </w:p>
        </w:tc>
      </w:tr>
      <w:tr>
        <w:trPr>
          <w:trHeight w:val="459"/>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Clause No.</w:t>
            </w:r>
          </w:p>
        </w:tc>
        <w:tc>
          <w:tcPr>
            <w:tcW w:w="6680" w:type="dxa"/>
            <w:vAlign w:val="bottom"/>
          </w:tcPr>
          <w:p>
            <w:pPr>
              <w:ind w:left="5780"/>
              <w:spacing w:after="0"/>
              <w:rPr>
                <w:sz w:val="20"/>
                <w:szCs w:val="20"/>
                <w:color w:val="auto"/>
              </w:rPr>
            </w:pPr>
            <w:r>
              <w:rPr>
                <w:rFonts w:ascii="Arial" w:cs="Arial" w:eastAsia="Arial" w:hAnsi="Arial"/>
                <w:sz w:val="18"/>
                <w:szCs w:val="18"/>
                <w:b w:val="1"/>
                <w:bCs w:val="1"/>
                <w:color w:val="auto"/>
              </w:rPr>
              <w:t>Page No.</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Definitions</w:t>
            </w:r>
          </w:p>
        </w:tc>
        <w:tc>
          <w:tcPr>
            <w:tcW w:w="6680" w:type="dxa"/>
            <w:vAlign w:val="bottom"/>
            <w:shd w:val="clear" w:color="auto" w:fill="CCEEFF"/>
          </w:tcPr>
          <w:p>
            <w:pPr>
              <w:jc w:val="center"/>
              <w:ind w:left="5450"/>
              <w:spacing w:after="0"/>
              <w:rPr>
                <w:sz w:val="20"/>
                <w:szCs w:val="20"/>
                <w:color w:val="auto"/>
              </w:rPr>
            </w:pPr>
            <w:r>
              <w:rPr>
                <w:rFonts w:ascii="Arial" w:cs="Arial" w:eastAsia="Arial" w:hAnsi="Arial"/>
                <w:sz w:val="18"/>
                <w:szCs w:val="18"/>
                <w:color w:val="auto"/>
                <w:w w:val="99"/>
              </w:rPr>
              <w:t>1</w:t>
            </w:r>
          </w:p>
        </w:tc>
      </w:tr>
      <w:tr>
        <w:trPr>
          <w:trHeight w:val="216"/>
        </w:trPr>
        <w:tc>
          <w:tcPr>
            <w:tcW w:w="420" w:type="dxa"/>
            <w:vAlign w:val="bottom"/>
          </w:tcPr>
          <w:p>
            <w:pPr>
              <w:spacing w:after="0"/>
              <w:rPr>
                <w:sz w:val="20"/>
                <w:szCs w:val="20"/>
                <w:color w:val="auto"/>
              </w:rPr>
            </w:pPr>
            <w:r>
              <w:rPr>
                <w:rFonts w:ascii="Arial" w:cs="Arial" w:eastAsia="Arial" w:hAnsi="Arial"/>
                <w:sz w:val="18"/>
                <w:szCs w:val="18"/>
                <w:b w:val="1"/>
                <w:bCs w:val="1"/>
                <w:color w:val="auto"/>
              </w:rPr>
              <w:t>2.</w:t>
            </w: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rPr>
              <w:t>Termination of Employment</w:t>
            </w:r>
          </w:p>
        </w:tc>
        <w:tc>
          <w:tcPr>
            <w:tcW w:w="6680" w:type="dxa"/>
            <w:vAlign w:val="bottom"/>
          </w:tcPr>
          <w:p>
            <w:pPr>
              <w:jc w:val="center"/>
              <w:ind w:left="5450"/>
              <w:spacing w:after="0"/>
              <w:rPr>
                <w:sz w:val="20"/>
                <w:szCs w:val="20"/>
                <w:color w:val="auto"/>
              </w:rPr>
            </w:pPr>
            <w:r>
              <w:rPr>
                <w:rFonts w:ascii="Arial" w:cs="Arial" w:eastAsia="Arial" w:hAnsi="Arial"/>
                <w:sz w:val="18"/>
                <w:szCs w:val="18"/>
                <w:color w:val="auto"/>
                <w:w w:val="99"/>
              </w:rPr>
              <w:t>2</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Remuneration</w:t>
            </w:r>
          </w:p>
        </w:tc>
        <w:tc>
          <w:tcPr>
            <w:tcW w:w="6680" w:type="dxa"/>
            <w:vAlign w:val="bottom"/>
            <w:shd w:val="clear" w:color="auto" w:fill="CCEEFF"/>
          </w:tcPr>
          <w:p>
            <w:pPr>
              <w:jc w:val="center"/>
              <w:ind w:left="5450"/>
              <w:spacing w:after="0"/>
              <w:rPr>
                <w:sz w:val="20"/>
                <w:szCs w:val="20"/>
                <w:color w:val="auto"/>
              </w:rPr>
            </w:pPr>
            <w:r>
              <w:rPr>
                <w:rFonts w:ascii="Arial" w:cs="Arial" w:eastAsia="Arial" w:hAnsi="Arial"/>
                <w:sz w:val="18"/>
                <w:szCs w:val="18"/>
                <w:color w:val="auto"/>
                <w:w w:val="99"/>
              </w:rPr>
              <w:t>2</w:t>
            </w:r>
          </w:p>
        </w:tc>
      </w:tr>
      <w:tr>
        <w:trPr>
          <w:trHeight w:val="216"/>
        </w:trPr>
        <w:tc>
          <w:tcPr>
            <w:tcW w:w="420" w:type="dxa"/>
            <w:vAlign w:val="bottom"/>
          </w:tcPr>
          <w:p>
            <w:pPr>
              <w:spacing w:after="0"/>
              <w:rPr>
                <w:sz w:val="20"/>
                <w:szCs w:val="20"/>
                <w:color w:val="auto"/>
              </w:rPr>
            </w:pPr>
            <w:r>
              <w:rPr>
                <w:rFonts w:ascii="Arial" w:cs="Arial" w:eastAsia="Arial" w:hAnsi="Arial"/>
                <w:sz w:val="18"/>
                <w:szCs w:val="18"/>
                <w:b w:val="1"/>
                <w:bCs w:val="1"/>
                <w:color w:val="auto"/>
              </w:rPr>
              <w:t>4.</w:t>
            </w: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rPr>
              <w:t>P45</w:t>
            </w:r>
          </w:p>
        </w:tc>
        <w:tc>
          <w:tcPr>
            <w:tcW w:w="6680" w:type="dxa"/>
            <w:vAlign w:val="bottom"/>
          </w:tcPr>
          <w:p>
            <w:pPr>
              <w:jc w:val="center"/>
              <w:ind w:left="5450"/>
              <w:spacing w:after="0"/>
              <w:rPr>
                <w:sz w:val="20"/>
                <w:szCs w:val="20"/>
                <w:color w:val="auto"/>
              </w:rPr>
            </w:pPr>
            <w:r>
              <w:rPr>
                <w:rFonts w:ascii="Arial" w:cs="Arial" w:eastAsia="Arial" w:hAnsi="Arial"/>
                <w:sz w:val="18"/>
                <w:szCs w:val="18"/>
                <w:color w:val="auto"/>
                <w:w w:val="99"/>
              </w:rPr>
              <w:t>2</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Severance Payment</w:t>
            </w:r>
          </w:p>
        </w:tc>
        <w:tc>
          <w:tcPr>
            <w:tcW w:w="6680" w:type="dxa"/>
            <w:vAlign w:val="bottom"/>
            <w:shd w:val="clear" w:color="auto" w:fill="CCEEFF"/>
          </w:tcPr>
          <w:p>
            <w:pPr>
              <w:jc w:val="center"/>
              <w:ind w:left="5450"/>
              <w:spacing w:after="0"/>
              <w:rPr>
                <w:sz w:val="20"/>
                <w:szCs w:val="20"/>
                <w:color w:val="auto"/>
              </w:rPr>
            </w:pPr>
            <w:r>
              <w:rPr>
                <w:rFonts w:ascii="Arial" w:cs="Arial" w:eastAsia="Arial" w:hAnsi="Arial"/>
                <w:sz w:val="18"/>
                <w:szCs w:val="18"/>
                <w:color w:val="auto"/>
                <w:w w:val="99"/>
              </w:rPr>
              <w:t>2</w:t>
            </w:r>
          </w:p>
        </w:tc>
      </w:tr>
      <w:tr>
        <w:trPr>
          <w:trHeight w:val="216"/>
        </w:trPr>
        <w:tc>
          <w:tcPr>
            <w:tcW w:w="420" w:type="dxa"/>
            <w:vAlign w:val="bottom"/>
          </w:tcPr>
          <w:p>
            <w:pPr>
              <w:spacing w:after="0"/>
              <w:rPr>
                <w:sz w:val="20"/>
                <w:szCs w:val="20"/>
                <w:color w:val="auto"/>
              </w:rPr>
            </w:pPr>
            <w:r>
              <w:rPr>
                <w:rFonts w:ascii="Arial" w:cs="Arial" w:eastAsia="Arial" w:hAnsi="Arial"/>
                <w:sz w:val="18"/>
                <w:szCs w:val="18"/>
                <w:b w:val="1"/>
                <w:bCs w:val="1"/>
                <w:color w:val="auto"/>
              </w:rPr>
              <w:t>6.</w:t>
            </w: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rPr>
              <w:t>Tax</w:t>
            </w:r>
          </w:p>
        </w:tc>
        <w:tc>
          <w:tcPr>
            <w:tcW w:w="6680" w:type="dxa"/>
            <w:vAlign w:val="bottom"/>
          </w:tcPr>
          <w:p>
            <w:pPr>
              <w:jc w:val="center"/>
              <w:ind w:left="5450"/>
              <w:spacing w:after="0"/>
              <w:rPr>
                <w:sz w:val="20"/>
                <w:szCs w:val="20"/>
                <w:color w:val="auto"/>
              </w:rPr>
            </w:pPr>
            <w:r>
              <w:rPr>
                <w:rFonts w:ascii="Arial" w:cs="Arial" w:eastAsia="Arial" w:hAnsi="Arial"/>
                <w:sz w:val="18"/>
                <w:szCs w:val="18"/>
                <w:color w:val="auto"/>
                <w:w w:val="99"/>
              </w:rPr>
              <w:t>3</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w:t>
            </w: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Secrecy</w:t>
            </w:r>
          </w:p>
        </w:tc>
        <w:tc>
          <w:tcPr>
            <w:tcW w:w="6680" w:type="dxa"/>
            <w:vAlign w:val="bottom"/>
            <w:shd w:val="clear" w:color="auto" w:fill="CCEEFF"/>
          </w:tcPr>
          <w:p>
            <w:pPr>
              <w:jc w:val="center"/>
              <w:ind w:left="5450"/>
              <w:spacing w:after="0"/>
              <w:rPr>
                <w:sz w:val="20"/>
                <w:szCs w:val="20"/>
                <w:color w:val="auto"/>
              </w:rPr>
            </w:pPr>
            <w:r>
              <w:rPr>
                <w:rFonts w:ascii="Arial" w:cs="Arial" w:eastAsia="Arial" w:hAnsi="Arial"/>
                <w:sz w:val="18"/>
                <w:szCs w:val="18"/>
                <w:color w:val="auto"/>
                <w:w w:val="99"/>
              </w:rPr>
              <w:t>3</w:t>
            </w:r>
          </w:p>
        </w:tc>
      </w:tr>
      <w:tr>
        <w:trPr>
          <w:trHeight w:val="216"/>
        </w:trPr>
        <w:tc>
          <w:tcPr>
            <w:tcW w:w="420" w:type="dxa"/>
            <w:vAlign w:val="bottom"/>
          </w:tcPr>
          <w:p>
            <w:pPr>
              <w:spacing w:after="0"/>
              <w:rPr>
                <w:sz w:val="20"/>
                <w:szCs w:val="20"/>
                <w:color w:val="auto"/>
              </w:rPr>
            </w:pPr>
            <w:r>
              <w:rPr>
                <w:rFonts w:ascii="Arial" w:cs="Arial" w:eastAsia="Arial" w:hAnsi="Arial"/>
                <w:sz w:val="18"/>
                <w:szCs w:val="18"/>
                <w:b w:val="1"/>
                <w:bCs w:val="1"/>
                <w:color w:val="auto"/>
              </w:rPr>
              <w:t>8.</w:t>
            </w: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rPr>
              <w:t>Post-Termination Restrictions</w:t>
            </w:r>
          </w:p>
        </w:tc>
        <w:tc>
          <w:tcPr>
            <w:tcW w:w="6680" w:type="dxa"/>
            <w:vAlign w:val="bottom"/>
          </w:tcPr>
          <w:p>
            <w:pPr>
              <w:jc w:val="center"/>
              <w:ind w:left="5450"/>
              <w:spacing w:after="0"/>
              <w:rPr>
                <w:sz w:val="20"/>
                <w:szCs w:val="20"/>
                <w:color w:val="auto"/>
              </w:rPr>
            </w:pPr>
            <w:r>
              <w:rPr>
                <w:rFonts w:ascii="Arial" w:cs="Arial" w:eastAsia="Arial" w:hAnsi="Arial"/>
                <w:sz w:val="18"/>
                <w:szCs w:val="18"/>
                <w:color w:val="auto"/>
                <w:w w:val="99"/>
              </w:rPr>
              <w:t>3</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New Employment</w:t>
            </w:r>
          </w:p>
        </w:tc>
        <w:tc>
          <w:tcPr>
            <w:tcW w:w="6680" w:type="dxa"/>
            <w:vAlign w:val="bottom"/>
            <w:shd w:val="clear" w:color="auto" w:fill="CCEEFF"/>
          </w:tcPr>
          <w:p>
            <w:pPr>
              <w:jc w:val="center"/>
              <w:ind w:left="5450"/>
              <w:spacing w:after="0"/>
              <w:rPr>
                <w:sz w:val="20"/>
                <w:szCs w:val="20"/>
                <w:color w:val="auto"/>
              </w:rPr>
            </w:pPr>
            <w:r>
              <w:rPr>
                <w:rFonts w:ascii="Arial" w:cs="Arial" w:eastAsia="Arial" w:hAnsi="Arial"/>
                <w:sz w:val="18"/>
                <w:szCs w:val="18"/>
                <w:color w:val="auto"/>
                <w:w w:val="99"/>
              </w:rPr>
              <w:t>4</w:t>
            </w:r>
          </w:p>
        </w:tc>
      </w:tr>
      <w:tr>
        <w:trPr>
          <w:trHeight w:val="216"/>
        </w:trPr>
        <w:tc>
          <w:tcPr>
            <w:tcW w:w="4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rPr>
              <w:t>Company Property</w:t>
            </w:r>
          </w:p>
        </w:tc>
        <w:tc>
          <w:tcPr>
            <w:tcW w:w="6680" w:type="dxa"/>
            <w:vAlign w:val="bottom"/>
          </w:tcPr>
          <w:p>
            <w:pPr>
              <w:jc w:val="center"/>
              <w:ind w:left="5450"/>
              <w:spacing w:after="0"/>
              <w:rPr>
                <w:sz w:val="20"/>
                <w:szCs w:val="20"/>
                <w:color w:val="auto"/>
              </w:rPr>
            </w:pPr>
            <w:r>
              <w:rPr>
                <w:rFonts w:ascii="Arial" w:cs="Arial" w:eastAsia="Arial" w:hAnsi="Arial"/>
                <w:sz w:val="18"/>
                <w:szCs w:val="18"/>
                <w:color w:val="auto"/>
                <w:w w:val="99"/>
              </w:rPr>
              <w:t>4</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w:t>
            </w: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Legal Expenses</w:t>
            </w:r>
          </w:p>
        </w:tc>
        <w:tc>
          <w:tcPr>
            <w:tcW w:w="6680" w:type="dxa"/>
            <w:vAlign w:val="bottom"/>
            <w:shd w:val="clear" w:color="auto" w:fill="CCEEFF"/>
          </w:tcPr>
          <w:p>
            <w:pPr>
              <w:jc w:val="center"/>
              <w:ind w:left="5450"/>
              <w:spacing w:after="0"/>
              <w:rPr>
                <w:sz w:val="20"/>
                <w:szCs w:val="20"/>
                <w:color w:val="auto"/>
              </w:rPr>
            </w:pPr>
            <w:r>
              <w:rPr>
                <w:rFonts w:ascii="Arial" w:cs="Arial" w:eastAsia="Arial" w:hAnsi="Arial"/>
                <w:sz w:val="18"/>
                <w:szCs w:val="18"/>
                <w:color w:val="auto"/>
                <w:w w:val="99"/>
              </w:rPr>
              <w:t>4</w:t>
            </w:r>
          </w:p>
        </w:tc>
      </w:tr>
      <w:tr>
        <w:trPr>
          <w:trHeight w:val="216"/>
        </w:trPr>
        <w:tc>
          <w:tcPr>
            <w:tcW w:w="4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rPr>
              <w:t>Claims against the Employer</w:t>
            </w:r>
          </w:p>
        </w:tc>
        <w:tc>
          <w:tcPr>
            <w:tcW w:w="6680" w:type="dxa"/>
            <w:vAlign w:val="bottom"/>
          </w:tcPr>
          <w:p>
            <w:pPr>
              <w:jc w:val="center"/>
              <w:ind w:left="5450"/>
              <w:spacing w:after="0"/>
              <w:rPr>
                <w:sz w:val="20"/>
                <w:szCs w:val="20"/>
                <w:color w:val="auto"/>
              </w:rPr>
            </w:pPr>
            <w:r>
              <w:rPr>
                <w:rFonts w:ascii="Arial" w:cs="Arial" w:eastAsia="Arial" w:hAnsi="Arial"/>
                <w:sz w:val="18"/>
                <w:szCs w:val="18"/>
                <w:color w:val="auto"/>
                <w:w w:val="99"/>
              </w:rPr>
              <w:t>4</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13.</w:t>
            </w: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Interpretation</w:t>
            </w:r>
          </w:p>
        </w:tc>
        <w:tc>
          <w:tcPr>
            <w:tcW w:w="6680" w:type="dxa"/>
            <w:vAlign w:val="bottom"/>
            <w:shd w:val="clear" w:color="auto" w:fill="CCEEFF"/>
          </w:tcPr>
          <w:p>
            <w:pPr>
              <w:jc w:val="center"/>
              <w:ind w:left="5450"/>
              <w:spacing w:after="0"/>
              <w:rPr>
                <w:sz w:val="20"/>
                <w:szCs w:val="20"/>
                <w:color w:val="auto"/>
              </w:rPr>
            </w:pPr>
            <w:r>
              <w:rPr>
                <w:rFonts w:ascii="Arial" w:cs="Arial" w:eastAsia="Arial" w:hAnsi="Arial"/>
                <w:sz w:val="18"/>
                <w:szCs w:val="18"/>
                <w:color w:val="auto"/>
                <w:w w:val="99"/>
              </w:rPr>
              <w:t>7</w:t>
            </w:r>
          </w:p>
        </w:tc>
      </w:tr>
      <w:tr>
        <w:trPr>
          <w:trHeight w:val="216"/>
        </w:trPr>
        <w:tc>
          <w:tcPr>
            <w:tcW w:w="420" w:type="dxa"/>
            <w:vAlign w:val="bottom"/>
          </w:tcPr>
          <w:p>
            <w:pPr>
              <w:spacing w:after="0"/>
              <w:rPr>
                <w:sz w:val="20"/>
                <w:szCs w:val="20"/>
                <w:color w:val="auto"/>
              </w:rPr>
            </w:pPr>
            <w:r>
              <w:rPr>
                <w:rFonts w:ascii="Arial" w:cs="Arial" w:eastAsia="Arial" w:hAnsi="Arial"/>
                <w:sz w:val="18"/>
                <w:szCs w:val="18"/>
                <w:b w:val="1"/>
                <w:bCs w:val="1"/>
                <w:color w:val="auto"/>
              </w:rPr>
              <w:t>14.</w:t>
            </w: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rPr>
              <w:t>Third Party Rights</w:t>
            </w:r>
          </w:p>
        </w:tc>
        <w:tc>
          <w:tcPr>
            <w:tcW w:w="6680" w:type="dxa"/>
            <w:vAlign w:val="bottom"/>
          </w:tcPr>
          <w:p>
            <w:pPr>
              <w:jc w:val="center"/>
              <w:ind w:left="5450"/>
              <w:spacing w:after="0"/>
              <w:rPr>
                <w:sz w:val="20"/>
                <w:szCs w:val="20"/>
                <w:color w:val="auto"/>
              </w:rPr>
            </w:pPr>
            <w:r>
              <w:rPr>
                <w:rFonts w:ascii="Arial" w:cs="Arial" w:eastAsia="Arial" w:hAnsi="Arial"/>
                <w:sz w:val="18"/>
                <w:szCs w:val="18"/>
                <w:color w:val="auto"/>
                <w:w w:val="99"/>
              </w:rPr>
              <w:t>7</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15.</w:t>
            </w: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Enforcement of the Compromise Agreement</w:t>
            </w:r>
          </w:p>
        </w:tc>
        <w:tc>
          <w:tcPr>
            <w:tcW w:w="6680" w:type="dxa"/>
            <w:vAlign w:val="bottom"/>
            <w:shd w:val="clear" w:color="auto" w:fill="CCEEFF"/>
          </w:tcPr>
          <w:p>
            <w:pPr>
              <w:jc w:val="center"/>
              <w:ind w:left="5450"/>
              <w:spacing w:after="0"/>
              <w:rPr>
                <w:sz w:val="20"/>
                <w:szCs w:val="20"/>
                <w:color w:val="auto"/>
              </w:rPr>
            </w:pPr>
            <w:r>
              <w:rPr>
                <w:rFonts w:ascii="Arial" w:cs="Arial" w:eastAsia="Arial" w:hAnsi="Arial"/>
                <w:sz w:val="18"/>
                <w:szCs w:val="18"/>
                <w:color w:val="auto"/>
                <w:w w:val="99"/>
              </w:rPr>
              <w:t>7</w:t>
            </w:r>
          </w:p>
        </w:tc>
      </w:tr>
      <w:tr>
        <w:trPr>
          <w:trHeight w:val="216"/>
        </w:trPr>
        <w:tc>
          <w:tcPr>
            <w:tcW w:w="420" w:type="dxa"/>
            <w:vAlign w:val="bottom"/>
          </w:tcPr>
          <w:p>
            <w:pPr>
              <w:spacing w:after="0"/>
              <w:rPr>
                <w:sz w:val="20"/>
                <w:szCs w:val="20"/>
                <w:color w:val="auto"/>
              </w:rPr>
            </w:pPr>
            <w:r>
              <w:rPr>
                <w:rFonts w:ascii="Arial" w:cs="Arial" w:eastAsia="Arial" w:hAnsi="Arial"/>
                <w:sz w:val="18"/>
                <w:szCs w:val="18"/>
                <w:b w:val="1"/>
                <w:bCs w:val="1"/>
                <w:color w:val="auto"/>
              </w:rPr>
              <w:t>16.</w:t>
            </w: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rPr>
              <w:t>Without Prejudice</w:t>
            </w:r>
          </w:p>
        </w:tc>
        <w:tc>
          <w:tcPr>
            <w:tcW w:w="6680" w:type="dxa"/>
            <w:vAlign w:val="bottom"/>
          </w:tcPr>
          <w:p>
            <w:pPr>
              <w:jc w:val="center"/>
              <w:ind w:left="5450"/>
              <w:spacing w:after="0"/>
              <w:rPr>
                <w:sz w:val="20"/>
                <w:szCs w:val="20"/>
                <w:color w:val="auto"/>
              </w:rPr>
            </w:pPr>
            <w:r>
              <w:rPr>
                <w:rFonts w:ascii="Arial" w:cs="Arial" w:eastAsia="Arial" w:hAnsi="Arial"/>
                <w:sz w:val="18"/>
                <w:szCs w:val="18"/>
                <w:color w:val="auto"/>
                <w:w w:val="99"/>
              </w:rPr>
              <w:t>7</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17.</w:t>
            </w: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Entire Agreement</w:t>
            </w:r>
          </w:p>
        </w:tc>
        <w:tc>
          <w:tcPr>
            <w:tcW w:w="6680" w:type="dxa"/>
            <w:vAlign w:val="bottom"/>
            <w:shd w:val="clear" w:color="auto" w:fill="CCEEFF"/>
          </w:tcPr>
          <w:p>
            <w:pPr>
              <w:jc w:val="center"/>
              <w:ind w:left="5450"/>
              <w:spacing w:after="0"/>
              <w:rPr>
                <w:sz w:val="20"/>
                <w:szCs w:val="20"/>
                <w:color w:val="auto"/>
              </w:rPr>
            </w:pPr>
            <w:r>
              <w:rPr>
                <w:rFonts w:ascii="Arial" w:cs="Arial" w:eastAsia="Arial" w:hAnsi="Arial"/>
                <w:sz w:val="18"/>
                <w:szCs w:val="18"/>
                <w:color w:val="auto"/>
                <w:w w:val="99"/>
              </w:rPr>
              <w:t>7</w:t>
            </w:r>
          </w:p>
        </w:tc>
      </w:tr>
      <w:tr>
        <w:trPr>
          <w:trHeight w:val="216"/>
        </w:trPr>
        <w:tc>
          <w:tcPr>
            <w:tcW w:w="420" w:type="dxa"/>
            <w:vAlign w:val="bottom"/>
          </w:tcPr>
          <w:p>
            <w:pPr>
              <w:spacing w:after="0"/>
              <w:rPr>
                <w:sz w:val="20"/>
                <w:szCs w:val="20"/>
                <w:color w:val="auto"/>
              </w:rPr>
            </w:pPr>
            <w:r>
              <w:rPr>
                <w:rFonts w:ascii="Arial" w:cs="Arial" w:eastAsia="Arial" w:hAnsi="Arial"/>
                <w:sz w:val="18"/>
                <w:szCs w:val="18"/>
                <w:b w:val="1"/>
                <w:bCs w:val="1"/>
                <w:color w:val="auto"/>
              </w:rPr>
              <w:t>18.</w:t>
            </w: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rPr>
              <w:t>Jurisdiction and Governing Law</w:t>
            </w:r>
          </w:p>
        </w:tc>
        <w:tc>
          <w:tcPr>
            <w:tcW w:w="6680" w:type="dxa"/>
            <w:vAlign w:val="bottom"/>
          </w:tcPr>
          <w:p>
            <w:pPr>
              <w:jc w:val="center"/>
              <w:ind w:left="5450"/>
              <w:spacing w:after="0"/>
              <w:rPr>
                <w:sz w:val="20"/>
                <w:szCs w:val="20"/>
                <w:color w:val="auto"/>
              </w:rPr>
            </w:pPr>
            <w:r>
              <w:rPr>
                <w:rFonts w:ascii="Arial" w:cs="Arial" w:eastAsia="Arial" w:hAnsi="Arial"/>
                <w:sz w:val="18"/>
                <w:szCs w:val="18"/>
                <w:color w:val="auto"/>
                <w:w w:val="99"/>
              </w:rPr>
              <w:t>7</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1</w:t>
            </w:r>
          </w:p>
        </w:tc>
        <w:tc>
          <w:tcPr>
            <w:tcW w:w="6680" w:type="dxa"/>
            <w:vAlign w:val="bottom"/>
            <w:shd w:val="clear" w:color="auto" w:fill="CCEEFF"/>
          </w:tcPr>
          <w:p>
            <w:pPr>
              <w:jc w:val="center"/>
              <w:ind w:left="5450"/>
              <w:spacing w:after="0"/>
              <w:rPr>
                <w:sz w:val="20"/>
                <w:szCs w:val="20"/>
                <w:color w:val="auto"/>
              </w:rPr>
            </w:pPr>
            <w:r>
              <w:rPr>
                <w:rFonts w:ascii="Arial" w:cs="Arial" w:eastAsia="Arial" w:hAnsi="Arial"/>
                <w:sz w:val="18"/>
                <w:szCs w:val="18"/>
                <w:color w:val="auto"/>
                <w:w w:val="99"/>
              </w:rPr>
              <w:t>9</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SCHEDULE 2</w:t>
            </w:r>
          </w:p>
        </w:tc>
        <w:tc>
          <w:tcPr>
            <w:tcW w:w="6680" w:type="dxa"/>
            <w:vAlign w:val="bottom"/>
          </w:tcPr>
          <w:p>
            <w:pPr>
              <w:jc w:val="center"/>
              <w:ind w:left="5450"/>
              <w:spacing w:after="0"/>
              <w:rPr>
                <w:sz w:val="20"/>
                <w:szCs w:val="20"/>
                <w:color w:val="auto"/>
              </w:rPr>
            </w:pPr>
            <w:r>
              <w:rPr>
                <w:rFonts w:ascii="Arial" w:cs="Arial" w:eastAsia="Arial" w:hAnsi="Arial"/>
                <w:sz w:val="18"/>
                <w:szCs w:val="18"/>
                <w:color w:val="auto"/>
                <w:w w:val="89"/>
              </w:rPr>
              <w:t>10</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3</w:t>
            </w:r>
          </w:p>
        </w:tc>
        <w:tc>
          <w:tcPr>
            <w:tcW w:w="6680" w:type="dxa"/>
            <w:vAlign w:val="bottom"/>
            <w:shd w:val="clear" w:color="auto" w:fill="CCEEFF"/>
          </w:tcPr>
          <w:p>
            <w:pPr>
              <w:jc w:val="center"/>
              <w:ind w:left="5450"/>
              <w:spacing w:after="0"/>
              <w:rPr>
                <w:sz w:val="20"/>
                <w:szCs w:val="20"/>
                <w:color w:val="auto"/>
              </w:rPr>
            </w:pPr>
            <w:r>
              <w:rPr>
                <w:rFonts w:ascii="Arial" w:cs="Arial" w:eastAsia="Arial" w:hAnsi="Arial"/>
                <w:sz w:val="18"/>
                <w:szCs w:val="18"/>
                <w:color w:val="auto"/>
                <w:w w:val="89"/>
              </w:rPr>
              <w:t>11</w:t>
            </w:r>
          </w:p>
        </w:tc>
      </w:tr>
      <w:tr>
        <w:trPr>
          <w:trHeight w:val="361"/>
        </w:trPr>
        <w:tc>
          <w:tcPr>
            <w:tcW w:w="42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6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COMPROMISE AGREEMENT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WITHOUT PREJUDICE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SUBJECT TO CONTRACT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13 August 2007.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CLEARONE COMMUNICATIONS UK LIMITED </w:t>
      </w:r>
      <w:r>
        <w:rPr>
          <w:rFonts w:ascii="Arial" w:cs="Arial" w:eastAsia="Arial" w:hAnsi="Arial"/>
          <w:sz w:val="18"/>
          <w:szCs w:val="18"/>
          <w:color w:val="auto"/>
        </w:rPr>
        <w:t>of 12 York Gate, London NW1 4QS (the "</w:t>
      </w:r>
      <w:r>
        <w:rPr>
          <w:rFonts w:ascii="Arial" w:cs="Arial" w:eastAsia="Arial" w:hAnsi="Arial"/>
          <w:sz w:val="18"/>
          <w:szCs w:val="18"/>
          <w:b w:val="1"/>
          <w:bCs w:val="1"/>
          <w:color w:val="auto"/>
        </w:rPr>
        <w:t>Employer</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MARTIN JAMES OFFWOOD </w:t>
      </w:r>
      <w:r>
        <w:rPr>
          <w:rFonts w:ascii="Arial" w:cs="Arial" w:eastAsia="Arial" w:hAnsi="Arial"/>
          <w:sz w:val="18"/>
          <w:szCs w:val="18"/>
          <w:color w:val="auto"/>
        </w:rPr>
        <w:t>of West Bull House, 19 High Street, Nettlebed, Oxon RG9 5DA (the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00" w:lineRule="exact"/>
        <w:rPr>
          <w:sz w:val="20"/>
          <w:szCs w:val="20"/>
          <w:color w:val="auto"/>
        </w:rPr>
      </w:pPr>
    </w:p>
    <w:p>
      <w:pPr>
        <w:spacing w:after="0" w:line="299"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Employee's employment with the Employer will terminate on 13 August 2007.</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parties wish to compromise any claims which may be made in connection with the employment and make other arrangements for an orderly transition. This agreement does not, except to the extent expressly stated, vary the Service Agreement, but rather sets out terms for the compromise of such claims and the required arrangements.</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Employer is entering into this agreement for itself and as agent for all Group Members and is duly authorised in that behalf.</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this agreement:</w:t>
      </w:r>
    </w:p>
    <w:p>
      <w:pPr>
        <w:spacing w:after="0" w:line="248" w:lineRule="exact"/>
        <w:rPr>
          <w:rFonts w:ascii="Arial" w:cs="Arial" w:eastAsia="Arial" w:hAnsi="Arial"/>
          <w:sz w:val="18"/>
          <w:szCs w:val="18"/>
          <w:b w:val="1"/>
          <w:bCs w:val="1"/>
          <w:color w:val="auto"/>
        </w:rPr>
      </w:pPr>
    </w:p>
    <w:p>
      <w:pPr>
        <w:ind w:left="660" w:right="6620"/>
        <w:spacing w:after="0" w:line="598" w:lineRule="auto"/>
        <w:rPr>
          <w:rFonts w:ascii="Arial" w:cs="Arial" w:eastAsia="Arial" w:hAnsi="Arial"/>
          <w:sz w:val="18"/>
          <w:szCs w:val="18"/>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Adviser</w:t>
      </w:r>
      <w:r>
        <w:rPr>
          <w:rFonts w:ascii="Arial" w:cs="Arial" w:eastAsia="Arial" w:hAnsi="Arial"/>
          <w:sz w:val="16"/>
          <w:szCs w:val="16"/>
          <w:color w:val="auto"/>
        </w:rPr>
        <w:t>" means the person referred to in clause 12.3(d); "</w:t>
      </w:r>
      <w:r>
        <w:rPr>
          <w:rFonts w:ascii="Arial" w:cs="Arial" w:eastAsia="Arial" w:hAnsi="Arial"/>
          <w:sz w:val="16"/>
          <w:szCs w:val="16"/>
          <w:b w:val="1"/>
          <w:bCs w:val="1"/>
          <w:color w:val="auto"/>
        </w:rPr>
        <w:t>Group</w:t>
      </w:r>
      <w:r>
        <w:rPr>
          <w:rFonts w:ascii="Arial" w:cs="Arial" w:eastAsia="Arial" w:hAnsi="Arial"/>
          <w:sz w:val="16"/>
          <w:szCs w:val="16"/>
          <w:color w:val="auto"/>
        </w:rPr>
        <w:t>" means the Employer and its Group Members;</w:t>
      </w:r>
    </w:p>
    <w:p>
      <w:pPr>
        <w:spacing w:after="0" w:line="1" w:lineRule="exact"/>
        <w:rPr>
          <w:rFonts w:ascii="Arial" w:cs="Arial" w:eastAsia="Arial" w:hAnsi="Arial"/>
          <w:sz w:val="18"/>
          <w:szCs w:val="18"/>
          <w:b w:val="1"/>
          <w:bCs w:val="1"/>
          <w:color w:val="auto"/>
        </w:rPr>
      </w:pPr>
    </w:p>
    <w:p>
      <w:pPr>
        <w:ind w:left="66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Member</w:t>
      </w:r>
      <w:r>
        <w:rPr>
          <w:rFonts w:ascii="Arial" w:cs="Arial" w:eastAsia="Arial" w:hAnsi="Arial"/>
          <w:sz w:val="18"/>
          <w:szCs w:val="18"/>
          <w:color w:val="auto"/>
        </w:rPr>
        <w:t>" means the Employer, any holding company of the Employer (as defined in section 736 of the Companies Act 1985) and any subsidiary undertakings of the Employer or such holding company;</w:t>
      </w:r>
    </w:p>
    <w:p>
      <w:pPr>
        <w:spacing w:after="0" w:line="188" w:lineRule="exact"/>
        <w:rPr>
          <w:rFonts w:ascii="Arial" w:cs="Arial" w:eastAsia="Arial" w:hAnsi="Arial"/>
          <w:sz w:val="18"/>
          <w:szCs w:val="18"/>
          <w:b w:val="1"/>
          <w:bCs w:val="1"/>
          <w:color w:val="auto"/>
        </w:rPr>
      </w:pPr>
    </w:p>
    <w:p>
      <w:pPr>
        <w:ind w:left="660" w:right="2580"/>
        <w:spacing w:after="0" w:line="532"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Agreement</w:t>
      </w:r>
      <w:r>
        <w:rPr>
          <w:rFonts w:ascii="Arial" w:cs="Arial" w:eastAsia="Arial" w:hAnsi="Arial"/>
          <w:sz w:val="18"/>
          <w:szCs w:val="18"/>
          <w:color w:val="auto"/>
        </w:rPr>
        <w:t>" means the service agreement dated 11 July 2003 between the Employee and the Employer; "</w:t>
      </w:r>
      <w:r>
        <w:rPr>
          <w:rFonts w:ascii="Arial" w:cs="Arial" w:eastAsia="Arial" w:hAnsi="Arial"/>
          <w:sz w:val="18"/>
          <w:szCs w:val="18"/>
          <w:b w:val="1"/>
          <w:bCs w:val="1"/>
          <w:color w:val="auto"/>
        </w:rPr>
        <w:t>Share Option Scheme</w:t>
      </w:r>
      <w:r>
        <w:rPr>
          <w:rFonts w:ascii="Arial" w:cs="Arial" w:eastAsia="Arial" w:hAnsi="Arial"/>
          <w:sz w:val="18"/>
          <w:szCs w:val="18"/>
          <w:color w:val="auto"/>
        </w:rPr>
        <w:t>" means 1998 Stock Option Plan; and</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13 August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5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With effect from the Termination Date the Employee will cease to be an employee of the Employer and shall not hold himself out as having any continuing connection with the Employer or with any Group Member.</w:t>
      </w:r>
    </w:p>
    <w:p>
      <w:pPr>
        <w:spacing w:after="0" w:line="19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On or before the Termination Date, the Employee shall, without any claim for damages or compensation for loss of office, resign with immediate effect from any office which the Employee may hold as director or other officer of the Employer or a Group Member by completing and returning to Alicia Garcia, Human Resources Manager a letter in the form set out in schedule 2. The Employee undertakes not to hold himself out as a director or other officer of the Employer or a Group Member. The Employee irrevocably appoints the Employer as attorney to execute letters of resignation of such offices or appointments on the Employee's behalf.</w:t>
      </w:r>
    </w:p>
    <w:p>
      <w:pPr>
        <w:spacing w:after="0" w:line="21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Until the Termination Date the terms of the Service Agreement will remain in full force and effect save to the extent that they have been expressly varied by the terms of this agreement.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Employee will do everything necessary to resign as Director of the Employer’s German entity.</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w:t>
      </w:r>
    </w:p>
    <w:p>
      <w:pPr>
        <w:spacing w:after="0" w:line="256"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Except as set out in this agreement all entitlements to payments or benefits arising out of or in connection with the Employee's employment with the exception of accrued pension rights, if any, will cease from the Termination Date and the Employee acknowledges that he has no further claims in respect of them.</w:t>
      </w:r>
    </w:p>
    <w:p>
      <w:pPr>
        <w:spacing w:after="0" w:line="20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Employer shall within 14 days pay to the Employee the sum of £46,750.02, representing six months' notice, less income tax at the marginal rate and employee National Insurance contributions.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Employer shall within 14 days pay to the Employee the sum of £5,064.54, representing 13 days of accrued but unused holiday days.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Employee shall have 90 days from the date of termination to exercise any vested options in the Share Option Scheme.</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P45</w:t>
      </w:r>
    </w:p>
    <w:p>
      <w:pPr>
        <w:spacing w:after="0" w:line="256"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Employer undertakes that the Employee’s P45 will have been issued by the Employer prior to any payment being made to the Employee under the terms of clause 5.</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Payment</w:t>
      </w:r>
    </w:p>
    <w:p>
      <w:pPr>
        <w:spacing w:after="0" w:line="256" w:lineRule="exact"/>
        <w:rPr>
          <w:rFonts w:ascii="Arial" w:cs="Arial" w:eastAsia="Arial" w:hAnsi="Arial"/>
          <w:sz w:val="18"/>
          <w:szCs w:val="18"/>
          <w:b w:val="1"/>
          <w:bCs w:val="1"/>
          <w:color w:val="auto"/>
        </w:rPr>
      </w:pPr>
    </w:p>
    <w:p>
      <w:pPr>
        <w:jc w:val="both"/>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Subject to the Employee's compliance with his obligations under this agreement, the Employer shall, as compensation for loss of employment but without admission of liability, pay to the Employee within 14 days following the later of (i) the date of this agreement, (ii) the Termination Date, (iii) receipt of the completed and signed Adviser's Certification in the form set out in schedule 1 [and (iv) receipt of the signed resignation letter referred to in clause 2.2], the sum of £15,618.95 (the "</w:t>
      </w:r>
      <w:r>
        <w:rPr>
          <w:rFonts w:ascii="Arial" w:cs="Arial" w:eastAsia="Arial" w:hAnsi="Arial"/>
          <w:sz w:val="16"/>
          <w:szCs w:val="16"/>
          <w:b w:val="1"/>
          <w:bCs w:val="1"/>
          <w:color w:val="auto"/>
        </w:rPr>
        <w:t>Severance Payment</w:t>
      </w:r>
      <w:r>
        <w:rPr>
          <w:rFonts w:ascii="Arial" w:cs="Arial" w:eastAsia="Arial" w:hAnsi="Arial"/>
          <w:sz w:val="16"/>
          <w:szCs w:val="16"/>
          <w:color w:val="auto"/>
        </w:rPr>
        <w:t>") inclusive of any entitlement to a statutory redundancy payment [from which the Employer will deduct income tax at the basic rate from the balance of the Severance Payment in excess of £30,000 in accordance with its understanding of the income tax, national insurance and pay as you earn legislation, and will account for the same to HM Revenue &amp; Customs. No income tax or employee National Insurance contributions will be deducted from the first £30,000 of the Severance Payment.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 w:name="page34"/>
    <w:bookmarkEnd w:id="33"/>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Tax</w:t>
      </w:r>
    </w:p>
    <w:p>
      <w:pPr>
        <w:spacing w:after="0" w:line="25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parties agree that the Severance Payment represents compensation for the termination of the Employee’s employment and as such does not represent contractual remuneration.</w:t>
      </w:r>
    </w:p>
    <w:p>
      <w:pPr>
        <w:spacing w:after="0" w:line="19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Employer makes no warranty as to the taxable status of the Severance Payment and, accordingly, the Employee agrees that any income tax and employee National Insurance payable pursuant to the Severance Payment and on any other benefits provided to the Employee pursuant to this agreement is the Employee’s personal responsibility.</w:t>
      </w:r>
    </w:p>
    <w:p>
      <w:pPr>
        <w:spacing w:after="0" w:line="208"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Employee undertakes that if the Employer or any Group Member is called upon to account to HM Revenue &amp; Customs for any income tax, employee National Insurance contributions, interest or penalties thereon arising in respect of the payments made or benefits provided under this agreement, other than any income tax deducted under clause 5 above (such income tax, National Insurance contributions, interest or penalties referred to in this agreement as the "</w:t>
      </w:r>
      <w:r>
        <w:rPr>
          <w:rFonts w:ascii="Arial" w:cs="Arial" w:eastAsia="Arial" w:hAnsi="Arial"/>
          <w:sz w:val="17"/>
          <w:szCs w:val="17"/>
          <w:b w:val="1"/>
          <w:bCs w:val="1"/>
          <w:color w:val="auto"/>
        </w:rPr>
        <w:t>Excess Tax</w:t>
      </w:r>
      <w:r>
        <w:rPr>
          <w:rFonts w:ascii="Arial" w:cs="Arial" w:eastAsia="Arial" w:hAnsi="Arial"/>
          <w:sz w:val="17"/>
          <w:szCs w:val="17"/>
          <w:color w:val="auto"/>
        </w:rPr>
        <w:t>"), and if the Employer or any other Group Member pays the Excess Tax to HM Revenue &amp; Customs, the Employee will, at the written request of such entity, immediately pay to such entity an amount equal to the Excess Tax provided that no payment of Excess Tax will be made to HM Revenue &amp; Customs without particulars of any proposed payment being given to the Employee and the Employee being given the opportunity at his own expense to dispute any such payment.</w:t>
      </w:r>
    </w:p>
    <w:p>
      <w:pPr>
        <w:spacing w:after="0" w:line="200" w:lineRule="exact"/>
        <w:rPr>
          <w:sz w:val="20"/>
          <w:szCs w:val="20"/>
          <w:color w:val="auto"/>
        </w:rPr>
      </w:pPr>
    </w:p>
    <w:p>
      <w:pPr>
        <w:spacing w:after="0" w:line="24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Secrecy</w:t>
      </w:r>
    </w:p>
    <w:p>
      <w:pPr>
        <w:spacing w:after="0" w:line="256"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Employee undertakes that he will not, whether directly or indirectly, make, publish or otherwise communicate any disparaging or derogatory statements, whether in writing or otherwise, concerning the Employer or any Group Member or any of its or their officers, shareholders or employees.</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Each of the Employee and the Employer undertakes to the other that neither shall make any announcement, statement or comment concerning:</w:t>
      </w:r>
    </w:p>
    <w:p>
      <w:pPr>
        <w:spacing w:after="0" w:line="252"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this agreement; and/or</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events during the Employee’s employment with the Employer or the circumstances of the termination of the Employee's employment,</w:t>
      </w:r>
    </w:p>
    <w:p>
      <w:pPr>
        <w:spacing w:after="0" w:line="291"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and shall not disclose the same to any person, firm or company except as required by law or the rules of any relevant regulatory authority or in communications with their professional or financial advisers who have agreed to keep such terms and events and circumstances confidential.</w:t>
      </w:r>
    </w:p>
    <w:p>
      <w:pPr>
        <w:spacing w:after="0" w:line="200" w:lineRule="exact"/>
        <w:rPr>
          <w:sz w:val="20"/>
          <w:szCs w:val="20"/>
          <w:color w:val="auto"/>
        </w:rPr>
      </w:pPr>
    </w:p>
    <w:p>
      <w:pPr>
        <w:spacing w:after="0" w:line="21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Post-Termination Restrictions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consideration of £150 (subject to prior deductions as required by law) the Employee acknowledges and confirms that the obligations undertaken by the Employee under clauses 8 (confidentiality) and 11 (post-termination restrictive covenants) of the Service Agreement are now repeated and will remain in force and effect notwithstanding the termination of the Employee's employment.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New Employment</w:t>
      </w:r>
    </w:p>
    <w:p>
      <w:pPr>
        <w:spacing w:after="0" w:line="256" w:lineRule="exact"/>
        <w:rPr>
          <w:rFonts w:ascii="Arial" w:cs="Arial" w:eastAsia="Arial" w:hAnsi="Arial"/>
          <w:sz w:val="18"/>
          <w:szCs w:val="18"/>
          <w:b w:val="1"/>
          <w:bCs w:val="1"/>
          <w:color w:val="auto"/>
        </w:rPr>
      </w:pPr>
    </w:p>
    <w:p>
      <w:pPr>
        <w:jc w:val="both"/>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Employee represents and warrants that, at the date of this agreement, he is not employed or engaged in any business whether on behalf of himself or another, that he is not in receipt of any remuneration and that he is not in negotiations which are likely to lead to an offer of employment or any such engagement or to the receipt of remuneration and that he has not received or accepted or agreed to accept any such offer.</w:t>
      </w:r>
    </w:p>
    <w:p>
      <w:pPr>
        <w:spacing w:after="0" w:line="200" w:lineRule="exact"/>
        <w:rPr>
          <w:rFonts w:ascii="Arial" w:cs="Arial" w:eastAsia="Arial" w:hAnsi="Arial"/>
          <w:sz w:val="18"/>
          <w:szCs w:val="18"/>
          <w:b w:val="1"/>
          <w:bCs w:val="1"/>
          <w:color w:val="auto"/>
        </w:rPr>
      </w:pPr>
    </w:p>
    <w:p>
      <w:pPr>
        <w:spacing w:after="0" w:line="212" w:lineRule="exact"/>
        <w:rPr>
          <w:rFonts w:ascii="Arial" w:cs="Arial" w:eastAsia="Arial" w:hAnsi="Arial"/>
          <w:sz w:val="18"/>
          <w:szCs w:val="18"/>
          <w:b w:val="1"/>
          <w:bCs w:val="1"/>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w:t>
      </w:r>
    </w:p>
    <w:p>
      <w:pPr>
        <w:spacing w:after="0" w:line="256"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Employee represents and warrants that except as expressly provided for in this agreement he will on or before the Termination Date return to the Employer all property, equipment, records, correspondence, documents, files and other information (whether originals, copies or extracts) belonging or relating to the Employer or any Group Member and that the Employee will not retain any copies.</w:t>
      </w:r>
    </w:p>
    <w:p>
      <w:pPr>
        <w:spacing w:after="0" w:line="200" w:lineRule="exact"/>
        <w:rPr>
          <w:rFonts w:ascii="Arial" w:cs="Arial" w:eastAsia="Arial" w:hAnsi="Arial"/>
          <w:sz w:val="18"/>
          <w:szCs w:val="18"/>
          <w:b w:val="1"/>
          <w:bCs w:val="1"/>
          <w:color w:val="auto"/>
        </w:rPr>
      </w:pPr>
    </w:p>
    <w:p>
      <w:pPr>
        <w:spacing w:after="0" w:line="231" w:lineRule="exact"/>
        <w:rPr>
          <w:rFonts w:ascii="Arial" w:cs="Arial" w:eastAsia="Arial" w:hAnsi="Arial"/>
          <w:sz w:val="18"/>
          <w:szCs w:val="18"/>
          <w:b w:val="1"/>
          <w:bCs w:val="1"/>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Legal Expenses</w:t>
      </w:r>
    </w:p>
    <w:p>
      <w:pPr>
        <w:spacing w:after="0" w:line="25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Employer shall, within 14 days of receipt by it of an appropriate copy VAT invoice addressed to the Employee for payment by the Employer, pay to the Employee's solicitors, Edwin Coe LLP, the Employee's legal expenses relating exclusively to the negotiation and preparation of this agreement, up to a maximum of £350 plus VAT.</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Claims against the Employer</w:t>
      </w:r>
    </w:p>
    <w:p>
      <w:pPr>
        <w:spacing w:after="0" w:line="25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Although the Employer makes no admission of any liability, the terms set out in this agreement have been agreed in full and final settlement of claims the Employee has or may have against the Employer, Group Members, and any of its or their officers, employees, shareholders, consultants or agents arising directly or indirectly out of or in connection with the Employee's employment by the Employer, the Employee's holding of any office or the termination of such employment or office which he asserts including and limited to claims for unfair dismissal, accrued but untaken holiday, unlawful deductions from wages or a statutory redundancy payment.</w:t>
      </w:r>
    </w:p>
    <w:p>
      <w:pPr>
        <w:spacing w:after="0" w:line="215"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It is further the intention of the Employee and the Employer that the terms set out in this agreement have been agreed in full and final settlement of all or any claims, costs and expenses and any rights of action of any kind whatsoever whether under English or European Union law or the laws of any other jurisdiction that the Employee has or may have against the Employer, Group Members and any of its or their officers, employees, shareholders, consultants or agents (in each case current or former) arising directly or indirectly out of or in connection with the Employee's employment by the Employer, the Employee's holding of any office or the termination of such employment or office under common law, statute or otherwise including, without limitation, any claim or claims the Employee may have in respect of:</w:t>
      </w:r>
    </w:p>
    <w:p>
      <w:pPr>
        <w:spacing w:after="0" w:line="205"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unfair dismissal;</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wrongful dismissal;</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breach of contract;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 w:name="page36"/>
    <w:bookmarkEnd w:id="35"/>
    <w:p>
      <w:pPr>
        <w:ind w:left="644" w:hanging="644"/>
        <w:spacing w:after="0"/>
        <w:tabs>
          <w:tab w:leader="none" w:pos="644"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redundancy payment pursuant to section 135 of the Employment Rights Act 1996 (or otherwise pursuant to the Service Agreement);</w:t>
      </w:r>
    </w:p>
    <w:p>
      <w:pPr>
        <w:spacing w:after="0" w:line="290" w:lineRule="exact"/>
        <w:rPr>
          <w:rFonts w:ascii="Arial" w:cs="Arial" w:eastAsia="Arial" w:hAnsi="Arial"/>
          <w:sz w:val="17"/>
          <w:szCs w:val="17"/>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equal pay;</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sex discrimination contrary to the Sex Discrimination Act 1975;</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race discrimination contrary to the Race Relations Act 1976;</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disability discrimination contrary to the Disability Discrimination Act 1995;</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age discrimination contrary to the Employment Equality (Age) Regulations 2006;</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sexual orientation discrimination contrary to the Employment Equality (Sexual Orientation) Regulations 2003;</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religion or belief discrimination contrary to the Employment Equality (Religion or Belief) Regulations 2003;</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unlawful deduction from wages;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breach of the Working Time Regulations 1998;</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breach of the Employee's rights in respect of accompaniment at disciplinary or grievance hearings;</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breach of the Part Time Workers (Prevention of Less Favourable Treatment) Regulations 2000;</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breach of the Fixed Term Employees (Prevention of Less Favourable Treatment) Regulations 2002;</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breach of the Maternity and Parental Leave etc Regulations 1999;</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harassment under section 3 Protection from Harassment Act 1997;</w:t>
      </w:r>
    </w:p>
    <w:p>
      <w:pPr>
        <w:spacing w:after="0" w:line="279"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dismissal or action short of dismissal taken by the Employer on grounds related to the Employee's union membership activities and/or other relevant statutory provisions;</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Employment Act 2002;</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Employment Act 2002 (Dispute Resolution) Regulations 2004;</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section 43 A-L Employment Rights Act 1996;</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section 47B Employment Rights Act 1996; and</w:t>
      </w:r>
    </w:p>
    <w:p>
      <w:pPr>
        <w:spacing w:after="0" w:line="279" w:lineRule="exact"/>
        <w:rPr>
          <w:rFonts w:ascii="Arial" w:cs="Arial" w:eastAsia="Arial" w:hAnsi="Arial"/>
          <w:sz w:val="18"/>
          <w:szCs w:val="18"/>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including, for the avoidance of doubt all claims (if any) arising out of or in connection with the Share Option Scheme,</w:t>
      </w:r>
    </w:p>
    <w:p>
      <w:pPr>
        <w:spacing w:after="0" w:line="248"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PROVIDED ALWAYS THAT </w:t>
      </w:r>
      <w:r>
        <w:rPr>
          <w:rFonts w:ascii="Arial" w:cs="Arial" w:eastAsia="Arial" w:hAnsi="Arial"/>
          <w:sz w:val="18"/>
          <w:szCs w:val="18"/>
          <w:color w:val="auto"/>
        </w:rPr>
        <w:t>this clause 12 shall not apply to any claims in respect of the Employee's accrued pension entitlement, if any,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claims for personal injury or any claims to enforce the terms of this agreement.</w:t>
      </w:r>
    </w:p>
    <w:p>
      <w:pPr>
        <w:spacing w:after="0" w:line="188"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36" w:name="page37"/>
    <w:bookmarkEnd w:id="36"/>
    <w:p>
      <w:pPr>
        <w:spacing w:after="0"/>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The Employee represents and warrants that:</w:t>
      </w:r>
    </w:p>
    <w:p>
      <w:pPr>
        <w:spacing w:after="0" w:line="252" w:lineRule="exact"/>
        <w:rPr>
          <w:sz w:val="20"/>
          <w:szCs w:val="20"/>
          <w:color w:val="auto"/>
        </w:rPr>
      </w:pPr>
    </w:p>
    <w:p>
      <w:pPr>
        <w:jc w:val="both"/>
        <w:ind w:left="1300" w:hanging="644"/>
        <w:spacing w:after="0" w:line="312"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claims and prospective claims listed at clauses 12.1 and 12.2 are all the claims or prospective claims which the Employee believes that he has or may have against the Employer or any Group Member or its or their respective shareholders, officers, employees, consultants or agents (in each case current or former) arising out of or in connection with his employment, directorships or its or their termination;</w:t>
      </w:r>
    </w:p>
    <w:p>
      <w:pPr>
        <w:spacing w:after="0" w:line="173" w:lineRule="exact"/>
        <w:rPr>
          <w:rFonts w:ascii="Arial" w:cs="Arial" w:eastAsia="Arial" w:hAnsi="Arial"/>
          <w:sz w:val="16"/>
          <w:szCs w:val="16"/>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 is not aware of any claims for personal injury;</w:t>
      </w:r>
    </w:p>
    <w:p>
      <w:pPr>
        <w:spacing w:after="0" w:line="279"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 has instructed the Adviser to advise whether he has any claims, including without limitation claims under clauses 12.1 and 12.2 above, against the Employer or the persons referred to in clause 12.3(a) and that he has provided the Adviser with all available information which the Adviser requires in order to do so;</w:t>
      </w:r>
    </w:p>
    <w:p>
      <w:pPr>
        <w:spacing w:after="0" w:line="208"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Employee has received independent legal advice from a relevant independent adviser as to the terms and effect of this agreement and in particular its effect on the Employee's ability to pursue his rights before an employment tribunal. The name of the relevant independent adviser who has advised the Employee is Linky Trott of 2 Stone Buildings, Lincoln’s Inn, London WC2A 3TH;</w:t>
      </w:r>
    </w:p>
    <w:p>
      <w:pPr>
        <w:spacing w:after="0" w:line="192"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Employee is advised by the Adviser that there is in force and was, at the time the Employee received the advice referred to above a contract of insurance or an indemnity provided for members of a profession or professional body covering the risk of a claim by the Employee in respect of loss arising in consequence of that advice; and</w:t>
      </w:r>
    </w:p>
    <w:p>
      <w:pPr>
        <w:spacing w:after="0" w:line="208"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Employee has not issued proceedings before the employment tribunals, High Court or County Court in respect of any claim in connection with his employment or its termination. The Employee undertakes that neither the Employee, nor anyone acting on his behalf, will issue or continue any such proceedings in respect of such claims as are referred to in clauses 12.1 or 12.2, and if they do so, or if any of the warranties given by him in this agreement is untrue, without prejudice to any other remedy which may be available the Employee agrees he will repay the Severance Payment to the Employer immediately as a debt and on demand.</w:t>
      </w:r>
    </w:p>
    <w:p>
      <w:pPr>
        <w:spacing w:after="0" w:line="20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To give full effect to the provisions in clauses 12.1 and 12.2 above the Employee hereby agrees to refrain from instituting or continuing any proceedings before an Employment Tribunal in relation to any claims or complaints set out in clauses 12.1 or 12.2.</w:t>
      </w:r>
    </w:p>
    <w:p>
      <w:pPr>
        <w:spacing w:after="0" w:line="19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The Employer and the Employee agree and acknowledge that the conditions regulating compromise agreements in the Employment Rights Act 1996 and legislation specified in clauses 12.1 and 12.2 are intended to be and have been satisfied.</w:t>
      </w:r>
    </w:p>
    <w:p>
      <w:pPr>
        <w:spacing w:after="0" w:line="19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The provisions of clauses 12.1 and 12.2 shall have effect irrespective of whether or not the Employee is or could be aware of such claims, costs, expenses or rights of action at the date of this agreement and irrespective of whether or not such claims, costs, expenses or rights of action are in the express contemplation of the Employer and the Employee at the date of this agreement (including such claims, costs, expenses or rights of action of which the Employee becomes aware after the date of this agreement in whole or in part as a result of the commencement of new legislation or the development of common law).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7" w:name="page38"/>
    <w:bookmarkEnd w:id="37"/>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headings to clauses are for convenience only and have no legal effect.</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25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parties to this agreement may vary or rescind it without notifying or seeking the consent of any third party on whom rights are conferred under the Contracts (Rights of Third Parties) Act 1999 and the rights conferred by section 2 of that Act are excluded.</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of the Compromise Agreement</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parties agree that they consider the provisions of this agreement to be valid, reasonable and enforceable.</w:t>
      </w:r>
    </w:p>
    <w:p>
      <w:pPr>
        <w:spacing w:after="0" w:line="25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The parties acknowledge and agree that the clauses and sub-clauses of this agreement are severable and that if any clause or sub-clause or identifiable part is held to be invalid or unenforceable by any court of competent jurisdiction then such invalidity or unenforceability shall not affect the validity or enforceability of the agreement’s remaining clauses, sub-clauses, or parts of the agreement.</w:t>
      </w:r>
    </w:p>
    <w:p>
      <w:pPr>
        <w:spacing w:after="0" w:line="193"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The Employee agrees that if he breaches or violates any of the terms of this agreement damages alone may not compensate for such breach or violation and that injunctive relief is reasonable and essential to safeguard the interests of the Employer and that an injunction in addition to any other remedy may accordingly be obtained by the Employer. No waiver of any such breach or violation should be implied from the forbearance or failure by the Employer to take action in respect of such breach or violation.</w:t>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Without Prejudice</w:t>
      </w:r>
    </w:p>
    <w:p>
      <w:pPr>
        <w:spacing w:after="0" w:line="256"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Notwithstanding that this agreement is marked “Without Prejudice” and “Subject to Contract”, it will become open and binding when executed by both parties.</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56"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Except for those provisions of the Service Agreement which are expressed in that document or herein to continue in effect, this agreement sets out the entire agreement between the Employer and the Employee with regard to the effect of termination of the employment and supersedes all prior discussions between the parties or their advisers and all statements, representations, terms and conditions, warranties, guarantees, proposals, communications and understandings whenever given and whether given orally or in writing.</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The Employee acknowledges that the Employer enters into this agreement in reliance on the Employee's warranties in clauses 9, 10 and 12.</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Jurisdiction and Governing Law</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This agreement shall be governed by English law and the courts and employment tribunals of England and Wales shall have exclusive jurisdiction to determine all disputes relating to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8" w:name="page39"/>
    <w:bookmarkEnd w:id="38"/>
    <w:p>
      <w:pPr>
        <w:spacing w:after="0"/>
        <w:tabs>
          <w:tab w:leader="none" w:pos="1140" w:val="left"/>
        </w:tabs>
        <w:rPr>
          <w:sz w:val="20"/>
          <w:szCs w:val="20"/>
          <w:color w:val="auto"/>
        </w:rPr>
      </w:pPr>
      <w:r>
        <w:rPr>
          <w:rFonts w:ascii="Arial" w:cs="Arial" w:eastAsia="Arial" w:hAnsi="Arial"/>
          <w:sz w:val="18"/>
          <w:szCs w:val="18"/>
          <w:color w:val="auto"/>
        </w:rPr>
        <w:t>Signed by :</w:t>
      </w:r>
      <w:r>
        <w:rPr>
          <w:sz w:val="20"/>
          <w:szCs w:val="20"/>
          <w:color w:val="auto"/>
        </w:rPr>
        <w:tab/>
      </w:r>
      <w:r>
        <w:rPr>
          <w:rFonts w:ascii="Arial" w:cs="Arial" w:eastAsia="Arial" w:hAnsi="Arial"/>
          <w:sz w:val="16"/>
          <w:szCs w:val="16"/>
          <w:color w:val="auto"/>
        </w:rPr>
        <w:t>/s/ Greg LeClaire</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 and on behalf of the Employer</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13 August 2007</w:t>
      </w:r>
    </w:p>
    <w:p>
      <w:pPr>
        <w:spacing w:after="0" w:line="200" w:lineRule="exact"/>
        <w:rPr>
          <w:sz w:val="20"/>
          <w:szCs w:val="20"/>
          <w:color w:val="auto"/>
        </w:rPr>
      </w:pPr>
    </w:p>
    <w:p>
      <w:pPr>
        <w:spacing w:after="0" w:line="24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Signed by :</w:t>
      </w:r>
      <w:r>
        <w:rPr>
          <w:sz w:val="20"/>
          <w:szCs w:val="20"/>
          <w:color w:val="auto"/>
        </w:rPr>
        <w:tab/>
      </w:r>
      <w:r>
        <w:rPr>
          <w:rFonts w:ascii="Arial" w:cs="Arial" w:eastAsia="Arial" w:hAnsi="Arial"/>
          <w:sz w:val="17"/>
          <w:szCs w:val="17"/>
          <w:color w:val="auto"/>
        </w:rPr>
        <w:t>/s/ Martin J. Offwood</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Employee</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13 August 2007</w:t>
      </w:r>
    </w:p>
    <w:p>
      <w:pPr>
        <w:spacing w:after="0" w:line="248"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Employee's Adviser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Addressed to the Employer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Linky Trott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of EDWIN COE LLP, 2 Stone Buildings, Lincoln’s Inn, London, WC2A3TH</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certify as follows:</w:t>
      </w:r>
    </w:p>
    <w:p>
      <w:pPr>
        <w:spacing w:after="0" w:line="252"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am a "relevant independent adviser" (as such term is defined in section 203 of the Employment Rights Act 1996).</w:t>
      </w:r>
    </w:p>
    <w:p>
      <w:pPr>
        <w:spacing w:after="0" w:line="25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Before the Employee signed the agreement, I advised him as to the terms and effect of the agreement and in particular upon its effect on his ability to pursue his rights before an employment tribunal.</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the time that I gave the advice referred to in paragraph 2 of this certificate, there was in force a contract of insurance or an indemnity provided for members of a profession or professional body covering the risk of a claim by the Employee in respect of any loss arising as a consequence of that advice.</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Signed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/s/ Linky Trott</w:t>
      </w:r>
    </w:p>
    <w:p>
      <w:pPr>
        <w:spacing w:after="0" w:line="200" w:lineRule="exact"/>
        <w:rPr>
          <w:sz w:val="20"/>
          <w:szCs w:val="20"/>
          <w:color w:val="auto"/>
        </w:rPr>
      </w:pPr>
    </w:p>
    <w:p>
      <w:pPr>
        <w:sectPr>
          <w:pgSz w:w="11900" w:h="16838" w:orient="portrait"/>
          <w:cols w:equalWidth="0" w:num="2">
            <w:col w:w="500" w:space="660"/>
            <w:col w:w="10260"/>
          </w:cols>
          <w:pgMar w:left="240" w:top="36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Linky Trott</w:t>
      </w:r>
    </w:p>
    <w:p>
      <w:pPr>
        <w:spacing w:after="0" w:line="200" w:lineRule="exact"/>
        <w:rPr>
          <w:sz w:val="20"/>
          <w:szCs w:val="20"/>
          <w:color w:val="auto"/>
        </w:rPr>
      </w:pPr>
    </w:p>
    <w:p>
      <w:pPr>
        <w:sectPr>
          <w:pgSz w:w="11900" w:h="16838" w:orient="portrait"/>
          <w:cols w:equalWidth="0" w:num="2">
            <w:col w:w="480" w:space="680"/>
            <w:col w:w="10260"/>
          </w:cols>
          <w:pgMar w:left="240" w:top="36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Edwin Coe LLP</w:t>
      </w:r>
    </w:p>
    <w:p>
      <w:pPr>
        <w:spacing w:after="0" w:line="200" w:lineRule="exact"/>
        <w:rPr>
          <w:sz w:val="20"/>
          <w:szCs w:val="20"/>
          <w:color w:val="auto"/>
        </w:rPr>
      </w:pPr>
    </w:p>
    <w:p>
      <w:pPr>
        <w:sectPr>
          <w:pgSz w:w="11900" w:h="16838" w:orient="portrait"/>
          <w:cols w:equalWidth="0" w:num="2">
            <w:col w:w="640" w:space="520"/>
            <w:col w:w="10260"/>
          </w:cols>
          <w:pgMar w:left="240" w:top="364" w:right="239" w:bottom="1440" w:gutter="0" w:footer="0" w:header="0"/>
          <w:type w:val="continuous"/>
        </w:sectPr>
      </w:pPr>
    </w:p>
    <w:p>
      <w:pPr>
        <w:spacing w:after="0" w:line="4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2 Stone Buildings</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Lincoln’s Inn</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WC2A3TH</w:t>
      </w:r>
    </w:p>
    <w:p>
      <w:pPr>
        <w:sectPr>
          <w:pgSz w:w="11900" w:h="16838" w:orient="portrait"/>
          <w:cols w:equalWidth="0" w:num="1">
            <w:col w:w="11420"/>
          </w:cols>
          <w:pgMar w:left="240" w:top="364" w:right="2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13 August 2007</w:t>
      </w:r>
    </w:p>
    <w:p>
      <w:pPr>
        <w:spacing w:after="0" w:line="200" w:lineRule="exact"/>
        <w:rPr>
          <w:sz w:val="20"/>
          <w:szCs w:val="20"/>
          <w:color w:val="auto"/>
        </w:rPr>
      </w:pPr>
    </w:p>
    <w:p>
      <w:pPr>
        <w:sectPr>
          <w:pgSz w:w="11900" w:h="16838" w:orient="portrait"/>
          <w:cols w:equalWidth="0" w:num="2">
            <w:col w:w="480" w:space="680"/>
            <w:col w:w="10260"/>
          </w:cols>
          <w:pgMar w:left="240" w:top="364" w:right="239" w:bottom="1440" w:gutter="0" w:footer="0" w:header="0"/>
          <w:type w:val="continuous"/>
        </w:sectPr>
      </w:pPr>
    </w:p>
    <w:p>
      <w:pPr>
        <w:spacing w:after="0" w:line="7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SCHEDULE 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 Letter of Resignation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PRIVATE &amp; CONFIDENTIAL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York 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NW1 4QS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accept this letter as formal notice of my resignation as a Director [and the Secretary] of [the company] [each of the companies] listed above. My resignation is to be effective immediately.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Please arrange for particulars of my resignation to be filed with the Registrar of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SCHEDULE 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Agreed Announcement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ClearOne would prefer to keep this matter confidential and therefore wishes to refrain from sending a public announcement.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However, the following announcement will be sent at the Employee’s request: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Martin Offwood, Managing Director of EMEA, has resigned to pursue other interests. We wish him well in his future endeavours and thank him for his service to ClearOne.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contact Steven Andresen, VP of Worldwide Sales, for all EMEA matters.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2" w:name="page43"/>
    <w:bookmarkEnd w:id="42"/>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7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977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October 15, 2007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Greg LeClaire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 One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1825 Research Way</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S.L.C. UT</w:t>
      </w:r>
      <w:r>
        <w:rPr>
          <w:sz w:val="20"/>
          <w:szCs w:val="20"/>
          <w:color w:val="auto"/>
        </w:rPr>
        <w:tab/>
      </w:r>
      <w:r>
        <w:rPr>
          <w:rFonts w:ascii="Arial" w:cs="Arial" w:eastAsia="Arial" w:hAnsi="Arial"/>
          <w:sz w:val="15"/>
          <w:szCs w:val="15"/>
          <w:color w:val="auto"/>
        </w:rPr>
        <w:t>84119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Lease Addendum –2007 - 2740 w. California Ave. suite 4 S.L.C. UT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Greg,</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following up on a couple of conversations with Kneel Robinson at NAI – Utah over the last couple days, I wanted to clarify a number of items in writing in order to avoid any future misunderstandings. Woodenshoe Development agrees to modify your lease at 2740 west California Ave. suite 4 with the following changes and clarifications:</w:t>
      </w: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00" w:type="dxa"/>
            <w:vAlign w:val="bottom"/>
          </w:tcPr>
          <w:p>
            <w:pPr>
              <w:jc w:val="right"/>
              <w:spacing w:after="0"/>
              <w:rPr>
                <w:sz w:val="20"/>
                <w:szCs w:val="20"/>
                <w:color w:val="auto"/>
              </w:rPr>
            </w:pPr>
            <w:r>
              <w:rPr>
                <w:rFonts w:ascii="Arial" w:cs="Arial" w:eastAsia="Arial" w:hAnsi="Arial"/>
                <w:sz w:val="18"/>
                <w:szCs w:val="18"/>
                <w:color w:val="auto"/>
                <w:w w:val="74"/>
              </w:rPr>
              <w:t>1)</w:t>
            </w:r>
          </w:p>
        </w:tc>
        <w:tc>
          <w:tcPr>
            <w:tcW w:w="1080" w:type="dxa"/>
            <w:vAlign w:val="bottom"/>
          </w:tcPr>
          <w:p>
            <w:pPr>
              <w:ind w:left="80"/>
              <w:spacing w:after="0"/>
              <w:rPr>
                <w:sz w:val="20"/>
                <w:szCs w:val="20"/>
                <w:color w:val="auto"/>
              </w:rPr>
            </w:pPr>
            <w:r>
              <w:rPr>
                <w:rFonts w:ascii="Arial" w:cs="Arial" w:eastAsia="Arial" w:hAnsi="Arial"/>
                <w:sz w:val="18"/>
                <w:szCs w:val="18"/>
                <w:color w:val="auto"/>
                <w:w w:val="85"/>
              </w:rPr>
              <w:t>Lease Space :</w:t>
            </w:r>
          </w:p>
        </w:tc>
        <w:tc>
          <w:tcPr>
            <w:tcW w:w="9740" w:type="dxa"/>
            <w:vAlign w:val="bottom"/>
          </w:tcPr>
          <w:p>
            <w:pPr>
              <w:ind w:left="80"/>
              <w:spacing w:after="0"/>
              <w:rPr>
                <w:sz w:val="20"/>
                <w:szCs w:val="20"/>
                <w:color w:val="auto"/>
              </w:rPr>
            </w:pPr>
            <w:r>
              <w:rPr>
                <w:rFonts w:ascii="Arial" w:cs="Arial" w:eastAsia="Arial" w:hAnsi="Arial"/>
                <w:sz w:val="18"/>
                <w:szCs w:val="18"/>
                <w:color w:val="auto"/>
              </w:rPr>
              <w:t>Suite 4 only that would consist of approximately 6,500 square feet (52’ x 126’)</w:t>
            </w:r>
          </w:p>
        </w:tc>
      </w:tr>
      <w:tr>
        <w:trPr>
          <w:trHeight w:val="459"/>
        </w:trPr>
        <w:tc>
          <w:tcPr>
            <w:tcW w:w="20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1080" w:type="dxa"/>
            <w:vAlign w:val="bottom"/>
          </w:tcPr>
          <w:p>
            <w:pPr>
              <w:ind w:left="80"/>
              <w:spacing w:after="0"/>
              <w:rPr>
                <w:sz w:val="20"/>
                <w:szCs w:val="20"/>
                <w:color w:val="auto"/>
              </w:rPr>
            </w:pPr>
            <w:r>
              <w:rPr>
                <w:rFonts w:ascii="Arial" w:cs="Arial" w:eastAsia="Arial" w:hAnsi="Arial"/>
                <w:sz w:val="18"/>
                <w:szCs w:val="18"/>
                <w:color w:val="auto"/>
                <w:w w:val="92"/>
              </w:rPr>
              <w:t>Lease Term :</w:t>
            </w:r>
          </w:p>
        </w:tc>
        <w:tc>
          <w:tcPr>
            <w:tcW w:w="9740" w:type="dxa"/>
            <w:vAlign w:val="bottom"/>
          </w:tcPr>
          <w:p>
            <w:pPr>
              <w:ind w:left="20"/>
              <w:spacing w:after="0"/>
              <w:rPr>
                <w:sz w:val="20"/>
                <w:szCs w:val="20"/>
                <w:color w:val="auto"/>
              </w:rPr>
            </w:pPr>
            <w:r>
              <w:rPr>
                <w:rFonts w:ascii="Arial" w:cs="Arial" w:eastAsia="Arial" w:hAnsi="Arial"/>
                <w:sz w:val="18"/>
                <w:szCs w:val="18"/>
                <w:color w:val="auto"/>
                <w:w w:val="90"/>
              </w:rPr>
              <w:t>45 months  April 1, 2008 through December 31, 2011, this commencement date may be earlier if a potential tenant for Suite 5 requires</w:t>
            </w:r>
          </w:p>
        </w:tc>
      </w:tr>
    </w:tbl>
    <w:p>
      <w:pPr>
        <w:spacing w:after="0"/>
        <w:rPr>
          <w:sz w:val="20"/>
          <w:szCs w:val="20"/>
          <w:color w:val="auto"/>
        </w:rPr>
      </w:pPr>
      <w:r>
        <w:rPr>
          <w:rFonts w:ascii="Arial" w:cs="Arial" w:eastAsia="Arial" w:hAnsi="Arial"/>
          <w:sz w:val="18"/>
          <w:szCs w:val="18"/>
          <w:color w:val="auto"/>
        </w:rPr>
        <w:t>an earlier occupancy. The January timetable for some of the current stock to be relocated will be taken into consideration.</w:t>
      </w:r>
    </w:p>
    <w:p>
      <w:pPr>
        <w:spacing w:after="0" w:line="238" w:lineRule="exact"/>
        <w:rPr>
          <w:sz w:val="20"/>
          <w:szCs w:val="20"/>
          <w:color w:val="auto"/>
        </w:rPr>
      </w:pPr>
    </w:p>
    <w:p>
      <w:pPr>
        <w:ind w:left="460" w:hanging="290"/>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Lease Rate : $3,200.00 / month</w:t>
      </w:r>
    </w:p>
    <w:p>
      <w:pPr>
        <w:spacing w:after="0" w:line="255" w:lineRule="exact"/>
        <w:rPr>
          <w:rFonts w:ascii="Arial" w:cs="Arial" w:eastAsia="Arial" w:hAnsi="Arial"/>
          <w:sz w:val="18"/>
          <w:szCs w:val="18"/>
          <w:color w:val="auto"/>
        </w:rPr>
      </w:pPr>
    </w:p>
    <w:p>
      <w:pPr>
        <w:ind w:right="280" w:firstLine="170"/>
        <w:spacing w:after="0" w:line="210" w:lineRule="auto"/>
        <w:tabs>
          <w:tab w:leader="none" w:pos="4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Security Deposit : A security deposit of $7,000.00 was received from Clear One on Sept.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2006 and will be credited as follows: $3,200.00 for first months rent and the remaining balance of $3,800.00 will remain as the new security deposit for Suite 4.</w:t>
      </w:r>
    </w:p>
    <w:p>
      <w:pPr>
        <w:spacing w:after="0" w:line="229" w:lineRule="exact"/>
        <w:rPr>
          <w:rFonts w:ascii="Arial" w:cs="Arial" w:eastAsia="Arial" w:hAnsi="Arial"/>
          <w:sz w:val="18"/>
          <w:szCs w:val="18"/>
          <w:color w:val="auto"/>
        </w:rPr>
      </w:pPr>
    </w:p>
    <w:p>
      <w:pPr>
        <w:ind w:firstLine="170"/>
        <w:spacing w:after="0" w:line="264" w:lineRule="auto"/>
        <w:tabs>
          <w:tab w:leader="none" w:pos="43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restroom for suite 4 and a divider wall between suite 4 and suite 5 will be constructed on our schedule between January 15, 2008 and March 31, 2008 with a minimum of 2 weeks notice prior to commencing construction. The January timetable for some of the current stock to be relocated will be taken into consideration.</w:t>
      </w:r>
    </w:p>
    <w:p>
      <w:pPr>
        <w:spacing w:after="0" w:line="208" w:lineRule="exact"/>
        <w:rPr>
          <w:rFonts w:ascii="Arial" w:cs="Arial" w:eastAsia="Arial" w:hAnsi="Arial"/>
          <w:sz w:val="18"/>
          <w:szCs w:val="18"/>
          <w:color w:val="auto"/>
        </w:rPr>
      </w:pPr>
    </w:p>
    <w:p>
      <w:pPr>
        <w:ind w:right="420" w:firstLine="170"/>
        <w:spacing w:after="0" w:line="308" w:lineRule="auto"/>
        <w:tabs>
          <w:tab w:leader="none" w:pos="44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divider wall will be floor to ceiling, 2 x 6 construction, insulated, sheetrocked, painted and particle board on the bottom 8’ of both sides. The restroom will be located as per the original building floor plan against the east wall in order to tie into the existing sewer and water lines.</w:t>
      </w:r>
    </w:p>
    <w:p>
      <w:pPr>
        <w:spacing w:after="0" w:line="177" w:lineRule="exact"/>
        <w:rPr>
          <w:rFonts w:ascii="Arial" w:cs="Arial" w:eastAsia="Arial" w:hAnsi="Arial"/>
          <w:sz w:val="17"/>
          <w:szCs w:val="17"/>
          <w:color w:val="auto"/>
        </w:rPr>
      </w:pPr>
    </w:p>
    <w:p>
      <w:pPr>
        <w:ind w:left="440" w:hanging="270"/>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terms, conditions and guidelines outlined in our original lease agreement dated September 10</w:t>
      </w:r>
      <w:r>
        <w:rPr>
          <w:rFonts w:ascii="Arial" w:cs="Arial" w:eastAsia="Arial" w:hAnsi="Arial"/>
          <w:sz w:val="30"/>
          <w:szCs w:val="30"/>
          <w:color w:val="auto"/>
          <w:vertAlign w:val="superscript"/>
        </w:rPr>
        <w:t>th</w:t>
      </w:r>
      <w:r>
        <w:rPr>
          <w:rFonts w:ascii="Arial" w:cs="Arial" w:eastAsia="Arial" w:hAnsi="Arial"/>
          <w:sz w:val="18"/>
          <w:szCs w:val="18"/>
          <w:color w:val="auto"/>
        </w:rPr>
        <w:t>, 2006 will remain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3" w:name="page44"/>
    <w:bookmarkEnd w:id="43"/>
    <w:p>
      <w:pPr>
        <w:ind w:right="120"/>
        <w:spacing w:after="0" w:line="277" w:lineRule="auto"/>
        <w:rPr>
          <w:sz w:val="20"/>
          <w:szCs w:val="20"/>
          <w:color w:val="auto"/>
        </w:rPr>
      </w:pPr>
      <w:r>
        <w:rPr>
          <w:rFonts w:ascii="Arial" w:cs="Arial" w:eastAsia="Arial" w:hAnsi="Arial"/>
          <w:sz w:val="18"/>
          <w:szCs w:val="18"/>
          <w:color w:val="auto"/>
        </w:rPr>
        <w:t>If you are in agreement with the information as outlined above, please sign in the space provided below and return to our office with an original signature. If you have any additional questions, please give me a call at (801) 266- 8856.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Sincerely,</w:t>
            </w:r>
          </w:p>
        </w:tc>
        <w:tc>
          <w:tcPr>
            <w:tcW w:w="7260" w:type="dxa"/>
            <w:vAlign w:val="bottom"/>
          </w:tcPr>
          <w:p>
            <w:pPr>
              <w:ind w:left="1540"/>
              <w:spacing w:after="0"/>
              <w:rPr>
                <w:sz w:val="20"/>
                <w:szCs w:val="20"/>
                <w:color w:val="auto"/>
              </w:rPr>
            </w:pPr>
            <w:r>
              <w:rPr>
                <w:rFonts w:ascii="Arial" w:cs="Arial" w:eastAsia="Arial" w:hAnsi="Arial"/>
                <w:sz w:val="18"/>
                <w:szCs w:val="18"/>
                <w:color w:val="auto"/>
              </w:rPr>
              <w:t>Accepted and Approved by</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WOODENSHOE DEVELOPMENT</w:t>
            </w:r>
          </w:p>
        </w:tc>
        <w:tc>
          <w:tcPr>
            <w:tcW w:w="7260" w:type="dxa"/>
            <w:vAlign w:val="bottom"/>
          </w:tcPr>
          <w:p>
            <w:pPr>
              <w:ind w:left="1540"/>
              <w:spacing w:after="0"/>
              <w:rPr>
                <w:sz w:val="20"/>
                <w:szCs w:val="20"/>
                <w:color w:val="auto"/>
              </w:rPr>
            </w:pPr>
            <w:r>
              <w:rPr>
                <w:rFonts w:ascii="Arial" w:cs="Arial" w:eastAsia="Arial" w:hAnsi="Arial"/>
                <w:sz w:val="18"/>
                <w:szCs w:val="18"/>
                <w:color w:val="auto"/>
              </w:rPr>
              <w:t>CLEAR ONE INC.</w:t>
            </w:r>
          </w:p>
        </w:tc>
      </w:tr>
      <w:tr>
        <w:trPr>
          <w:trHeight w:val="634"/>
        </w:trPr>
        <w:tc>
          <w:tcPr>
            <w:tcW w:w="4180" w:type="dxa"/>
            <w:vAlign w:val="bottom"/>
          </w:tcPr>
          <w:p>
            <w:pPr>
              <w:spacing w:after="0"/>
              <w:rPr>
                <w:sz w:val="20"/>
                <w:szCs w:val="20"/>
                <w:color w:val="auto"/>
              </w:rPr>
            </w:pPr>
            <w:r>
              <w:rPr>
                <w:rFonts w:ascii="Arial" w:cs="Arial" w:eastAsia="Arial" w:hAnsi="Arial"/>
                <w:sz w:val="18"/>
                <w:szCs w:val="18"/>
                <w:color w:val="auto"/>
              </w:rPr>
              <w:t>Greg Robinson</w:t>
            </w:r>
          </w:p>
        </w:tc>
        <w:tc>
          <w:tcPr>
            <w:tcW w:w="7260" w:type="dxa"/>
            <w:vAlign w:val="bottom"/>
          </w:tcPr>
          <w:p>
            <w:pPr>
              <w:ind w:left="1540"/>
              <w:spacing w:after="0"/>
              <w:rPr>
                <w:sz w:val="20"/>
                <w:szCs w:val="20"/>
                <w:color w:val="auto"/>
              </w:rPr>
            </w:pPr>
            <w:r>
              <w:rPr>
                <w:rFonts w:ascii="Arial" w:cs="Arial" w:eastAsia="Arial" w:hAnsi="Arial"/>
                <w:sz w:val="18"/>
                <w:szCs w:val="18"/>
                <w:color w:val="auto"/>
              </w:rPr>
              <w:t>Greg LeClaire</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Property Management</w:t>
            </w:r>
          </w:p>
        </w:tc>
        <w:tc>
          <w:tcPr>
            <w:tcW w:w="7260" w:type="dxa"/>
            <w:vAlign w:val="bottom"/>
          </w:tcPr>
          <w:p>
            <w:pPr>
              <w:ind w:left="1540"/>
              <w:spacing w:after="0"/>
              <w:rPr>
                <w:sz w:val="20"/>
                <w:szCs w:val="20"/>
                <w:color w:val="auto"/>
              </w:rPr>
            </w:pPr>
            <w:r>
              <w:rPr>
                <w:rFonts w:ascii="Arial" w:cs="Arial" w:eastAsia="Arial" w:hAnsi="Arial"/>
                <w:sz w:val="18"/>
                <w:szCs w:val="18"/>
                <w:color w:val="auto"/>
              </w:rPr>
              <w:t>V.P. Finance</w:t>
            </w:r>
          </w:p>
        </w:tc>
      </w:tr>
      <w:tr>
        <w:trPr>
          <w:trHeight w:val="577"/>
        </w:trPr>
        <w:tc>
          <w:tcPr>
            <w:tcW w:w="4180" w:type="dxa"/>
            <w:vAlign w:val="bottom"/>
            <w:tcBorders>
              <w:bottom w:val="single" w:sz="8" w:color="808080"/>
            </w:tcBorders>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44" w:name="page45"/>
    <w:bookmarkEnd w:id="44"/>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52" w:lineRule="exact"/>
        <w:rPr>
          <w:rFonts w:ascii="Arial" w:cs="Arial" w:eastAsia="Arial" w:hAnsi="Arial"/>
          <w:sz w:val="18"/>
          <w:szCs w:val="18"/>
          <w:color w:val="auto"/>
        </w:rPr>
      </w:pPr>
    </w:p>
    <w:p>
      <w:pPr>
        <w:jc w:val="both"/>
        <w:ind w:left="500" w:right="480" w:hanging="492"/>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40" w:hanging="492"/>
        <w:spacing w:after="0" w:line="308"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66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820" w:right="400" w:hanging="326"/>
        <w:spacing w:after="0" w:line="264"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820" w:right="900" w:hanging="326"/>
        <w:spacing w:after="0" w:line="342" w:lineRule="auto"/>
        <w:tabs>
          <w:tab w:leader="none" w:pos="8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820" w:right="400" w:hanging="326"/>
        <w:spacing w:after="0" w:line="342" w:lineRule="auto"/>
        <w:tabs>
          <w:tab w:leader="none" w:pos="8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50" w:lineRule="exact"/>
        <w:rPr>
          <w:rFonts w:ascii="Arial" w:cs="Arial" w:eastAsia="Arial" w:hAnsi="Arial"/>
          <w:sz w:val="16"/>
          <w:szCs w:val="16"/>
          <w:color w:val="auto"/>
        </w:rPr>
      </w:pPr>
    </w:p>
    <w:p>
      <w:pPr>
        <w:ind w:left="500" w:right="360" w:hanging="492"/>
        <w:spacing w:after="0" w:line="308"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820" w:right="320" w:hanging="326"/>
        <w:spacing w:after="0" w:line="277"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820" w:right="260" w:hanging="326"/>
        <w:spacing w:after="0" w:line="277"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Arial" w:cs="Arial" w:eastAsia="Arial" w:hAnsi="Arial"/>
                <w:sz w:val="18"/>
                <w:szCs w:val="18"/>
                <w:color w:val="auto"/>
              </w:rPr>
              <w:t>Date: November 12, 2007</w:t>
            </w:r>
          </w:p>
        </w:tc>
        <w:tc>
          <w:tcPr>
            <w:tcW w:w="7620" w:type="dxa"/>
            <w:vAlign w:val="bottom"/>
            <w:gridSpan w:val="3"/>
          </w:tcPr>
          <w:p>
            <w:pPr>
              <w:ind w:left="1900"/>
              <w:spacing w:after="0"/>
              <w:rPr>
                <w:sz w:val="20"/>
                <w:szCs w:val="20"/>
                <w:color w:val="auto"/>
              </w:rPr>
            </w:pPr>
            <w:r>
              <w:rPr>
                <w:rFonts w:ascii="Arial" w:cs="Arial" w:eastAsia="Arial" w:hAnsi="Arial"/>
                <w:sz w:val="18"/>
                <w:szCs w:val="18"/>
                <w:color w:val="auto"/>
              </w:rPr>
              <w:t>By:  /s/ Zeynep Hakimoglu</w:t>
            </w:r>
          </w:p>
        </w:tc>
      </w:tr>
      <w:tr>
        <w:trPr>
          <w:trHeight w:val="222"/>
        </w:trPr>
        <w:tc>
          <w:tcPr>
            <w:tcW w:w="3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c>
          <w:tcPr>
            <w:tcW w:w="3660" w:type="dxa"/>
            <w:vAlign w:val="bottom"/>
          </w:tcPr>
          <w:p>
            <w:pPr>
              <w:spacing w:after="0"/>
              <w:rPr>
                <w:sz w:val="19"/>
                <w:szCs w:val="19"/>
                <w:color w:val="auto"/>
              </w:rPr>
            </w:pPr>
          </w:p>
        </w:tc>
      </w:tr>
      <w:tr>
        <w:trPr>
          <w:trHeight w:val="230"/>
        </w:trPr>
        <w:tc>
          <w:tcPr>
            <w:tcW w:w="3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577"/>
        </w:trPr>
        <w:tc>
          <w:tcPr>
            <w:tcW w:w="382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83" w:right="219" w:bottom="1440" w:gutter="0" w:footer="0" w:header="0"/>
        </w:sectPr>
      </w:pPr>
    </w:p>
    <w:bookmarkStart w:id="45" w:name="page46"/>
    <w:bookmarkEnd w:id="45"/>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Greg A. LeClaire, certify that:</w:t>
      </w:r>
    </w:p>
    <w:p>
      <w:pPr>
        <w:spacing w:after="0" w:line="252"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52" w:lineRule="exact"/>
        <w:rPr>
          <w:rFonts w:ascii="Arial" w:cs="Arial" w:eastAsia="Arial" w:hAnsi="Arial"/>
          <w:sz w:val="18"/>
          <w:szCs w:val="18"/>
          <w:color w:val="auto"/>
        </w:rPr>
      </w:pPr>
    </w:p>
    <w:p>
      <w:pPr>
        <w:jc w:val="both"/>
        <w:ind w:left="500" w:right="480" w:hanging="492"/>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40" w:hanging="492"/>
        <w:spacing w:after="0" w:line="308"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66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820" w:right="400" w:hanging="326"/>
        <w:spacing w:after="0" w:line="264"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820" w:right="900" w:hanging="326"/>
        <w:spacing w:after="0" w:line="342" w:lineRule="auto"/>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820" w:right="400" w:hanging="326"/>
        <w:spacing w:after="0" w:line="342" w:lineRule="auto"/>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50" w:lineRule="exact"/>
        <w:rPr>
          <w:rFonts w:ascii="Arial" w:cs="Arial" w:eastAsia="Arial" w:hAnsi="Arial"/>
          <w:sz w:val="16"/>
          <w:szCs w:val="16"/>
          <w:color w:val="auto"/>
        </w:rPr>
      </w:pPr>
    </w:p>
    <w:p>
      <w:pPr>
        <w:ind w:left="500" w:right="360" w:hanging="492"/>
        <w:spacing w:after="0" w:line="308"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820" w:right="320" w:hanging="326"/>
        <w:spacing w:after="0" w:line="277"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820" w:right="260" w:hanging="326"/>
        <w:spacing w:after="0" w:line="277"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rPr>
              <w:t>Date: November 12, 2007</w:t>
            </w:r>
          </w:p>
        </w:tc>
        <w:tc>
          <w:tcPr>
            <w:tcW w:w="7640" w:type="dxa"/>
            <w:vAlign w:val="bottom"/>
            <w:gridSpan w:val="3"/>
          </w:tcPr>
          <w:p>
            <w:pPr>
              <w:ind w:left="1920"/>
              <w:spacing w:after="0"/>
              <w:rPr>
                <w:sz w:val="20"/>
                <w:szCs w:val="20"/>
                <w:color w:val="auto"/>
              </w:rPr>
            </w:pPr>
            <w:r>
              <w:rPr>
                <w:rFonts w:ascii="Arial" w:cs="Arial" w:eastAsia="Arial" w:hAnsi="Arial"/>
                <w:sz w:val="18"/>
                <w:szCs w:val="18"/>
                <w:color w:val="auto"/>
              </w:rPr>
              <w:t>By:  /s/ Greg A. LeClaire</w:t>
            </w:r>
          </w:p>
        </w:tc>
      </w:tr>
      <w:tr>
        <w:trPr>
          <w:trHeight w:val="222"/>
        </w:trPr>
        <w:tc>
          <w:tcPr>
            <w:tcW w:w="3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 A LeClaire</w:t>
            </w:r>
          </w:p>
        </w:tc>
        <w:tc>
          <w:tcPr>
            <w:tcW w:w="3800" w:type="dxa"/>
            <w:vAlign w:val="bottom"/>
          </w:tcPr>
          <w:p>
            <w:pPr>
              <w:spacing w:after="0"/>
              <w:rPr>
                <w:sz w:val="19"/>
                <w:szCs w:val="19"/>
                <w:color w:val="auto"/>
              </w:rPr>
            </w:pPr>
          </w:p>
        </w:tc>
      </w:tr>
      <w:tr>
        <w:trPr>
          <w:trHeight w:val="216"/>
        </w:trPr>
        <w:tc>
          <w:tcPr>
            <w:tcW w:w="38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VP Finance</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577"/>
        </w:trPr>
        <w:tc>
          <w:tcPr>
            <w:tcW w:w="38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83" w:right="2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 Zeynep Hakimoglu, certify, pursuant to 18 U.S.C. Section 1350, as adopted pursuant to Section 906 of the Sarbanes-Oxley Act of 2002, that the Quarterly Report of ClearOne Communications, Inc. on Form 10-Q for the three months ended September 30, 2007,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Arial" w:cs="Arial" w:eastAsia="Arial" w:hAnsi="Arial"/>
                <w:sz w:val="18"/>
                <w:szCs w:val="18"/>
                <w:color w:val="auto"/>
              </w:rPr>
              <w:t>Date: November 12, 2007</w:t>
            </w:r>
          </w:p>
        </w:tc>
        <w:tc>
          <w:tcPr>
            <w:tcW w:w="5900" w:type="dxa"/>
            <w:vAlign w:val="bottom"/>
            <w:gridSpan w:val="3"/>
          </w:tcPr>
          <w:p>
            <w:pPr>
              <w:ind w:left="1900"/>
              <w:spacing w:after="0"/>
              <w:rPr>
                <w:sz w:val="20"/>
                <w:szCs w:val="20"/>
                <w:color w:val="auto"/>
              </w:rPr>
            </w:pPr>
            <w:r>
              <w:rPr>
                <w:rFonts w:ascii="Arial" w:cs="Arial" w:eastAsia="Arial" w:hAnsi="Arial"/>
                <w:sz w:val="18"/>
                <w:szCs w:val="18"/>
                <w:color w:val="auto"/>
              </w:rPr>
              <w:t>By:  /s/ Zeynep Hakimoglu</w:t>
            </w:r>
          </w:p>
        </w:tc>
      </w:tr>
      <w:tr>
        <w:trPr>
          <w:trHeight w:val="222"/>
        </w:trPr>
        <w:tc>
          <w:tcPr>
            <w:tcW w:w="3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c>
          <w:tcPr>
            <w:tcW w:w="1940" w:type="dxa"/>
            <w:vAlign w:val="bottom"/>
          </w:tcPr>
          <w:p>
            <w:pPr>
              <w:spacing w:after="0"/>
              <w:rPr>
                <w:sz w:val="19"/>
                <w:szCs w:val="19"/>
                <w:color w:val="auto"/>
              </w:rPr>
            </w:pPr>
          </w:p>
        </w:tc>
      </w:tr>
      <w:tr>
        <w:trPr>
          <w:trHeight w:val="216"/>
        </w:trPr>
        <w:tc>
          <w:tcPr>
            <w:tcW w:w="3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0"/>
              </w:rPr>
              <w:t>Chairman, President and Chief Executive Officer</w:t>
            </w:r>
          </w:p>
        </w:tc>
      </w:tr>
      <w:tr>
        <w:trPr>
          <w:trHeight w:val="230"/>
        </w:trPr>
        <w:tc>
          <w:tcPr>
            <w:tcW w:w="3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6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 Greg A. LeClaire, certify, pursuant to 18 U.S.C. Section 1350, as adopted pursuant to Section 906 of the Sarbanes-Oxley Act of 2002, that the Quarterly Report of ClearOne Communications, Inc. on Form 10-Q for the three months ended September 30, 2007,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rPr>
              <w:t>Date: November 12, 2007</w:t>
            </w:r>
          </w:p>
        </w:tc>
        <w:tc>
          <w:tcPr>
            <w:tcW w:w="5620" w:type="dxa"/>
            <w:vAlign w:val="bottom"/>
            <w:gridSpan w:val="3"/>
          </w:tcPr>
          <w:p>
            <w:pPr>
              <w:ind w:left="1920"/>
              <w:spacing w:after="0"/>
              <w:rPr>
                <w:sz w:val="20"/>
                <w:szCs w:val="20"/>
                <w:color w:val="auto"/>
              </w:rPr>
            </w:pPr>
            <w:r>
              <w:rPr>
                <w:rFonts w:ascii="Arial" w:cs="Arial" w:eastAsia="Arial" w:hAnsi="Arial"/>
                <w:sz w:val="18"/>
                <w:szCs w:val="18"/>
                <w:color w:val="auto"/>
              </w:rPr>
              <w:t>By:  /s/ Greg A. LeClaire</w:t>
            </w:r>
          </w:p>
        </w:tc>
      </w:tr>
      <w:tr>
        <w:trPr>
          <w:trHeight w:val="222"/>
        </w:trPr>
        <w:tc>
          <w:tcPr>
            <w:tcW w:w="3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 A. LeClaire</w:t>
            </w:r>
          </w:p>
        </w:tc>
        <w:tc>
          <w:tcPr>
            <w:tcW w:w="1780" w:type="dxa"/>
            <w:vAlign w:val="bottom"/>
          </w:tcPr>
          <w:p>
            <w:pPr>
              <w:spacing w:after="0"/>
              <w:rPr>
                <w:sz w:val="19"/>
                <w:szCs w:val="19"/>
                <w:color w:val="auto"/>
              </w:rPr>
            </w:pPr>
          </w:p>
        </w:tc>
      </w:tr>
      <w:tr>
        <w:trPr>
          <w:trHeight w:val="216"/>
        </w:trPr>
        <w:tc>
          <w:tcPr>
            <w:tcW w:w="38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VP Finance</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00" w:lineRule="exact"/>
        <w:rPr>
          <w:sz w:val="20"/>
          <w:szCs w:val="20"/>
          <w:color w:val="auto"/>
        </w:rPr>
      </w:pPr>
    </w:p>
    <w:p>
      <w:pPr>
        <w:spacing w:after="0" w:line="26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T"/>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decimal"/>
      <w:start w:val="5"/>
    </w:lvl>
  </w:abstractNum>
  <w:abstractNum w:abstractNumId="7">
    <w:nsid w:val="2D1D5AE9"/>
    <w:multiLevelType w:val="hybridMultilevel"/>
    <w:lvl w:ilvl="0">
      <w:lvlJc w:val="left"/>
      <w:lvlText w:val="%1."/>
      <w:numFmt w:val="decimal"/>
      <w:start w:val="6"/>
    </w:lvl>
  </w:abstractNum>
  <w:abstractNum w:abstractNumId="8">
    <w:nsid w:val="6763845E"/>
    <w:multiLevelType w:val="hybridMultilevel"/>
    <w:lvl w:ilvl="0">
      <w:lvlJc w:val="left"/>
      <w:lvlText w:val="%1."/>
      <w:numFmt w:val="decimal"/>
      <w:start w:val="7"/>
    </w:lvl>
  </w:abstractNum>
  <w:abstractNum w:abstractNumId="9">
    <w:nsid w:val="75A2A8D4"/>
    <w:multiLevelType w:val="hybridMultilevel"/>
    <w:lvl w:ilvl="0">
      <w:lvlJc w:val="left"/>
      <w:lvlText w:val="%1."/>
      <w:numFmt w:val="decimal"/>
      <w:start w:val="8"/>
    </w:lvl>
  </w:abstractNum>
  <w:abstractNum w:abstractNumId="10">
    <w:nsid w:val="8EDBDAB"/>
    <w:multiLevelType w:val="hybridMultilevel"/>
    <w:lvl w:ilvl="0">
      <w:lvlJc w:val="left"/>
      <w:lvlText w:val="%1."/>
      <w:numFmt w:val="decimal"/>
      <w:start w:val="9"/>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upperLetter"/>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2"/>
    </w:lvl>
  </w:abstractNum>
  <w:abstractNum w:abstractNumId="21">
    <w:nsid w:val="8138641"/>
    <w:multiLevelType w:val="hybridMultilevel"/>
    <w:lvl w:ilvl="0">
      <w:lvlJc w:val="left"/>
      <w:lvlText w:val="%1."/>
      <w:numFmt w:val="decimal"/>
      <w:start w:val="3"/>
    </w:lvl>
  </w:abstractNum>
  <w:abstractNum w:abstractNumId="22">
    <w:nsid w:val="1E7FF521"/>
    <w:multiLevelType w:val="hybridMultilevel"/>
    <w:lvl w:ilvl="0">
      <w:lvlJc w:val="left"/>
      <w:lvlText w:val="%1."/>
      <w:numFmt w:val="decimal"/>
      <w:start w:val="4"/>
    </w:lvl>
  </w:abstractNum>
  <w:abstractNum w:abstractNumId="23">
    <w:nsid w:val="7C3DBD3D"/>
    <w:multiLevelType w:val="hybridMultilevel"/>
    <w:lvl w:ilvl="0">
      <w:lvlJc w:val="left"/>
      <w:lvlText w:val="%1."/>
      <w:numFmt w:val="decimal"/>
      <w:start w:val="6"/>
    </w:lvl>
  </w:abstractNum>
  <w:abstractNum w:abstractNumId="24">
    <w:nsid w:val="737B8DDC"/>
    <w:multiLevelType w:val="hybridMultilevel"/>
    <w:lvl w:ilvl="0">
      <w:lvlJc w:val="left"/>
      <w:lvlText w:val="%1."/>
      <w:numFmt w:val="decimal"/>
      <w:start w:val="7"/>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decimal"/>
      <w:start w:val="8"/>
    </w:lvl>
  </w:abstractNum>
  <w:abstractNum w:abstractNumId="27">
    <w:nsid w:val="4516DDE9"/>
    <w:multiLevelType w:val="hybridMultilevel"/>
    <w:lvl w:ilvl="0">
      <w:lvlJc w:val="left"/>
      <w:lvlText w:val="%1."/>
      <w:numFmt w:val="decimal"/>
      <w:start w:val="9"/>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4"/>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13"/>
    </w:lvl>
  </w:abstractNum>
  <w:abstractNum w:abstractNumId="32">
    <w:nsid w:val="440BADFC"/>
    <w:multiLevelType w:val="hybridMultilevel"/>
    <w:lvl w:ilvl="0">
      <w:lvlJc w:val="left"/>
      <w:lvlText w:val="%1."/>
      <w:numFmt w:val="decimal"/>
      <w:start w:val="16"/>
    </w:lvl>
  </w:abstractNum>
  <w:abstractNum w:abstractNumId="33">
    <w:nsid w:val="5072367"/>
    <w:multiLevelType w:val="hybridMultilevel"/>
    <w:lvl w:ilvl="0">
      <w:lvlJc w:val="left"/>
      <w:lvlText w:val="%1."/>
      <w:numFmt w:val="decimal"/>
      <w:start w:val="18"/>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3"/>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2019-12-13T17:45:25Z</dcterms:created>
  <dcterms:modified xsi:type="dcterms:W3CDTF">2019-12-13T17:45:25Z</dcterms:modified>
</cp:coreProperties>
</file>