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7" w:lineRule="exact"/>
        <w:rPr>
          <w:sz w:val="24"/>
          <w:szCs w:val="24"/>
          <w:color w:val="auto"/>
        </w:rPr>
      </w:pPr>
    </w:p>
    <w:p>
      <w:pPr>
        <w:ind w:left="5025" w:right="4080" w:hanging="4650"/>
        <w:spacing w:after="0" w:line="234" w:lineRule="auto"/>
        <w:rPr>
          <w:sz w:val="20"/>
          <w:szCs w:val="20"/>
          <w:color w:val="auto"/>
        </w:rPr>
      </w:pPr>
      <w:r>
        <w:rPr>
          <w:rFonts w:ascii="Courier New" w:cs="Courier New" w:eastAsia="Courier New" w:hAnsi="Courier New"/>
          <w:sz w:val="16"/>
          <w:szCs w:val="16"/>
          <w:color w:val="auto"/>
        </w:rPr>
        <w:t>As filed with the Securities and Exchange Commission on November 1, 2002 Registration No 333-96915</w:t>
      </w:r>
    </w:p>
    <w:p>
      <w:pPr>
        <w:spacing w:after="0" w:line="4" w:lineRule="exact"/>
        <w:rPr>
          <w:sz w:val="24"/>
          <w:szCs w:val="24"/>
          <w:color w:val="auto"/>
        </w:rPr>
      </w:pPr>
    </w:p>
    <w:p>
      <w:pPr>
        <w:jc w:val="center"/>
        <w:ind w:right="4075"/>
        <w:spacing w:after="0"/>
        <w:rPr>
          <w:sz w:val="20"/>
          <w:szCs w:val="20"/>
          <w:color w:val="auto"/>
        </w:rPr>
      </w:pPr>
      <w:r>
        <w:rPr>
          <w:rFonts w:ascii="Courier New" w:cs="Courier New" w:eastAsia="Courier New" w:hAnsi="Courier New"/>
          <w:sz w:val="14"/>
          <w:szCs w:val="14"/>
          <w:color w:val="auto"/>
        </w:rPr>
        <w:t>================================================================================</w:t>
      </w:r>
    </w:p>
    <w:p>
      <w:pPr>
        <w:spacing w:after="0" w:line="14" w:lineRule="exact"/>
        <w:rPr>
          <w:sz w:val="24"/>
          <w:szCs w:val="24"/>
          <w:color w:val="auto"/>
        </w:rPr>
      </w:pPr>
    </w:p>
    <w:p>
      <w:pPr>
        <w:jc w:val="center"/>
        <w:ind w:right="4075"/>
        <w:spacing w:after="0"/>
        <w:rPr>
          <w:sz w:val="20"/>
          <w:szCs w:val="20"/>
          <w:color w:val="auto"/>
        </w:rPr>
      </w:pPr>
      <w:r>
        <w:rPr>
          <w:rFonts w:ascii="Courier New" w:cs="Courier New" w:eastAsia="Courier New" w:hAnsi="Courier New"/>
          <w:sz w:val="16"/>
          <w:szCs w:val="16"/>
          <w:color w:val="auto"/>
        </w:rPr>
        <w:t>SECURITIES AND EXCHANGE COMMISSION</w:t>
      </w:r>
    </w:p>
    <w:p>
      <w:pPr>
        <w:jc w:val="center"/>
        <w:ind w:right="4075"/>
        <w:spacing w:after="0" w:line="236" w:lineRule="auto"/>
        <w:rPr>
          <w:sz w:val="20"/>
          <w:szCs w:val="20"/>
          <w:color w:val="auto"/>
        </w:rPr>
      </w:pPr>
      <w:r>
        <w:rPr>
          <w:rFonts w:ascii="Courier New" w:cs="Courier New" w:eastAsia="Courier New" w:hAnsi="Courier New"/>
          <w:sz w:val="16"/>
          <w:szCs w:val="16"/>
          <w:color w:val="auto"/>
        </w:rPr>
        <w:t>Washington, D.C. 20549</w:t>
      </w:r>
    </w:p>
    <w:p>
      <w:pPr>
        <w:ind w:left="3065"/>
        <w:spacing w:after="0" w:line="237" w:lineRule="auto"/>
        <w:rPr>
          <w:sz w:val="20"/>
          <w:szCs w:val="20"/>
          <w:color w:val="auto"/>
        </w:rPr>
      </w:pPr>
      <w:r>
        <w:rPr>
          <w:rFonts w:ascii="Courier New" w:cs="Courier New" w:eastAsia="Courier New" w:hAnsi="Courier New"/>
          <w:sz w:val="16"/>
          <w:szCs w:val="16"/>
          <w:color w:val="auto"/>
        </w:rPr>
        <w:t>---------------</w:t>
      </w:r>
    </w:p>
    <w:p>
      <w:pPr>
        <w:ind w:left="3265"/>
        <w:spacing w:after="0" w:line="237" w:lineRule="auto"/>
        <w:rPr>
          <w:sz w:val="20"/>
          <w:szCs w:val="20"/>
          <w:color w:val="auto"/>
        </w:rPr>
      </w:pPr>
      <w:r>
        <w:rPr>
          <w:rFonts w:ascii="Courier New" w:cs="Courier New" w:eastAsia="Courier New" w:hAnsi="Courier New"/>
          <w:sz w:val="16"/>
          <w:szCs w:val="16"/>
          <w:color w:val="auto"/>
        </w:rPr>
        <w:t>FORM S-3/A</w:t>
      </w:r>
    </w:p>
    <w:p>
      <w:pPr>
        <w:ind w:left="2705"/>
        <w:spacing w:after="0" w:line="237" w:lineRule="auto"/>
        <w:rPr>
          <w:sz w:val="20"/>
          <w:szCs w:val="20"/>
          <w:color w:val="auto"/>
        </w:rPr>
      </w:pPr>
      <w:r>
        <w:rPr>
          <w:rFonts w:ascii="Courier New" w:cs="Courier New" w:eastAsia="Courier New" w:hAnsi="Courier New"/>
          <w:sz w:val="16"/>
          <w:szCs w:val="16"/>
          <w:color w:val="auto"/>
        </w:rPr>
        <w:t>REGISTRATION STATEMENT</w:t>
      </w:r>
    </w:p>
    <w:p>
      <w:pPr>
        <w:ind w:left="3545"/>
        <w:spacing w:after="0" w:line="237" w:lineRule="auto"/>
        <w:rPr>
          <w:sz w:val="20"/>
          <w:szCs w:val="20"/>
          <w:color w:val="auto"/>
        </w:rPr>
      </w:pPr>
      <w:r>
        <w:rPr>
          <w:rFonts w:ascii="Courier New" w:cs="Courier New" w:eastAsia="Courier New" w:hAnsi="Courier New"/>
          <w:sz w:val="16"/>
          <w:szCs w:val="16"/>
          <w:color w:val="auto"/>
        </w:rPr>
        <w:t>UNDER</w:t>
      </w:r>
    </w:p>
    <w:p>
      <w:pPr>
        <w:ind w:left="2505"/>
        <w:spacing w:after="0" w:line="237" w:lineRule="auto"/>
        <w:rPr>
          <w:sz w:val="20"/>
          <w:szCs w:val="20"/>
          <w:color w:val="auto"/>
        </w:rPr>
      </w:pPr>
      <w:r>
        <w:rPr>
          <w:rFonts w:ascii="Courier New" w:cs="Courier New" w:eastAsia="Courier New" w:hAnsi="Courier New"/>
          <w:sz w:val="16"/>
          <w:szCs w:val="16"/>
          <w:color w:val="auto"/>
        </w:rPr>
        <w:t>THE SECURITIES ACT OF 1933</w:t>
      </w:r>
    </w:p>
    <w:p>
      <w:pPr>
        <w:ind w:left="2885"/>
        <w:spacing w:after="0" w:line="237" w:lineRule="auto"/>
        <w:rPr>
          <w:sz w:val="20"/>
          <w:szCs w:val="20"/>
          <w:color w:val="auto"/>
        </w:rPr>
      </w:pPr>
      <w:r>
        <w:rPr>
          <w:rFonts w:ascii="Courier New" w:cs="Courier New" w:eastAsia="Courier New" w:hAnsi="Courier New"/>
          <w:sz w:val="16"/>
          <w:szCs w:val="16"/>
          <w:color w:val="auto"/>
        </w:rPr>
        <w:t>-------------------</w:t>
      </w:r>
    </w:p>
    <w:p>
      <w:pPr>
        <w:spacing w:after="0" w:line="177" w:lineRule="exact"/>
        <w:rPr>
          <w:sz w:val="24"/>
          <w:szCs w:val="24"/>
          <w:color w:val="auto"/>
        </w:rPr>
      </w:pPr>
    </w:p>
    <w:p>
      <w:pPr>
        <w:jc w:val="center"/>
        <w:ind w:right="3975"/>
        <w:spacing w:after="0"/>
        <w:rPr>
          <w:sz w:val="20"/>
          <w:szCs w:val="20"/>
          <w:color w:val="auto"/>
        </w:rPr>
      </w:pPr>
      <w:r>
        <w:rPr>
          <w:rFonts w:ascii="Courier New" w:cs="Courier New" w:eastAsia="Courier New" w:hAnsi="Courier New"/>
          <w:sz w:val="16"/>
          <w:szCs w:val="16"/>
          <w:color w:val="auto"/>
        </w:rPr>
        <w:t>CLEARONE COMMUNICATIONS, INC.</w:t>
      </w:r>
    </w:p>
    <w:p>
      <w:pPr>
        <w:jc w:val="center"/>
        <w:ind w:right="4075"/>
        <w:spacing w:after="0" w:line="236" w:lineRule="auto"/>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177" w:lineRule="exact"/>
        <w:rPr>
          <w:sz w:val="24"/>
          <w:szCs w:val="24"/>
          <w:color w:val="auto"/>
        </w:rPr>
      </w:pPr>
    </w:p>
    <w:tbl>
      <w:tblPr>
        <w:tblLayout w:type="fixed"/>
        <w:tblInd w:w="365" w:type="dxa"/>
        <w:tblCellMar>
          <w:top w:w="0" w:type="dxa"/>
          <w:left w:w="0" w:type="dxa"/>
          <w:bottom w:w="0" w:type="dxa"/>
          <w:right w:w="0" w:type="dxa"/>
        </w:tblCellMar>
      </w:tblPr>
      <w:tr>
        <w:trPr>
          <w:trHeight w:val="181"/>
        </w:trPr>
        <w:tc>
          <w:tcPr>
            <w:tcW w:w="1780" w:type="dxa"/>
            <w:vAlign w:val="bottom"/>
          </w:tcPr>
          <w:p>
            <w:pPr>
              <w:ind w:left="560"/>
              <w:spacing w:after="0"/>
              <w:rPr>
                <w:sz w:val="20"/>
                <w:szCs w:val="20"/>
                <w:color w:val="auto"/>
              </w:rPr>
            </w:pPr>
            <w:r>
              <w:rPr>
                <w:rFonts w:ascii="Courier New" w:cs="Courier New" w:eastAsia="Courier New" w:hAnsi="Courier New"/>
                <w:sz w:val="16"/>
                <w:szCs w:val="16"/>
                <w:color w:val="auto"/>
              </w:rPr>
              <w:t>Utah</w:t>
            </w:r>
          </w:p>
        </w:tc>
        <w:tc>
          <w:tcPr>
            <w:tcW w:w="3120" w:type="dxa"/>
            <w:vAlign w:val="bottom"/>
          </w:tcPr>
          <w:p>
            <w:pPr>
              <w:jc w:val="right"/>
              <w:ind w:right="1282"/>
              <w:spacing w:after="0"/>
              <w:rPr>
                <w:sz w:val="20"/>
                <w:szCs w:val="20"/>
                <w:color w:val="auto"/>
              </w:rPr>
            </w:pPr>
            <w:r>
              <w:rPr>
                <w:rFonts w:ascii="Courier New" w:cs="Courier New" w:eastAsia="Courier New" w:hAnsi="Courier New"/>
                <w:sz w:val="16"/>
                <w:szCs w:val="16"/>
                <w:color w:val="auto"/>
              </w:rPr>
              <w:t>3663</w:t>
            </w:r>
          </w:p>
        </w:tc>
        <w:tc>
          <w:tcPr>
            <w:tcW w:w="20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87-0398877</w:t>
            </w:r>
          </w:p>
        </w:tc>
      </w:tr>
      <w:tr>
        <w:trPr>
          <w:trHeight w:val="179"/>
        </w:trPr>
        <w:tc>
          <w:tcPr>
            <w:tcW w:w="1780" w:type="dxa"/>
            <w:vAlign w:val="bottom"/>
          </w:tcPr>
          <w:p>
            <w:pPr>
              <w:spacing w:after="0" w:line="179" w:lineRule="exact"/>
              <w:rPr>
                <w:sz w:val="20"/>
                <w:szCs w:val="20"/>
                <w:color w:val="auto"/>
              </w:rPr>
            </w:pPr>
            <w:r>
              <w:rPr>
                <w:rFonts w:ascii="Courier New" w:cs="Courier New" w:eastAsia="Courier New" w:hAnsi="Courier New"/>
                <w:sz w:val="16"/>
                <w:szCs w:val="16"/>
                <w:color w:val="auto"/>
              </w:rPr>
              <w:t>(State or other</w:t>
            </w:r>
          </w:p>
        </w:tc>
        <w:tc>
          <w:tcPr>
            <w:tcW w:w="31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(Primary Standard Industrial</w:t>
            </w:r>
          </w:p>
        </w:tc>
        <w:tc>
          <w:tcPr>
            <w:tcW w:w="20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(I.R.S. Employer</w:t>
            </w:r>
          </w:p>
        </w:tc>
      </w:tr>
      <w:tr>
        <w:trPr>
          <w:trHeight w:val="179"/>
        </w:trPr>
        <w:tc>
          <w:tcPr>
            <w:tcW w:w="1780" w:type="dxa"/>
            <w:vAlign w:val="bottom"/>
          </w:tcPr>
          <w:p>
            <w:pPr>
              <w:spacing w:after="0" w:line="179" w:lineRule="exact"/>
              <w:rPr>
                <w:sz w:val="20"/>
                <w:szCs w:val="20"/>
                <w:color w:val="auto"/>
              </w:rPr>
            </w:pPr>
            <w:r>
              <w:rPr>
                <w:rFonts w:ascii="Courier New" w:cs="Courier New" w:eastAsia="Courier New" w:hAnsi="Courier New"/>
                <w:sz w:val="16"/>
                <w:szCs w:val="16"/>
                <w:color w:val="auto"/>
              </w:rPr>
              <w:t>jurisdiction of</w:t>
            </w:r>
          </w:p>
        </w:tc>
        <w:tc>
          <w:tcPr>
            <w:tcW w:w="31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Classification Code Number)</w:t>
            </w:r>
          </w:p>
        </w:tc>
        <w:tc>
          <w:tcPr>
            <w:tcW w:w="20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Identification No.)</w:t>
            </w:r>
          </w:p>
        </w:tc>
      </w:tr>
      <w:tr>
        <w:trPr>
          <w:trHeight w:val="179"/>
        </w:trPr>
        <w:tc>
          <w:tcPr>
            <w:tcW w:w="1780" w:type="dxa"/>
            <w:vAlign w:val="bottom"/>
          </w:tcPr>
          <w:p>
            <w:pPr>
              <w:spacing w:after="0" w:line="179" w:lineRule="exact"/>
              <w:rPr>
                <w:sz w:val="20"/>
                <w:szCs w:val="20"/>
                <w:color w:val="auto"/>
              </w:rPr>
            </w:pPr>
            <w:r>
              <w:rPr>
                <w:rFonts w:ascii="Courier New" w:cs="Courier New" w:eastAsia="Courier New" w:hAnsi="Courier New"/>
                <w:sz w:val="16"/>
                <w:szCs w:val="16"/>
                <w:color w:val="auto"/>
              </w:rPr>
              <w:t>incorporation or</w:t>
            </w:r>
          </w:p>
        </w:tc>
        <w:tc>
          <w:tcPr>
            <w:tcW w:w="312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179"/>
        </w:trPr>
        <w:tc>
          <w:tcPr>
            <w:tcW w:w="178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organization)</w:t>
            </w:r>
          </w:p>
        </w:tc>
        <w:tc>
          <w:tcPr>
            <w:tcW w:w="3120" w:type="dxa"/>
            <w:vAlign w:val="bottom"/>
          </w:tcPr>
          <w:p>
            <w:pPr>
              <w:spacing w:after="0"/>
              <w:rPr>
                <w:sz w:val="15"/>
                <w:szCs w:val="15"/>
                <w:color w:val="auto"/>
              </w:rPr>
            </w:pPr>
          </w:p>
        </w:tc>
        <w:tc>
          <w:tcPr>
            <w:tcW w:w="2000" w:type="dxa"/>
            <w:vAlign w:val="bottom"/>
          </w:tcPr>
          <w:p>
            <w:pPr>
              <w:spacing w:after="0"/>
              <w:rPr>
                <w:sz w:val="15"/>
                <w:szCs w:val="15"/>
                <w:color w:val="auto"/>
              </w:rPr>
            </w:pPr>
          </w:p>
        </w:tc>
      </w:tr>
    </w:tbl>
    <w:p>
      <w:pPr>
        <w:spacing w:after="0" w:line="177" w:lineRule="exact"/>
        <w:rPr>
          <w:sz w:val="24"/>
          <w:szCs w:val="24"/>
          <w:color w:val="auto"/>
        </w:rPr>
      </w:pPr>
    </w:p>
    <w:p>
      <w:pPr>
        <w:ind w:left="2425"/>
        <w:spacing w:after="0"/>
        <w:rPr>
          <w:sz w:val="20"/>
          <w:szCs w:val="20"/>
          <w:color w:val="auto"/>
        </w:rPr>
      </w:pPr>
      <w:r>
        <w:rPr>
          <w:rFonts w:ascii="Courier New" w:cs="Courier New" w:eastAsia="Courier New" w:hAnsi="Courier New"/>
          <w:sz w:val="16"/>
          <w:szCs w:val="16"/>
          <w:color w:val="auto"/>
        </w:rPr>
        <w:t>ClearOne Communications, Inc.</w:t>
      </w:r>
    </w:p>
    <w:p>
      <w:pPr>
        <w:ind w:left="2985"/>
        <w:spacing w:after="0" w:line="236" w:lineRule="auto"/>
        <w:rPr>
          <w:sz w:val="20"/>
          <w:szCs w:val="20"/>
          <w:color w:val="auto"/>
        </w:rPr>
      </w:pPr>
      <w:r>
        <w:rPr>
          <w:rFonts w:ascii="Courier New" w:cs="Courier New" w:eastAsia="Courier New" w:hAnsi="Courier New"/>
          <w:sz w:val="16"/>
          <w:szCs w:val="16"/>
          <w:color w:val="auto"/>
        </w:rPr>
        <w:t>1825 Research Way</w:t>
      </w:r>
    </w:p>
    <w:p>
      <w:pPr>
        <w:ind w:left="2505"/>
        <w:spacing w:after="0" w:line="237" w:lineRule="auto"/>
        <w:rPr>
          <w:sz w:val="20"/>
          <w:szCs w:val="20"/>
          <w:color w:val="auto"/>
        </w:rPr>
      </w:pPr>
      <w:r>
        <w:rPr>
          <w:rFonts w:ascii="Courier New" w:cs="Courier New" w:eastAsia="Courier New" w:hAnsi="Courier New"/>
          <w:sz w:val="16"/>
          <w:szCs w:val="16"/>
          <w:color w:val="auto"/>
        </w:rPr>
        <w:t>Salt Lake City, Utah 84119</w:t>
      </w:r>
    </w:p>
    <w:p>
      <w:pPr>
        <w:ind w:left="3065"/>
        <w:spacing w:after="0" w:line="237" w:lineRule="auto"/>
        <w:rPr>
          <w:sz w:val="20"/>
          <w:szCs w:val="20"/>
          <w:color w:val="auto"/>
        </w:rPr>
      </w:pPr>
      <w:r>
        <w:rPr>
          <w:rFonts w:ascii="Courier New" w:cs="Courier New" w:eastAsia="Courier New" w:hAnsi="Courier New"/>
          <w:sz w:val="16"/>
          <w:szCs w:val="16"/>
          <w:color w:val="auto"/>
        </w:rPr>
        <w:t>(801) 975-7200</w:t>
      </w:r>
    </w:p>
    <w:p>
      <w:pPr>
        <w:ind w:left="1405"/>
        <w:spacing w:after="0" w:line="237" w:lineRule="auto"/>
        <w:rPr>
          <w:sz w:val="20"/>
          <w:szCs w:val="20"/>
          <w:color w:val="auto"/>
        </w:rPr>
      </w:pPr>
      <w:r>
        <w:rPr>
          <w:rFonts w:ascii="Courier New" w:cs="Courier New" w:eastAsia="Courier New" w:hAnsi="Courier New"/>
          <w:sz w:val="16"/>
          <w:szCs w:val="16"/>
          <w:color w:val="auto"/>
        </w:rPr>
        <w:t>(Address, including zip code, and telephone number,</w:t>
      </w:r>
    </w:p>
    <w:p>
      <w:pPr>
        <w:ind w:left="2045"/>
        <w:spacing w:after="0" w:line="237" w:lineRule="auto"/>
        <w:rPr>
          <w:sz w:val="20"/>
          <w:szCs w:val="20"/>
          <w:color w:val="auto"/>
        </w:rPr>
      </w:pPr>
      <w:r>
        <w:rPr>
          <w:rFonts w:ascii="Courier New" w:cs="Courier New" w:eastAsia="Courier New" w:hAnsi="Courier New"/>
          <w:sz w:val="16"/>
          <w:szCs w:val="16"/>
          <w:color w:val="auto"/>
        </w:rPr>
        <w:t>including area code, of registrant's</w:t>
      </w:r>
    </w:p>
    <w:p>
      <w:pPr>
        <w:ind w:left="2425"/>
        <w:spacing w:after="0" w:line="237" w:lineRule="auto"/>
        <w:rPr>
          <w:sz w:val="20"/>
          <w:szCs w:val="20"/>
          <w:color w:val="auto"/>
        </w:rPr>
      </w:pPr>
      <w:r>
        <w:rPr>
          <w:rFonts w:ascii="Courier New" w:cs="Courier New" w:eastAsia="Courier New" w:hAnsi="Courier New"/>
          <w:sz w:val="16"/>
          <w:szCs w:val="16"/>
          <w:color w:val="auto"/>
        </w:rPr>
        <w:t>principal executive offices)</w:t>
      </w:r>
    </w:p>
    <w:p>
      <w:pPr>
        <w:ind w:left="2885"/>
        <w:spacing w:after="0" w:line="237" w:lineRule="auto"/>
        <w:rPr>
          <w:sz w:val="20"/>
          <w:szCs w:val="20"/>
          <w:color w:val="auto"/>
        </w:rPr>
      </w:pPr>
      <w:r>
        <w:rPr>
          <w:rFonts w:ascii="Courier New" w:cs="Courier New" w:eastAsia="Courier New" w:hAnsi="Courier New"/>
          <w:sz w:val="16"/>
          <w:szCs w:val="16"/>
          <w:color w:val="auto"/>
        </w:rPr>
        <w:t>-------------------</w:t>
      </w:r>
    </w:p>
    <w:p>
      <w:pPr>
        <w:ind w:left="2985"/>
        <w:spacing w:after="0" w:line="237" w:lineRule="auto"/>
        <w:rPr>
          <w:sz w:val="20"/>
          <w:szCs w:val="20"/>
          <w:color w:val="auto"/>
        </w:rPr>
      </w:pPr>
      <w:r>
        <w:rPr>
          <w:rFonts w:ascii="Courier New" w:cs="Courier New" w:eastAsia="Courier New" w:hAnsi="Courier New"/>
          <w:sz w:val="16"/>
          <w:szCs w:val="16"/>
          <w:color w:val="auto"/>
        </w:rPr>
        <w:t>Frances M. Flood</w:t>
      </w:r>
    </w:p>
    <w:p>
      <w:pPr>
        <w:ind w:left="2425"/>
        <w:spacing w:after="0" w:line="236" w:lineRule="auto"/>
        <w:rPr>
          <w:sz w:val="20"/>
          <w:szCs w:val="20"/>
          <w:color w:val="auto"/>
        </w:rPr>
      </w:pPr>
      <w:r>
        <w:rPr>
          <w:rFonts w:ascii="Courier New" w:cs="Courier New" w:eastAsia="Courier New" w:hAnsi="Courier New"/>
          <w:sz w:val="16"/>
          <w:szCs w:val="16"/>
          <w:color w:val="auto"/>
        </w:rPr>
        <w:t>ClearOne Communications, Inc.</w:t>
      </w:r>
    </w:p>
    <w:p>
      <w:pPr>
        <w:ind w:left="2045"/>
        <w:spacing w:after="0" w:line="237" w:lineRule="auto"/>
        <w:rPr>
          <w:sz w:val="20"/>
          <w:szCs w:val="20"/>
          <w:color w:val="auto"/>
        </w:rPr>
      </w:pPr>
      <w:r>
        <w:rPr>
          <w:rFonts w:ascii="Courier New" w:cs="Courier New" w:eastAsia="Courier New" w:hAnsi="Courier New"/>
          <w:sz w:val="16"/>
          <w:szCs w:val="16"/>
          <w:color w:val="auto"/>
        </w:rPr>
        <w:t>President and Chief Executive Officer</w:t>
      </w:r>
    </w:p>
    <w:p>
      <w:pPr>
        <w:ind w:left="2985"/>
        <w:spacing w:after="0" w:line="237" w:lineRule="auto"/>
        <w:rPr>
          <w:sz w:val="20"/>
          <w:szCs w:val="20"/>
          <w:color w:val="auto"/>
        </w:rPr>
      </w:pPr>
      <w:r>
        <w:rPr>
          <w:rFonts w:ascii="Courier New" w:cs="Courier New" w:eastAsia="Courier New" w:hAnsi="Courier New"/>
          <w:sz w:val="16"/>
          <w:szCs w:val="16"/>
          <w:color w:val="auto"/>
        </w:rPr>
        <w:t>1825 Research Way</w:t>
      </w:r>
    </w:p>
    <w:p>
      <w:pPr>
        <w:ind w:left="2505"/>
        <w:spacing w:after="0" w:line="237" w:lineRule="auto"/>
        <w:rPr>
          <w:sz w:val="20"/>
          <w:szCs w:val="20"/>
          <w:color w:val="auto"/>
        </w:rPr>
      </w:pPr>
      <w:r>
        <w:rPr>
          <w:rFonts w:ascii="Courier New" w:cs="Courier New" w:eastAsia="Courier New" w:hAnsi="Courier New"/>
          <w:sz w:val="16"/>
          <w:szCs w:val="16"/>
          <w:color w:val="auto"/>
        </w:rPr>
        <w:t>Salt Lake City, Utah 84119</w:t>
      </w:r>
    </w:p>
    <w:p>
      <w:pPr>
        <w:ind w:left="3065"/>
        <w:spacing w:after="0" w:line="237" w:lineRule="auto"/>
        <w:rPr>
          <w:sz w:val="20"/>
          <w:szCs w:val="20"/>
          <w:color w:val="auto"/>
        </w:rPr>
      </w:pPr>
      <w:r>
        <w:rPr>
          <w:rFonts w:ascii="Courier New" w:cs="Courier New" w:eastAsia="Courier New" w:hAnsi="Courier New"/>
          <w:sz w:val="16"/>
          <w:szCs w:val="16"/>
          <w:color w:val="auto"/>
        </w:rPr>
        <w:t>(801) 975-7200</w:t>
      </w:r>
    </w:p>
    <w:p>
      <w:pPr>
        <w:jc w:val="center"/>
        <w:ind w:right="3975"/>
        <w:spacing w:after="0" w:line="237" w:lineRule="auto"/>
        <w:rPr>
          <w:sz w:val="20"/>
          <w:szCs w:val="20"/>
          <w:color w:val="auto"/>
        </w:rPr>
      </w:pPr>
      <w:r>
        <w:rPr>
          <w:rFonts w:ascii="Courier New" w:cs="Courier New" w:eastAsia="Courier New" w:hAnsi="Courier New"/>
          <w:sz w:val="16"/>
          <w:szCs w:val="16"/>
          <w:color w:val="auto"/>
        </w:rPr>
        <w:t>(Name, address, including zip code, and telephone</w:t>
      </w:r>
    </w:p>
    <w:p>
      <w:pPr>
        <w:jc w:val="center"/>
        <w:ind w:right="3975"/>
        <w:spacing w:after="0" w:line="237" w:lineRule="auto"/>
        <w:rPr>
          <w:sz w:val="20"/>
          <w:szCs w:val="20"/>
          <w:color w:val="auto"/>
        </w:rPr>
      </w:pPr>
      <w:r>
        <w:rPr>
          <w:rFonts w:ascii="Courier New" w:cs="Courier New" w:eastAsia="Courier New" w:hAnsi="Courier New"/>
          <w:sz w:val="16"/>
          <w:szCs w:val="16"/>
          <w:color w:val="auto"/>
        </w:rPr>
        <w:t>number, including area code, of agent for service</w:t>
      </w:r>
    </w:p>
    <w:p>
      <w:pPr>
        <w:jc w:val="center"/>
        <w:ind w:right="3975"/>
        <w:spacing w:after="0" w:line="237" w:lineRule="auto"/>
        <w:rPr>
          <w:sz w:val="20"/>
          <w:szCs w:val="20"/>
          <w:color w:val="auto"/>
        </w:rPr>
      </w:pPr>
      <w:r>
        <w:rPr>
          <w:rFonts w:ascii="Courier New" w:cs="Courier New" w:eastAsia="Courier New" w:hAnsi="Courier New"/>
          <w:sz w:val="16"/>
          <w:szCs w:val="16"/>
          <w:color w:val="auto"/>
        </w:rPr>
        <w:t>of each registrant)</w:t>
      </w:r>
    </w:p>
    <w:p>
      <w:pPr>
        <w:ind w:left="2885"/>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4"/>
          <w:szCs w:val="24"/>
          <w:color w:val="auto"/>
        </w:rPr>
      </w:pPr>
    </w:p>
    <w:p>
      <w:pPr>
        <w:jc w:val="center"/>
        <w:ind w:right="3975"/>
        <w:spacing w:after="0"/>
        <w:rPr>
          <w:sz w:val="20"/>
          <w:szCs w:val="20"/>
          <w:color w:val="auto"/>
        </w:rPr>
      </w:pPr>
      <w:r>
        <w:rPr>
          <w:rFonts w:ascii="Courier New" w:cs="Courier New" w:eastAsia="Courier New" w:hAnsi="Courier New"/>
          <w:sz w:val="16"/>
          <w:szCs w:val="16"/>
          <w:color w:val="auto"/>
        </w:rPr>
        <w:t>With a copy to:</w:t>
      </w:r>
    </w:p>
    <w:p>
      <w:pPr>
        <w:ind w:left="3165"/>
        <w:spacing w:after="0" w:line="236" w:lineRule="auto"/>
        <w:rPr>
          <w:sz w:val="20"/>
          <w:szCs w:val="20"/>
          <w:color w:val="auto"/>
        </w:rPr>
      </w:pPr>
      <w:r>
        <w:rPr>
          <w:rFonts w:ascii="Courier New" w:cs="Courier New" w:eastAsia="Courier New" w:hAnsi="Courier New"/>
          <w:sz w:val="16"/>
          <w:szCs w:val="16"/>
          <w:color w:val="auto"/>
        </w:rPr>
        <w:t>Bruce Czachor</w:t>
      </w:r>
    </w:p>
    <w:p>
      <w:pPr>
        <w:ind w:left="2885"/>
        <w:spacing w:after="0" w:line="237" w:lineRule="auto"/>
        <w:rPr>
          <w:sz w:val="20"/>
          <w:szCs w:val="20"/>
          <w:color w:val="auto"/>
        </w:rPr>
      </w:pPr>
      <w:r>
        <w:rPr>
          <w:rFonts w:ascii="Courier New" w:cs="Courier New" w:eastAsia="Courier New" w:hAnsi="Courier New"/>
          <w:sz w:val="16"/>
          <w:szCs w:val="16"/>
          <w:color w:val="auto"/>
        </w:rPr>
        <w:t>Shearman &amp; Sterling</w:t>
      </w:r>
    </w:p>
    <w:p>
      <w:pPr>
        <w:ind w:left="3065"/>
        <w:spacing w:after="0" w:line="237" w:lineRule="auto"/>
        <w:rPr>
          <w:sz w:val="20"/>
          <w:szCs w:val="20"/>
          <w:color w:val="auto"/>
        </w:rPr>
      </w:pPr>
      <w:r>
        <w:rPr>
          <w:rFonts w:ascii="Courier New" w:cs="Courier New" w:eastAsia="Courier New" w:hAnsi="Courier New"/>
          <w:sz w:val="16"/>
          <w:szCs w:val="16"/>
          <w:color w:val="auto"/>
        </w:rPr>
        <w:t>1080 Marsh Road</w:t>
      </w:r>
    </w:p>
    <w:p>
      <w:pPr>
        <w:ind w:left="2785"/>
        <w:spacing w:after="0" w:line="237" w:lineRule="auto"/>
        <w:rPr>
          <w:sz w:val="20"/>
          <w:szCs w:val="20"/>
          <w:color w:val="auto"/>
        </w:rPr>
      </w:pPr>
      <w:r>
        <w:rPr>
          <w:rFonts w:ascii="Courier New" w:cs="Courier New" w:eastAsia="Courier New" w:hAnsi="Courier New"/>
          <w:sz w:val="16"/>
          <w:szCs w:val="16"/>
          <w:color w:val="auto"/>
        </w:rPr>
        <w:t>Menlo Park, CA 94025</w:t>
      </w:r>
    </w:p>
    <w:p>
      <w:pPr>
        <w:ind w:left="3065"/>
        <w:spacing w:after="0" w:line="237" w:lineRule="auto"/>
        <w:rPr>
          <w:sz w:val="20"/>
          <w:szCs w:val="20"/>
          <w:color w:val="auto"/>
        </w:rPr>
      </w:pPr>
      <w:r>
        <w:rPr>
          <w:rFonts w:ascii="Courier New" w:cs="Courier New" w:eastAsia="Courier New" w:hAnsi="Courier New"/>
          <w:sz w:val="16"/>
          <w:szCs w:val="16"/>
          <w:color w:val="auto"/>
        </w:rPr>
        <w:t>(650) 838-3600</w:t>
      </w:r>
    </w:p>
    <w:p>
      <w:pPr>
        <w:spacing w:after="0" w:line="183" w:lineRule="exact"/>
        <w:rPr>
          <w:sz w:val="24"/>
          <w:szCs w:val="24"/>
          <w:color w:val="auto"/>
        </w:rPr>
      </w:pPr>
    </w:p>
    <w:p>
      <w:pPr>
        <w:ind w:left="5" w:right="4180" w:firstLine="465"/>
        <w:spacing w:after="0" w:line="234" w:lineRule="auto"/>
        <w:rPr>
          <w:sz w:val="20"/>
          <w:szCs w:val="20"/>
          <w:color w:val="auto"/>
        </w:rPr>
      </w:pPr>
      <w:r>
        <w:rPr>
          <w:rFonts w:ascii="Courier New" w:cs="Courier New" w:eastAsia="Courier New" w:hAnsi="Courier New"/>
          <w:sz w:val="16"/>
          <w:szCs w:val="16"/>
          <w:color w:val="auto"/>
        </w:rPr>
        <w:t>Approximate date of commencement of proposed sale to the public: From time to time after this registration statement becomes effective.</w:t>
      </w:r>
    </w:p>
    <w:p>
      <w:pPr>
        <w:spacing w:after="0" w:line="4" w:lineRule="exact"/>
        <w:rPr>
          <w:sz w:val="24"/>
          <w:szCs w:val="24"/>
          <w:color w:val="auto"/>
        </w:rPr>
      </w:pPr>
    </w:p>
    <w:p>
      <w:pPr>
        <w:ind w:left="5" w:right="4180" w:firstLine="465"/>
        <w:spacing w:after="0" w:line="235" w:lineRule="auto"/>
        <w:rPr>
          <w:sz w:val="20"/>
          <w:szCs w:val="20"/>
          <w:color w:val="auto"/>
        </w:rPr>
      </w:pPr>
      <w:r>
        <w:rPr>
          <w:rFonts w:ascii="Courier New" w:cs="Courier New" w:eastAsia="Courier New" w:hAnsi="Courier New"/>
          <w:sz w:val="16"/>
          <w:szCs w:val="16"/>
          <w:color w:val="auto"/>
        </w:rPr>
        <w:t>If the only securities being registered on this Form are being offered pursuant to dividend or interest reinvestment plans, please check the following box. [ ]</w:t>
      </w:r>
    </w:p>
    <w:p>
      <w:pPr>
        <w:spacing w:after="0" w:line="4" w:lineRule="exact"/>
        <w:rPr>
          <w:sz w:val="24"/>
          <w:szCs w:val="24"/>
          <w:color w:val="auto"/>
        </w:rPr>
      </w:pPr>
    </w:p>
    <w:p>
      <w:pPr>
        <w:ind w:left="5" w:right="4080" w:firstLine="465"/>
        <w:spacing w:after="0" w:line="235" w:lineRule="auto"/>
        <w:rPr>
          <w:sz w:val="20"/>
          <w:szCs w:val="20"/>
          <w:color w:val="auto"/>
        </w:rPr>
      </w:pPr>
      <w:r>
        <w:rPr>
          <w:rFonts w:ascii="Courier New" w:cs="Courier New" w:eastAsia="Courier New" w:hAnsi="Courier New"/>
          <w:sz w:val="16"/>
          <w:szCs w:val="16"/>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6" w:lineRule="exact"/>
        <w:rPr>
          <w:sz w:val="24"/>
          <w:szCs w:val="24"/>
          <w:color w:val="auto"/>
        </w:rPr>
      </w:pPr>
    </w:p>
    <w:p>
      <w:pPr>
        <w:jc w:val="both"/>
        <w:ind w:left="5" w:right="4260" w:firstLine="465"/>
        <w:spacing w:after="0" w:line="235" w:lineRule="auto"/>
        <w:rPr>
          <w:sz w:val="20"/>
          <w:szCs w:val="20"/>
          <w:color w:val="auto"/>
        </w:rPr>
      </w:pPr>
      <w:r>
        <w:rPr>
          <w:rFonts w:ascii="Courier New" w:cs="Courier New" w:eastAsia="Courier New" w:hAnsi="Courier New"/>
          <w:sz w:val="16"/>
          <w:szCs w:val="16"/>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spacing w:after="0" w:line="6" w:lineRule="exact"/>
        <w:rPr>
          <w:sz w:val="24"/>
          <w:szCs w:val="24"/>
          <w:color w:val="auto"/>
        </w:rPr>
      </w:pPr>
    </w:p>
    <w:p>
      <w:pPr>
        <w:jc w:val="both"/>
        <w:ind w:left="5" w:right="4360" w:firstLine="465"/>
        <w:spacing w:after="0" w:line="235" w:lineRule="auto"/>
        <w:rPr>
          <w:sz w:val="20"/>
          <w:szCs w:val="20"/>
          <w:color w:val="auto"/>
        </w:rPr>
      </w:pPr>
      <w:r>
        <w:rPr>
          <w:rFonts w:ascii="Courier New" w:cs="Courier New" w:eastAsia="Courier New" w:hAnsi="Courier New"/>
          <w:sz w:val="16"/>
          <w:szCs w:val="16"/>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6" w:lineRule="exact"/>
        <w:rPr>
          <w:sz w:val="24"/>
          <w:szCs w:val="24"/>
          <w:color w:val="auto"/>
        </w:rPr>
      </w:pPr>
    </w:p>
    <w:p>
      <w:pPr>
        <w:ind w:left="5" w:right="4180" w:firstLine="465"/>
        <w:spacing w:after="0" w:line="234" w:lineRule="auto"/>
        <w:rPr>
          <w:sz w:val="20"/>
          <w:szCs w:val="20"/>
          <w:color w:val="auto"/>
        </w:rPr>
      </w:pPr>
      <w:r>
        <w:rPr>
          <w:rFonts w:ascii="Courier New" w:cs="Courier New" w:eastAsia="Courier New" w:hAnsi="Courier New"/>
          <w:sz w:val="16"/>
          <w:szCs w:val="16"/>
          <w:color w:val="auto"/>
        </w:rPr>
        <w:t>If delivery of the prospectus is expected to be made pursuant to Rule 434, please check the following box. [ ]</w:t>
      </w:r>
    </w:p>
    <w:p>
      <w:pPr>
        <w:spacing w:after="0" w:line="200" w:lineRule="exact"/>
        <w:rPr>
          <w:sz w:val="24"/>
          <w:szCs w:val="24"/>
          <w:color w:val="auto"/>
        </w:rPr>
      </w:pPr>
    </w:p>
    <w:p>
      <w:pPr>
        <w:spacing w:after="0" w:line="335" w:lineRule="exact"/>
        <w:rPr>
          <w:sz w:val="24"/>
          <w:szCs w:val="24"/>
          <w:color w:val="auto"/>
        </w:rPr>
      </w:pPr>
    </w:p>
    <w:p>
      <w:pPr>
        <w:ind w:left="2325"/>
        <w:spacing w:after="0"/>
        <w:rPr>
          <w:sz w:val="20"/>
          <w:szCs w:val="20"/>
          <w:color w:val="auto"/>
        </w:rPr>
      </w:pPr>
      <w:r>
        <w:rPr>
          <w:rFonts w:ascii="Courier New" w:cs="Courier New" w:eastAsia="Courier New" w:hAnsi="Courier New"/>
          <w:sz w:val="16"/>
          <w:szCs w:val="16"/>
          <w:color w:val="auto"/>
        </w:rPr>
        <w:t>CALCULATION OF REGISTRATION FEE</w:t>
      </w:r>
    </w:p>
    <w:p>
      <w:pPr>
        <w:spacing w:after="0" w:line="362" w:lineRule="exact"/>
        <w:rPr>
          <w:sz w:val="24"/>
          <w:szCs w:val="24"/>
          <w:color w:val="auto"/>
        </w:rPr>
      </w:pPr>
    </w:p>
    <w:p>
      <w:pPr>
        <w:ind w:left="5"/>
        <w:spacing w:after="0"/>
        <w:rPr>
          <w:sz w:val="20"/>
          <w:szCs w:val="20"/>
          <w:color w:val="auto"/>
        </w:rPr>
      </w:pPr>
      <w:r>
        <w:rPr>
          <w:rFonts w:ascii="Courier New" w:cs="Courier New" w:eastAsia="Courier New" w:hAnsi="Courier New"/>
          <w:sz w:val="14"/>
          <w:szCs w:val="14"/>
          <w:color w:val="auto"/>
        </w:rPr>
        <w:t>================================================ ================ ===================== =================== ==============</w:t>
      </w:r>
    </w:p>
    <w:p>
      <w:pPr>
        <w:spacing w:after="0" w:line="14" w:lineRule="exact"/>
        <w:rPr>
          <w:sz w:val="24"/>
          <w:szCs w:val="24"/>
          <w:color w:val="auto"/>
        </w:rPr>
      </w:pPr>
    </w:p>
    <w:tbl>
      <w:tblPr>
        <w:tblLayout w:type="fixed"/>
        <w:tblInd w:w="5" w:type="dxa"/>
        <w:tblCellMar>
          <w:top w:w="0" w:type="dxa"/>
          <w:left w:w="0" w:type="dxa"/>
          <w:bottom w:w="0" w:type="dxa"/>
          <w:right w:w="0" w:type="dxa"/>
        </w:tblCellMar>
      </w:tblPr>
      <w:tr>
        <w:trPr>
          <w:trHeight w:val="181"/>
        </w:trPr>
        <w:tc>
          <w:tcPr>
            <w:tcW w:w="19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720" w:type="dxa"/>
            <w:vAlign w:val="bottom"/>
          </w:tcPr>
          <w:p>
            <w:pPr>
              <w:ind w:left="420"/>
              <w:spacing w:after="0"/>
              <w:rPr>
                <w:sz w:val="20"/>
                <w:szCs w:val="20"/>
                <w:color w:val="auto"/>
              </w:rPr>
            </w:pPr>
            <w:r>
              <w:rPr>
                <w:rFonts w:ascii="Courier New" w:cs="Courier New" w:eastAsia="Courier New" w:hAnsi="Courier New"/>
                <w:sz w:val="16"/>
                <w:szCs w:val="16"/>
                <w:color w:val="auto"/>
              </w:rPr>
              <w:t>Proposed</w:t>
            </w:r>
          </w:p>
        </w:tc>
        <w:tc>
          <w:tcPr>
            <w:tcW w:w="194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9"/>
        </w:trPr>
        <w:tc>
          <w:tcPr>
            <w:tcW w:w="19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7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Maximum Offering</w:t>
            </w:r>
          </w:p>
        </w:tc>
        <w:tc>
          <w:tcPr>
            <w:tcW w:w="194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w w:val="96"/>
              </w:rPr>
              <w:t>Proposed Maximum</w:t>
            </w:r>
          </w:p>
        </w:tc>
        <w:tc>
          <w:tcPr>
            <w:tcW w:w="15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Amount of</w:t>
            </w:r>
          </w:p>
        </w:tc>
      </w:tr>
      <w:tr>
        <w:trPr>
          <w:trHeight w:val="179"/>
        </w:trPr>
        <w:tc>
          <w:tcPr>
            <w:tcW w:w="1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Title of</w:t>
            </w:r>
          </w:p>
        </w:tc>
        <w:tc>
          <w:tcPr>
            <w:tcW w:w="27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each Class of</w:t>
            </w:r>
          </w:p>
        </w:tc>
        <w:tc>
          <w:tcPr>
            <w:tcW w:w="1640" w:type="dxa"/>
            <w:vAlign w:val="bottom"/>
          </w:tcPr>
          <w:p>
            <w:pPr>
              <w:spacing w:after="0" w:line="179" w:lineRule="exact"/>
              <w:rPr>
                <w:sz w:val="20"/>
                <w:szCs w:val="20"/>
                <w:color w:val="auto"/>
              </w:rPr>
            </w:pPr>
            <w:r>
              <w:rPr>
                <w:rFonts w:ascii="Courier New" w:cs="Courier New" w:eastAsia="Courier New" w:hAnsi="Courier New"/>
                <w:sz w:val="16"/>
                <w:szCs w:val="16"/>
                <w:color w:val="auto"/>
              </w:rPr>
              <w:t>Amount to be</w:t>
            </w:r>
          </w:p>
        </w:tc>
        <w:tc>
          <w:tcPr>
            <w:tcW w:w="1720" w:type="dxa"/>
            <w:vAlign w:val="bottom"/>
          </w:tcPr>
          <w:p>
            <w:pPr>
              <w:ind w:left="500"/>
              <w:spacing w:after="0" w:line="179" w:lineRule="exact"/>
              <w:rPr>
                <w:sz w:val="20"/>
                <w:szCs w:val="20"/>
                <w:color w:val="auto"/>
              </w:rPr>
            </w:pPr>
            <w:r>
              <w:rPr>
                <w:rFonts w:ascii="Courier New" w:cs="Courier New" w:eastAsia="Courier New" w:hAnsi="Courier New"/>
                <w:sz w:val="16"/>
                <w:szCs w:val="16"/>
                <w:color w:val="auto"/>
              </w:rPr>
              <w:t>Price</w:t>
            </w:r>
          </w:p>
        </w:tc>
        <w:tc>
          <w:tcPr>
            <w:tcW w:w="19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Aggregate</w:t>
            </w:r>
          </w:p>
        </w:tc>
        <w:tc>
          <w:tcPr>
            <w:tcW w:w="158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Registration</w:t>
            </w:r>
          </w:p>
        </w:tc>
      </w:tr>
      <w:tr>
        <w:trPr>
          <w:trHeight w:val="179"/>
        </w:trPr>
        <w:tc>
          <w:tcPr>
            <w:tcW w:w="1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Securities</w:t>
            </w:r>
          </w:p>
        </w:tc>
        <w:tc>
          <w:tcPr>
            <w:tcW w:w="27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to be Registered</w:t>
            </w:r>
          </w:p>
        </w:tc>
        <w:tc>
          <w:tcPr>
            <w:tcW w:w="16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Registered</w:t>
            </w:r>
          </w:p>
        </w:tc>
        <w:tc>
          <w:tcPr>
            <w:tcW w:w="17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Per Security (1)</w:t>
            </w:r>
          </w:p>
        </w:tc>
        <w:tc>
          <w:tcPr>
            <w:tcW w:w="194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w w:val="97"/>
              </w:rPr>
              <w:t>Offering Price (1)</w:t>
            </w:r>
          </w:p>
        </w:tc>
        <w:tc>
          <w:tcPr>
            <w:tcW w:w="15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Fee (10)</w:t>
            </w:r>
          </w:p>
        </w:tc>
      </w:tr>
      <w:tr>
        <w:trPr>
          <w:trHeight w:val="179"/>
        </w:trPr>
        <w:tc>
          <w:tcPr>
            <w:tcW w:w="46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 ------------------------------------------------</w:t>
            </w:r>
          </w:p>
        </w:tc>
        <w:tc>
          <w:tcPr>
            <w:tcW w:w="16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w:t>
            </w:r>
          </w:p>
        </w:tc>
        <w:tc>
          <w:tcPr>
            <w:tcW w:w="5240" w:type="dxa"/>
            <w:vAlign w:val="bottom"/>
            <w:gridSpan w:val="3"/>
          </w:tcPr>
          <w:p>
            <w:pPr>
              <w:ind w:left="40"/>
              <w:spacing w:after="0" w:line="179" w:lineRule="exact"/>
              <w:rPr>
                <w:sz w:val="20"/>
                <w:szCs w:val="20"/>
                <w:color w:val="auto"/>
              </w:rPr>
            </w:pPr>
            <w:r>
              <w:rPr>
                <w:rFonts w:ascii="Courier New" w:cs="Courier New" w:eastAsia="Courier New" w:hAnsi="Courier New"/>
                <w:sz w:val="16"/>
                <w:szCs w:val="16"/>
                <w:color w:val="auto"/>
                <w:w w:val="96"/>
              </w:rPr>
              <w:t>--------------------- ------------------- --------------</w:t>
            </w:r>
          </w:p>
        </w:tc>
      </w:tr>
    </w:tbl>
    <w:p>
      <w:pPr>
        <w:spacing w:after="0" w:line="177" w:lineRule="exact"/>
        <w:rPr>
          <w:sz w:val="24"/>
          <w:szCs w:val="24"/>
          <w:color w:val="auto"/>
        </w:rPr>
      </w:pPr>
    </w:p>
    <w:p>
      <w:pPr>
        <w:ind w:left="5"/>
        <w:spacing w:after="0"/>
        <w:rPr>
          <w:sz w:val="20"/>
          <w:szCs w:val="20"/>
          <w:color w:val="auto"/>
        </w:rPr>
      </w:pPr>
      <w:r>
        <w:rPr>
          <w:rFonts w:ascii="Courier New" w:cs="Courier New" w:eastAsia="Courier New" w:hAnsi="Courier New"/>
          <w:sz w:val="16"/>
          <w:szCs w:val="16"/>
          <w:color w:val="auto"/>
        </w:rPr>
        <w:t>PRIMARY OFFERING</w:t>
      </w:r>
    </w:p>
    <w:p>
      <w:pPr>
        <w:ind w:left="185" w:hanging="185"/>
        <w:spacing w:after="0" w:line="236" w:lineRule="auto"/>
        <w:tabs>
          <w:tab w:leader="none" w:pos="18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Debt Securities of ClearOne (3) (5)........</w:t>
      </w:r>
    </w:p>
    <w:tbl>
      <w:tblPr>
        <w:tblLayout w:type="fixed"/>
        <w:tblInd w:w="5" w:type="dxa"/>
        <w:tblCellMar>
          <w:top w:w="0" w:type="dxa"/>
          <w:left w:w="0" w:type="dxa"/>
          <w:bottom w:w="0" w:type="dxa"/>
          <w:right w:w="0" w:type="dxa"/>
        </w:tblCellMar>
      </w:tblPr>
      <w:tr>
        <w:trPr>
          <w:trHeight w:val="180"/>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rPr>
              <w:t>Common Stock of ClearOne (4) (5)...........</w:t>
            </w:r>
          </w:p>
        </w:tc>
        <w:tc>
          <w:tcPr>
            <w:tcW w:w="158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(2)</w:t>
            </w:r>
          </w:p>
        </w:tc>
        <w:tc>
          <w:tcPr>
            <w:tcW w:w="186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(2)</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w:t>
            </w:r>
          </w:p>
        </w:tc>
      </w:tr>
    </w:tbl>
    <w:p>
      <w:pPr>
        <w:ind w:left="5"/>
        <w:spacing w:after="0" w:line="236" w:lineRule="auto"/>
        <w:rPr>
          <w:sz w:val="20"/>
          <w:szCs w:val="20"/>
          <w:color w:val="auto"/>
        </w:rPr>
      </w:pPr>
      <w:r>
        <w:rPr>
          <w:rFonts w:ascii="Courier New" w:cs="Courier New" w:eastAsia="Courier New" w:hAnsi="Courier New"/>
          <w:sz w:val="16"/>
          <w:szCs w:val="16"/>
          <w:color w:val="auto"/>
        </w:rPr>
        <w:t>Warrants of ClearOne (6)...................</w:t>
      </w:r>
    </w:p>
    <w:p>
      <w:pPr>
        <w:spacing w:after="0" w:line="4" w:lineRule="exact"/>
        <w:rPr>
          <w:sz w:val="24"/>
          <w:szCs w:val="24"/>
          <w:color w:val="auto"/>
        </w:rPr>
      </w:pPr>
    </w:p>
    <w:p>
      <w:pPr>
        <w:ind w:left="5"/>
        <w:spacing w:after="0"/>
        <w:rPr>
          <w:sz w:val="20"/>
          <w:szCs w:val="20"/>
          <w:color w:val="auto"/>
        </w:rPr>
      </w:pPr>
      <w:r>
        <w:rPr>
          <w:rFonts w:ascii="Courier New" w:cs="Courier New" w:eastAsia="Courier New" w:hAnsi="Courier New"/>
          <w:sz w:val="14"/>
          <w:szCs w:val="14"/>
          <w:color w:val="auto"/>
        </w:rPr>
        <w:t>- ------------------------------------------------ ---------------- --------------------- ------------------- --------------</w:t>
      </w:r>
    </w:p>
    <w:p>
      <w:pPr>
        <w:spacing w:after="0" w:line="14" w:lineRule="exact"/>
        <w:rPr>
          <w:sz w:val="24"/>
          <w:szCs w:val="24"/>
          <w:color w:val="auto"/>
        </w:rPr>
      </w:pPr>
    </w:p>
    <w:tbl>
      <w:tblPr>
        <w:tblLayout w:type="fixed"/>
        <w:tblInd w:w="5" w:type="dxa"/>
        <w:tblCellMar>
          <w:top w:w="0" w:type="dxa"/>
          <w:left w:w="0" w:type="dxa"/>
          <w:bottom w:w="0" w:type="dxa"/>
          <w:right w:w="0" w:type="dxa"/>
        </w:tblCellMar>
      </w:tblPr>
      <w:tr>
        <w:trPr>
          <w:trHeight w:val="181"/>
        </w:trPr>
        <w:tc>
          <w:tcPr>
            <w:tcW w:w="432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20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$100,000,000</w:t>
            </w:r>
          </w:p>
        </w:tc>
        <w:tc>
          <w:tcPr>
            <w:tcW w:w="154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100%</w:t>
            </w:r>
          </w:p>
        </w:tc>
        <w:tc>
          <w:tcPr>
            <w:tcW w:w="20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$100,000,000</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$9,200</w:t>
            </w:r>
          </w:p>
        </w:tc>
      </w:tr>
    </w:tbl>
    <w:p>
      <w:pPr>
        <w:spacing w:after="0" w:line="4" w:lineRule="exact"/>
        <w:rPr>
          <w:sz w:val="24"/>
          <w:szCs w:val="24"/>
          <w:color w:val="auto"/>
        </w:rPr>
      </w:pPr>
    </w:p>
    <w:p>
      <w:pPr>
        <w:ind w:left="185" w:hanging="185"/>
        <w:spacing w:after="0"/>
        <w:tabs>
          <w:tab w:leader="none" w:pos="185"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w:t>
      </w:r>
    </w:p>
    <w:p>
      <w:pPr>
        <w:spacing w:after="0" w:line="16" w:lineRule="exact"/>
        <w:rPr>
          <w:rFonts w:ascii="Courier New" w:cs="Courier New" w:eastAsia="Courier New" w:hAnsi="Courier New"/>
          <w:sz w:val="14"/>
          <w:szCs w:val="14"/>
          <w:color w:val="auto"/>
        </w:rPr>
      </w:pPr>
    </w:p>
    <w:p>
      <w:pPr>
        <w:ind w:left="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SECONDARY OFFERING</w:t>
      </w:r>
    </w:p>
    <w:p>
      <w:pPr>
        <w:spacing w:after="0" w:line="4"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w:t>
      </w:r>
    </w:p>
    <w:p>
      <w:pPr>
        <w:spacing w:after="0" w:line="14" w:lineRule="exact"/>
        <w:rPr>
          <w:sz w:val="24"/>
          <w:szCs w:val="24"/>
          <w:color w:val="auto"/>
        </w:rPr>
      </w:pPr>
    </w:p>
    <w:p>
      <w:pPr>
        <w:ind w:left="5"/>
        <w:spacing w:after="0"/>
        <w:tabs>
          <w:tab w:leader="none" w:pos="4544" w:val="left"/>
          <w:tab w:leader="none" w:pos="6584" w:val="left"/>
          <w:tab w:leader="none" w:pos="8164" w:val="left"/>
          <w:tab w:leader="none" w:pos="10204" w:val="left"/>
        </w:tabs>
        <w:rPr>
          <w:sz w:val="20"/>
          <w:szCs w:val="20"/>
          <w:color w:val="auto"/>
        </w:rPr>
      </w:pPr>
      <w:r>
        <w:rPr>
          <w:rFonts w:ascii="Courier New" w:cs="Courier New" w:eastAsia="Courier New" w:hAnsi="Courier New"/>
          <w:sz w:val="16"/>
          <w:szCs w:val="16"/>
          <w:color w:val="auto"/>
        </w:rPr>
        <w:t>Common Stock of ClearOne (7)...............</w:t>
      </w:r>
      <w:r>
        <w:rPr>
          <w:sz w:val="20"/>
          <w:szCs w:val="20"/>
          <w:color w:val="auto"/>
        </w:rPr>
        <w:tab/>
      </w:r>
      <w:r>
        <w:rPr>
          <w:rFonts w:ascii="Courier New" w:cs="Courier New" w:eastAsia="Courier New" w:hAnsi="Courier New"/>
          <w:sz w:val="16"/>
          <w:szCs w:val="16"/>
          <w:color w:val="auto"/>
        </w:rPr>
        <w:t>1,000,000</w:t>
      </w:r>
      <w:r>
        <w:rPr>
          <w:sz w:val="20"/>
          <w:szCs w:val="20"/>
          <w:color w:val="auto"/>
        </w:rPr>
        <w:tab/>
      </w:r>
      <w:r>
        <w:rPr>
          <w:rFonts w:ascii="Courier New" w:cs="Courier New" w:eastAsia="Courier New" w:hAnsi="Courier New"/>
          <w:sz w:val="16"/>
          <w:szCs w:val="16"/>
          <w:color w:val="auto"/>
        </w:rPr>
        <w:t>$12.67 (8)</w:t>
      </w:r>
      <w:r>
        <w:rPr>
          <w:sz w:val="20"/>
          <w:szCs w:val="20"/>
          <w:color w:val="auto"/>
        </w:rPr>
        <w:tab/>
      </w:r>
      <w:r>
        <w:rPr>
          <w:rFonts w:ascii="Courier New" w:cs="Courier New" w:eastAsia="Courier New" w:hAnsi="Courier New"/>
          <w:sz w:val="16"/>
          <w:szCs w:val="16"/>
          <w:color w:val="auto"/>
        </w:rPr>
        <w:t>$12,670,000 (8)</w:t>
      </w:r>
      <w:r>
        <w:rPr>
          <w:sz w:val="20"/>
          <w:szCs w:val="20"/>
          <w:color w:val="auto"/>
        </w:rPr>
        <w:tab/>
      </w:r>
      <w:r>
        <w:rPr>
          <w:rFonts w:ascii="Courier New" w:cs="Courier New" w:eastAsia="Courier New" w:hAnsi="Courier New"/>
          <w:sz w:val="14"/>
          <w:szCs w:val="14"/>
          <w:color w:val="auto"/>
        </w:rPr>
        <w:t>$1,166 (8)</w:t>
      </w:r>
    </w:p>
    <w:p>
      <w:pPr>
        <w:ind w:left="4925"/>
        <w:spacing w:after="0" w:line="236" w:lineRule="auto"/>
        <w:rPr>
          <w:sz w:val="20"/>
          <w:szCs w:val="20"/>
          <w:color w:val="auto"/>
        </w:rPr>
      </w:pPr>
      <w:r>
        <w:rPr>
          <w:rFonts w:ascii="Courier New" w:cs="Courier New" w:eastAsia="Courier New" w:hAnsi="Courier New"/>
          <w:sz w:val="16"/>
          <w:szCs w:val="16"/>
          <w:color w:val="auto"/>
        </w:rPr>
        <w:t>shares</w:t>
      </w:r>
    </w:p>
    <w:p>
      <w:pPr>
        <w:spacing w:after="0" w:line="4" w:lineRule="exact"/>
        <w:rPr>
          <w:sz w:val="24"/>
          <w:szCs w:val="24"/>
          <w:color w:val="auto"/>
        </w:rPr>
      </w:pPr>
    </w:p>
    <w:p>
      <w:pPr>
        <w:ind w:left="5"/>
        <w:spacing w:after="0"/>
        <w:rPr>
          <w:sz w:val="20"/>
          <w:szCs w:val="20"/>
          <w:color w:val="auto"/>
        </w:rPr>
      </w:pPr>
      <w:r>
        <w:rPr>
          <w:rFonts w:ascii="Courier New" w:cs="Courier New" w:eastAsia="Courier New" w:hAnsi="Courier New"/>
          <w:sz w:val="14"/>
          <w:szCs w:val="14"/>
          <w:color w:val="auto"/>
        </w:rPr>
        <w:t>- ------------------------------------------------ ---------------- --------------------- ------------------- --------------</w:t>
      </w:r>
    </w:p>
    <w:p>
      <w:pPr>
        <w:sectPr>
          <w:pgSz w:w="11900" w:h="16875" w:orient="portrait"/>
          <w:cols w:equalWidth="0" w:num="1">
            <w:col w:w="11525"/>
          </w:cols>
          <w:pgMar w:left="235" w:top="237" w:right="139" w:bottom="0" w:gutter="0" w:footer="0" w:header="0"/>
        </w:sectPr>
      </w:pPr>
    </w:p>
    <w:bookmarkStart w:id="1" w:name="page2"/>
    <w:bookmarkEnd w:id="1"/>
    <w:p>
      <w:pPr>
        <w:ind w:left="5" w:right="4000" w:firstLine="837"/>
        <w:spacing w:after="0" w:line="236" w:lineRule="auto"/>
        <w:rPr>
          <w:sz w:val="20"/>
          <w:szCs w:val="20"/>
          <w:color w:val="auto"/>
        </w:rPr>
      </w:pPr>
      <w:r>
        <w:rPr>
          <w:rFonts w:ascii="Courier New" w:cs="Courier New" w:eastAsia="Courier New" w:hAnsi="Courier New"/>
          <w:sz w:val="16"/>
          <w:szCs w:val="16"/>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Section 8(a), may determine.</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845" w:right="3900" w:hanging="845"/>
        <w:spacing w:after="0" w:line="275" w:lineRule="auto"/>
        <w:tabs>
          <w:tab w:leader="none" w:pos="845"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the primary offering, we will determine the proposed maximum offering price per security from time to time in connection with issuances of securities registered hereunder. In addition, with respect to the primary offering, the proposed maximum aggregate offering price has been estimated solely for the purpose of calculating the registration fee pursuant to Rule 457(o) under the Securities Act.</w:t>
      </w:r>
    </w:p>
    <w:p>
      <w:pPr>
        <w:spacing w:after="0" w:line="155" w:lineRule="exact"/>
        <w:rPr>
          <w:rFonts w:ascii="Courier New" w:cs="Courier New" w:eastAsia="Courier New" w:hAnsi="Courier New"/>
          <w:sz w:val="14"/>
          <w:szCs w:val="14"/>
          <w:color w:val="auto"/>
        </w:rPr>
      </w:pPr>
    </w:p>
    <w:p>
      <w:pPr>
        <w:ind w:left="845" w:hanging="845"/>
        <w:spacing w:after="0"/>
        <w:tabs>
          <w:tab w:leader="none" w:pos="84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applicable pursuant to General Instruction II.D of Form S-3.</w:t>
      </w:r>
    </w:p>
    <w:p>
      <w:pPr>
        <w:spacing w:after="0" w:line="182" w:lineRule="exact"/>
        <w:rPr>
          <w:rFonts w:ascii="Courier New" w:cs="Courier New" w:eastAsia="Courier New" w:hAnsi="Courier New"/>
          <w:sz w:val="16"/>
          <w:szCs w:val="16"/>
          <w:color w:val="auto"/>
        </w:rPr>
      </w:pPr>
    </w:p>
    <w:p>
      <w:pPr>
        <w:ind w:left="845" w:right="3900" w:hanging="845"/>
        <w:spacing w:after="0" w:line="236" w:lineRule="auto"/>
        <w:tabs>
          <w:tab w:leader="none" w:pos="84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note (9) below, there is being registered hereunder an indeterminate principal amount of debt securities of ClearOne as may be offered or sold from time to time by us. If any debt securities are issued at an original issue discount, then the offering price shall be in such greater principal amount as shall result in an aggregate initial offering price not to exceed $100,000,000.</w:t>
      </w:r>
    </w:p>
    <w:p>
      <w:pPr>
        <w:spacing w:after="0" w:line="182" w:lineRule="exact"/>
        <w:rPr>
          <w:rFonts w:ascii="Courier New" w:cs="Courier New" w:eastAsia="Courier New" w:hAnsi="Courier New"/>
          <w:sz w:val="16"/>
          <w:szCs w:val="16"/>
          <w:color w:val="auto"/>
        </w:rPr>
      </w:pPr>
    </w:p>
    <w:p>
      <w:pPr>
        <w:ind w:left="845" w:right="4180" w:hanging="845"/>
        <w:spacing w:after="0" w:line="235" w:lineRule="auto"/>
        <w:tabs>
          <w:tab w:leader="none" w:pos="84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note (9) below, there is being registered hereunder an indeterminate number of shares of common stock of ClearOne as may be sold from time to time by ClearOne.</w:t>
      </w:r>
    </w:p>
    <w:p>
      <w:pPr>
        <w:spacing w:after="0" w:line="183" w:lineRule="exact"/>
        <w:rPr>
          <w:rFonts w:ascii="Courier New" w:cs="Courier New" w:eastAsia="Courier New" w:hAnsi="Courier New"/>
          <w:sz w:val="16"/>
          <w:szCs w:val="16"/>
          <w:color w:val="auto"/>
        </w:rPr>
      </w:pPr>
    </w:p>
    <w:p>
      <w:pPr>
        <w:ind w:left="845" w:right="4000" w:hanging="845"/>
        <w:spacing w:after="0" w:line="235" w:lineRule="auto"/>
        <w:tabs>
          <w:tab w:leader="none" w:pos="84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note (9) below, includes such indeterminate amount of debt securities and common stock of ClearOne as may be issued upon conversion or exchange for any other securities registered hereunder that provide for conversion or exchange into debt securities or common stock of ClearOne.</w:t>
      </w:r>
    </w:p>
    <w:p>
      <w:pPr>
        <w:spacing w:after="0" w:line="185" w:lineRule="exact"/>
        <w:rPr>
          <w:rFonts w:ascii="Courier New" w:cs="Courier New" w:eastAsia="Courier New" w:hAnsi="Courier New"/>
          <w:sz w:val="16"/>
          <w:szCs w:val="16"/>
          <w:color w:val="auto"/>
        </w:rPr>
      </w:pPr>
    </w:p>
    <w:p>
      <w:pPr>
        <w:ind w:left="845" w:right="4180" w:hanging="845"/>
        <w:spacing w:after="0" w:line="235" w:lineRule="auto"/>
        <w:tabs>
          <w:tab w:leader="none" w:pos="84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note (9) below, there is being registered hereunder an indeterminate amount and number of warrants of ClearOne representing rights to purchase certain of the debt securities or common stock of ClearOne registered hereunder.</w:t>
      </w:r>
    </w:p>
    <w:p>
      <w:pPr>
        <w:spacing w:after="0" w:line="184" w:lineRule="exact"/>
        <w:rPr>
          <w:rFonts w:ascii="Courier New" w:cs="Courier New" w:eastAsia="Courier New" w:hAnsi="Courier New"/>
          <w:sz w:val="16"/>
          <w:szCs w:val="16"/>
          <w:color w:val="auto"/>
        </w:rPr>
      </w:pPr>
    </w:p>
    <w:p>
      <w:pPr>
        <w:ind w:left="845" w:right="4280" w:hanging="845"/>
        <w:spacing w:after="0" w:line="234" w:lineRule="auto"/>
        <w:tabs>
          <w:tab w:leader="none" w:pos="84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selling stockholders may offer a maximum of 1,000,000 shares of common stock of ClearOne.</w:t>
      </w:r>
    </w:p>
    <w:p>
      <w:pPr>
        <w:spacing w:after="0" w:line="183" w:lineRule="exact"/>
        <w:rPr>
          <w:rFonts w:ascii="Courier New" w:cs="Courier New" w:eastAsia="Courier New" w:hAnsi="Courier New"/>
          <w:sz w:val="16"/>
          <w:szCs w:val="16"/>
          <w:color w:val="auto"/>
        </w:rPr>
      </w:pPr>
    </w:p>
    <w:p>
      <w:pPr>
        <w:ind w:left="845" w:right="3900" w:hanging="845"/>
        <w:spacing w:after="0" w:line="279" w:lineRule="auto"/>
        <w:tabs>
          <w:tab w:leader="none" w:pos="845"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is estimated solely for the purpose of computing the amount of the registration fee pursuant to Rule 457(c) under the Securities Act, based on the average of the high and low price of the common stock of ClearOne reported on The Nasdaq National Market on July 18, 2002.</w:t>
      </w:r>
    </w:p>
    <w:p>
      <w:pPr>
        <w:spacing w:after="0" w:line="156" w:lineRule="exact"/>
        <w:rPr>
          <w:rFonts w:ascii="Courier New" w:cs="Courier New" w:eastAsia="Courier New" w:hAnsi="Courier New"/>
          <w:sz w:val="14"/>
          <w:szCs w:val="14"/>
          <w:color w:val="auto"/>
        </w:rPr>
      </w:pPr>
    </w:p>
    <w:p>
      <w:pPr>
        <w:ind w:left="845" w:right="3900" w:hanging="845"/>
        <w:spacing w:after="0" w:line="235" w:lineRule="auto"/>
        <w:tabs>
          <w:tab w:leader="none" w:pos="84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no event will the aggregate offering price of all securities sold by ClearOne from time to time pursuant to this registration statement exceed $100,000,000.</w:t>
      </w:r>
    </w:p>
    <w:p>
      <w:pPr>
        <w:spacing w:after="0" w:line="177" w:lineRule="exact"/>
        <w:rPr>
          <w:rFonts w:ascii="Courier New" w:cs="Courier New" w:eastAsia="Courier New" w:hAnsi="Courier New"/>
          <w:sz w:val="16"/>
          <w:szCs w:val="16"/>
          <w:color w:val="auto"/>
        </w:rPr>
      </w:pPr>
    </w:p>
    <w:p>
      <w:pPr>
        <w:ind w:left="845" w:hanging="845"/>
        <w:spacing w:after="0"/>
        <w:tabs>
          <w:tab w:leader="none" w:pos="84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paid.</w:t>
      </w:r>
    </w:p>
    <w:p>
      <w:pPr>
        <w:sectPr>
          <w:pgSz w:w="11900" w:h="16838" w:orient="portrait"/>
          <w:cols w:equalWidth="0" w:num="1">
            <w:col w:w="11345"/>
          </w:cols>
          <w:pgMar w:left="235" w:top="320" w:right="319" w:bottom="1440" w:gutter="0" w:footer="0" w:header="0"/>
        </w:sectPr>
      </w:pPr>
    </w:p>
    <w:bookmarkStart w:id="2" w:name="page3"/>
    <w:bookmarkEnd w:id="2"/>
    <w:p>
      <w:pPr>
        <w:ind w:left="2147"/>
        <w:spacing w:after="0"/>
        <w:rPr>
          <w:sz w:val="20"/>
          <w:szCs w:val="20"/>
          <w:color w:val="auto"/>
        </w:rPr>
      </w:pPr>
      <w:r>
        <w:rPr>
          <w:rFonts w:ascii="Courier New" w:cs="Courier New" w:eastAsia="Courier New" w:hAnsi="Courier New"/>
          <w:sz w:val="16"/>
          <w:szCs w:val="16"/>
          <w:color w:val="auto"/>
        </w:rPr>
        <w:t>EXPLANATORY NOTE</w:t>
      </w:r>
    </w:p>
    <w:p>
      <w:pPr>
        <w:spacing w:after="0" w:line="355" w:lineRule="exact"/>
        <w:rPr>
          <w:sz w:val="20"/>
          <w:szCs w:val="20"/>
          <w:color w:val="auto"/>
        </w:rPr>
      </w:pPr>
    </w:p>
    <w:p>
      <w:pPr>
        <w:ind w:left="7"/>
        <w:spacing w:after="0"/>
        <w:rPr>
          <w:sz w:val="20"/>
          <w:szCs w:val="20"/>
          <w:color w:val="auto"/>
        </w:rPr>
      </w:pPr>
      <w:r>
        <w:rPr>
          <w:rFonts w:ascii="Courier New" w:cs="Courier New" w:eastAsia="Courier New" w:hAnsi="Courier New"/>
          <w:sz w:val="16"/>
          <w:szCs w:val="16"/>
          <w:color w:val="auto"/>
        </w:rPr>
        <w:t>This registration statement consists of two separate prospectuses:</w:t>
      </w:r>
    </w:p>
    <w:p>
      <w:pPr>
        <w:spacing w:after="0" w:line="183" w:lineRule="exact"/>
        <w:rPr>
          <w:sz w:val="20"/>
          <w:szCs w:val="20"/>
          <w:color w:val="auto"/>
        </w:rPr>
      </w:pPr>
    </w:p>
    <w:p>
      <w:pPr>
        <w:ind w:left="827" w:right="2779" w:hanging="827"/>
        <w:spacing w:after="0" w:line="235" w:lineRule="auto"/>
        <w:tabs>
          <w:tab w:leader="none" w:pos="827"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first prospectus relates to the offer and sale from time to time by ClearOne of debt securities, warrants and common stock issuable upon conversion of debt securities and exercise of warrants; and</w:t>
      </w:r>
    </w:p>
    <w:p>
      <w:pPr>
        <w:spacing w:after="0" w:line="184" w:lineRule="exact"/>
        <w:rPr>
          <w:rFonts w:ascii="Courier New" w:cs="Courier New" w:eastAsia="Courier New" w:hAnsi="Courier New"/>
          <w:sz w:val="16"/>
          <w:szCs w:val="16"/>
          <w:color w:val="auto"/>
        </w:rPr>
      </w:pPr>
    </w:p>
    <w:p>
      <w:pPr>
        <w:jc w:val="both"/>
        <w:ind w:left="827" w:right="2879" w:hanging="827"/>
        <w:spacing w:after="0" w:line="283" w:lineRule="auto"/>
        <w:tabs>
          <w:tab w:leader="none" w:pos="827"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second prospectus relates to the offer and sale from time to time by ClearOne of common stock and the offer and sale of common stock of ClearOne by certain selling stockholders.</w:t>
      </w:r>
    </w:p>
    <w:p>
      <w:pPr>
        <w:spacing w:after="0" w:line="155" w:lineRule="exact"/>
        <w:rPr>
          <w:sz w:val="20"/>
          <w:szCs w:val="20"/>
          <w:color w:val="auto"/>
        </w:rPr>
      </w:pPr>
    </w:p>
    <w:p>
      <w:pPr>
        <w:ind w:left="7" w:right="3059"/>
        <w:spacing w:after="0" w:line="235" w:lineRule="auto"/>
        <w:rPr>
          <w:sz w:val="20"/>
          <w:szCs w:val="20"/>
          <w:color w:val="auto"/>
        </w:rPr>
      </w:pPr>
      <w:r>
        <w:rPr>
          <w:rFonts w:ascii="Courier New" w:cs="Courier New" w:eastAsia="Courier New" w:hAnsi="Courier New"/>
          <w:sz w:val="16"/>
          <w:szCs w:val="16"/>
          <w:color w:val="auto"/>
        </w:rPr>
        <w:t>The maximum aggregate amount of securities to be offered by ClearOne under both prospectuses shall be $100 million. The maximum number of shares of our common stock to be offered by certain selling stockholders pursuant to the second prospectus shall be 1,000,000 shares.</w:t>
      </w:r>
    </w:p>
    <w:p>
      <w:pPr>
        <w:sectPr>
          <w:pgSz w:w="11900" w:h="16838" w:orient="portrait"/>
          <w:cols w:equalWidth="0" w:num="1">
            <w:col w:w="9387"/>
          </w:cols>
          <w:pgMar w:left="1073" w:top="82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PROSPECTUS</w:t>
      </w:r>
    </w:p>
    <w:p>
      <w:pPr>
        <w:spacing w:after="0" w:line="177"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CLEARONE COMMUNICATIONS, INC.</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[LOGO]</w:t>
      </w:r>
    </w:p>
    <w:p>
      <w:pPr>
        <w:spacing w:after="0" w:line="183" w:lineRule="exact"/>
        <w:rPr>
          <w:sz w:val="20"/>
          <w:szCs w:val="20"/>
          <w:color w:val="auto"/>
        </w:rPr>
      </w:pPr>
    </w:p>
    <w:p>
      <w:pPr>
        <w:ind w:right="2879" w:firstLine="837"/>
        <w:spacing w:after="0" w:line="234" w:lineRule="auto"/>
        <w:rPr>
          <w:sz w:val="20"/>
          <w:szCs w:val="20"/>
          <w:color w:val="auto"/>
        </w:rPr>
      </w:pPr>
      <w:r>
        <w:rPr>
          <w:rFonts w:ascii="Courier New" w:cs="Courier New" w:eastAsia="Courier New" w:hAnsi="Courier New"/>
          <w:sz w:val="16"/>
          <w:szCs w:val="16"/>
          <w:color w:val="auto"/>
        </w:rPr>
        <w:t>We may offer and sell, from time to time, in one or more offerings, up to $100,000,000 of any combination of the following securities:</w:t>
      </w:r>
    </w:p>
    <w:p>
      <w:pPr>
        <w:sectPr>
          <w:pgSz w:w="11900" w:h="16838" w:orient="portrait"/>
          <w:cols w:equalWidth="0" w:num="1">
            <w:col w:w="10219"/>
          </w:cols>
          <w:pgMar w:left="240" w:top="827" w:right="1440" w:bottom="1440" w:gutter="0" w:footer="0" w:header="0"/>
        </w:sectPr>
      </w:pPr>
    </w:p>
    <w:p>
      <w:pPr>
        <w:spacing w:after="0" w:line="183" w:lineRule="exact"/>
        <w:rPr>
          <w:sz w:val="20"/>
          <w:szCs w:val="20"/>
          <w:color w:val="auto"/>
        </w:rPr>
      </w:pPr>
    </w:p>
    <w:p>
      <w:pPr>
        <w:ind w:left="840"/>
        <w:spacing w:after="0"/>
        <w:rPr>
          <w:sz w:val="20"/>
          <w:szCs w:val="20"/>
          <w:color w:val="auto"/>
        </w:rPr>
      </w:pPr>
      <w:r>
        <w:rPr>
          <w:rFonts w:ascii="Courier New" w:cs="Courier New" w:eastAsia="Courier New" w:hAnsi="Courier New"/>
          <w:sz w:val="13"/>
          <w:szCs w:val="13"/>
          <w:color w:val="auto"/>
        </w:rPr>
        <w:t>o</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debt securities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subordinated debt securities</w:t>
      </w:r>
    </w:p>
    <w:p>
      <w:pPr>
        <w:spacing w:after="0" w:line="193" w:lineRule="exact"/>
        <w:rPr>
          <w:sz w:val="20"/>
          <w:szCs w:val="20"/>
          <w:color w:val="auto"/>
        </w:rPr>
      </w:pPr>
    </w:p>
    <w:p>
      <w:pPr>
        <w:sectPr>
          <w:pgSz w:w="11900" w:h="16838" w:orient="portrait"/>
          <w:cols w:equalWidth="0" w:num="4">
            <w:col w:w="920" w:space="280"/>
            <w:col w:w="2060" w:space="540"/>
            <w:col w:w="100" w:space="280"/>
            <w:col w:w="6039"/>
          </w:cols>
          <w:pgMar w:left="240" w:top="827" w:right="1440" w:bottom="1440" w:gutter="0" w:footer="0" w:header="0"/>
          <w:type w:val="continuous"/>
        </w:sectPr>
      </w:pPr>
    </w:p>
    <w:p>
      <w:pPr>
        <w:spacing w:after="0" w:line="6" w:lineRule="exact"/>
        <w:rPr>
          <w:sz w:val="20"/>
          <w:szCs w:val="20"/>
          <w:color w:val="auto"/>
        </w:rPr>
      </w:pPr>
    </w:p>
    <w:p>
      <w:pPr>
        <w:ind w:left="840"/>
        <w:spacing w:after="0"/>
        <w:rPr>
          <w:sz w:val="20"/>
          <w:szCs w:val="20"/>
          <w:color w:val="auto"/>
        </w:rPr>
      </w:pPr>
      <w:r>
        <w:rPr>
          <w:rFonts w:ascii="Courier New" w:cs="Courier New" w:eastAsia="Courier New" w:hAnsi="Courier New"/>
          <w:sz w:val="13"/>
          <w:szCs w:val="13"/>
          <w:color w:val="auto"/>
        </w:rPr>
        <w: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equity warrants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convertible debt securities</w:t>
      </w:r>
    </w:p>
    <w:p>
      <w:pPr>
        <w:spacing w:after="0" w:line="193" w:lineRule="exact"/>
        <w:rPr>
          <w:sz w:val="20"/>
          <w:szCs w:val="20"/>
          <w:color w:val="auto"/>
        </w:rPr>
      </w:pPr>
    </w:p>
    <w:p>
      <w:pPr>
        <w:sectPr>
          <w:pgSz w:w="11900" w:h="16838" w:orient="portrait"/>
          <w:cols w:equalWidth="0" w:num="4">
            <w:col w:w="920" w:space="280"/>
            <w:col w:w="1880" w:space="720"/>
            <w:col w:w="100" w:space="280"/>
            <w:col w:w="6039"/>
          </w:cols>
          <w:pgMar w:left="240" w:top="827" w:right="1440" w:bottom="1440" w:gutter="0" w:footer="0" w:header="0"/>
          <w:type w:val="continuous"/>
        </w:sectPr>
      </w:pPr>
    </w:p>
    <w:p>
      <w:pPr>
        <w:ind w:left="1200" w:hanging="367"/>
        <w:spacing w:after="0"/>
        <w:tabs>
          <w:tab w:leader="none" w:pos="12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debt warrants</w:t>
      </w:r>
    </w:p>
    <w:p>
      <w:pPr>
        <w:spacing w:after="0" w:line="183" w:lineRule="exact"/>
        <w:rPr>
          <w:sz w:val="20"/>
          <w:szCs w:val="20"/>
          <w:color w:val="auto"/>
        </w:rPr>
      </w:pPr>
    </w:p>
    <w:p>
      <w:pPr>
        <w:ind w:right="2959" w:firstLine="837"/>
        <w:spacing w:after="0" w:line="236" w:lineRule="auto"/>
        <w:rPr>
          <w:sz w:val="20"/>
          <w:szCs w:val="20"/>
          <w:color w:val="auto"/>
        </w:rPr>
      </w:pPr>
      <w:r>
        <w:rPr>
          <w:rFonts w:ascii="Courier New" w:cs="Courier New" w:eastAsia="Courier New" w:hAnsi="Courier New"/>
          <w:sz w:val="16"/>
          <w:szCs w:val="16"/>
          <w:color w:val="auto"/>
        </w:rPr>
        <w:t>We will provide the specific terms of these securities in supplements to this prospectus. This prospectus may not be used to sell securities unless accompanied by a prospectus supplement. We urge you to read carefully this prospectus and the accompanying prospectus supplement, which will describe the specific terms of the securities offered, before you make your investment decision.</w:t>
      </w:r>
    </w:p>
    <w:p>
      <w:pPr>
        <w:spacing w:after="0" w:line="183"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Our common stock trades on the Nasdaq National Market under the symbol</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"CLRO."</w:t>
      </w:r>
    </w:p>
    <w:p>
      <w:pPr>
        <w:spacing w:after="0" w:line="183" w:lineRule="exact"/>
        <w:rPr>
          <w:sz w:val="20"/>
          <w:szCs w:val="20"/>
          <w:color w:val="auto"/>
        </w:rPr>
      </w:pPr>
    </w:p>
    <w:p>
      <w:pPr>
        <w:ind w:right="3159" w:firstLine="837"/>
        <w:spacing w:after="0" w:line="235" w:lineRule="auto"/>
        <w:rPr>
          <w:sz w:val="20"/>
          <w:szCs w:val="20"/>
          <w:color w:val="auto"/>
        </w:rPr>
      </w:pPr>
      <w:r>
        <w:rPr>
          <w:rFonts w:ascii="Courier New" w:cs="Courier New" w:eastAsia="Courier New" w:hAnsi="Courier New"/>
          <w:sz w:val="16"/>
          <w:szCs w:val="16"/>
          <w:color w:val="auto"/>
        </w:rPr>
        <w:t>Investing in our securities involves risks. You should carefully consider the risk factors set forth in the applicable supplement to this prospectus before investing in any securities that may be offered. See "Risk Factors" on page 4.</w:t>
      </w:r>
    </w:p>
    <w:p>
      <w:pPr>
        <w:spacing w:after="0" w:line="357"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w:t>
      </w:r>
    </w:p>
    <w:p>
      <w:pPr>
        <w:spacing w:after="0" w:line="362" w:lineRule="exact"/>
        <w:rPr>
          <w:sz w:val="20"/>
          <w:szCs w:val="20"/>
          <w:color w:val="auto"/>
        </w:rPr>
      </w:pPr>
    </w:p>
    <w:p>
      <w:pPr>
        <w:jc w:val="both"/>
        <w:ind w:right="2779" w:firstLine="837"/>
        <w:spacing w:after="0" w:line="235" w:lineRule="auto"/>
        <w:rPr>
          <w:sz w:val="20"/>
          <w:szCs w:val="20"/>
          <w:color w:val="auto"/>
        </w:rPr>
      </w:pPr>
      <w:r>
        <w:rPr>
          <w:rFonts w:ascii="Courier New" w:cs="Courier New" w:eastAsia="Courier New" w:hAnsi="Courier New"/>
          <w:sz w:val="16"/>
          <w:szCs w:val="16"/>
          <w:color w:val="auto"/>
        </w:rPr>
        <w:t>Neither the Securities and Exchange Commission nor any other regulatory body has approved or disapproved of these securities or passed upon the adequacy or accuracy of this prospectus. Any representation to the contrary is a criminal offense.</w:t>
      </w:r>
    </w:p>
    <w:p>
      <w:pPr>
        <w:spacing w:after="0" w:line="17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The date of this prospectus is November 1, 2002</w:t>
      </w:r>
    </w:p>
    <w:p>
      <w:pPr>
        <w:sectPr>
          <w:pgSz w:w="11900" w:h="16838" w:orient="portrait"/>
          <w:cols w:equalWidth="0" w:num="1">
            <w:col w:w="10219"/>
          </w:cols>
          <w:pgMar w:left="240" w:top="827" w:right="1440" w:bottom="1440" w:gutter="0" w:footer="0" w:header="0"/>
          <w:type w:val="continuous"/>
        </w:sectPr>
      </w:pPr>
    </w:p>
    <w:bookmarkStart w:id="4" w:name="page5"/>
    <w:bookmarkEnd w:id="4"/>
    <w:p>
      <w:pPr>
        <w:ind w:left="2880"/>
        <w:spacing w:after="0"/>
        <w:rPr>
          <w:sz w:val="20"/>
          <w:szCs w:val="20"/>
          <w:color w:val="auto"/>
        </w:rPr>
      </w:pPr>
      <w:r>
        <w:rPr>
          <w:rFonts w:ascii="Courier New" w:cs="Courier New" w:eastAsia="Courier New" w:hAnsi="Courier New"/>
          <w:sz w:val="16"/>
          <w:szCs w:val="16"/>
          <w:color w:val="auto"/>
        </w:rPr>
        <w:t>Table of Contents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0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Page</w:t>
            </w:r>
          </w:p>
        </w:tc>
      </w:tr>
      <w:tr>
        <w:trPr>
          <w:trHeight w:val="179"/>
        </w:trPr>
        <w:tc>
          <w:tcPr>
            <w:tcW w:w="7060" w:type="dxa"/>
            <w:vAlign w:val="bottom"/>
          </w:tcPr>
          <w:p>
            <w:pPr>
              <w:spacing w:after="0"/>
              <w:rPr>
                <w:sz w:val="15"/>
                <w:szCs w:val="15"/>
                <w:color w:val="auto"/>
              </w:rPr>
            </w:pPr>
          </w:p>
        </w:tc>
        <w:tc>
          <w:tcPr>
            <w:tcW w:w="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w:t>
            </w:r>
          </w:p>
        </w:tc>
      </w:tr>
      <w:tr>
        <w:trPr>
          <w:trHeight w:val="537"/>
        </w:trPr>
        <w:tc>
          <w:tcPr>
            <w:tcW w:w="7060" w:type="dxa"/>
            <w:vAlign w:val="bottom"/>
          </w:tcPr>
          <w:p>
            <w:pPr>
              <w:spacing w:after="0"/>
              <w:rPr>
                <w:sz w:val="20"/>
                <w:szCs w:val="20"/>
                <w:color w:val="auto"/>
              </w:rPr>
            </w:pPr>
            <w:r>
              <w:rPr>
                <w:rFonts w:ascii="Courier New" w:cs="Courier New" w:eastAsia="Courier New" w:hAnsi="Courier New"/>
                <w:sz w:val="16"/>
                <w:szCs w:val="16"/>
                <w:color w:val="auto"/>
                <w:w w:val="94"/>
              </w:rPr>
              <w:t>About This Prospectus.........................................................</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w:t>
            </w:r>
          </w:p>
        </w:tc>
      </w:tr>
      <w:tr>
        <w:trPr>
          <w:trHeight w:val="358"/>
        </w:trPr>
        <w:tc>
          <w:tcPr>
            <w:tcW w:w="7060" w:type="dxa"/>
            <w:vAlign w:val="bottom"/>
          </w:tcPr>
          <w:p>
            <w:pPr>
              <w:spacing w:after="0"/>
              <w:rPr>
                <w:sz w:val="20"/>
                <w:szCs w:val="20"/>
                <w:color w:val="auto"/>
              </w:rPr>
            </w:pPr>
            <w:r>
              <w:rPr>
                <w:rFonts w:ascii="Courier New" w:cs="Courier New" w:eastAsia="Courier New" w:hAnsi="Courier New"/>
                <w:sz w:val="16"/>
                <w:szCs w:val="16"/>
                <w:color w:val="auto"/>
                <w:w w:val="94"/>
              </w:rPr>
              <w:t>Where You Can Find More Information...........................................</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w:t>
            </w:r>
          </w:p>
        </w:tc>
      </w:tr>
      <w:tr>
        <w:trPr>
          <w:trHeight w:val="358"/>
        </w:trPr>
        <w:tc>
          <w:tcPr>
            <w:tcW w:w="7060" w:type="dxa"/>
            <w:vAlign w:val="bottom"/>
          </w:tcPr>
          <w:p>
            <w:pPr>
              <w:spacing w:after="0"/>
              <w:rPr>
                <w:sz w:val="20"/>
                <w:szCs w:val="20"/>
                <w:color w:val="auto"/>
              </w:rPr>
            </w:pPr>
            <w:r>
              <w:rPr>
                <w:rFonts w:ascii="Courier New" w:cs="Courier New" w:eastAsia="Courier New" w:hAnsi="Courier New"/>
                <w:sz w:val="16"/>
                <w:szCs w:val="16"/>
                <w:color w:val="auto"/>
                <w:w w:val="94"/>
              </w:rPr>
              <w:t>Forward-Looking Statements....................................................</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w:t>
            </w:r>
          </w:p>
        </w:tc>
      </w:tr>
      <w:tr>
        <w:trPr>
          <w:trHeight w:val="358"/>
        </w:trPr>
        <w:tc>
          <w:tcPr>
            <w:tcW w:w="7060" w:type="dxa"/>
            <w:vAlign w:val="bottom"/>
          </w:tcPr>
          <w:p>
            <w:pPr>
              <w:spacing w:after="0"/>
              <w:rPr>
                <w:sz w:val="20"/>
                <w:szCs w:val="20"/>
                <w:color w:val="auto"/>
              </w:rPr>
            </w:pPr>
            <w:r>
              <w:rPr>
                <w:rFonts w:ascii="Courier New" w:cs="Courier New" w:eastAsia="Courier New" w:hAnsi="Courier New"/>
                <w:sz w:val="16"/>
                <w:szCs w:val="16"/>
                <w:color w:val="auto"/>
                <w:w w:val="94"/>
              </w:rPr>
              <w:t>ClearOne Communications, Inc..................................................</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w:t>
            </w:r>
          </w:p>
        </w:tc>
      </w:tr>
      <w:tr>
        <w:trPr>
          <w:trHeight w:val="358"/>
        </w:trPr>
        <w:tc>
          <w:tcPr>
            <w:tcW w:w="7060" w:type="dxa"/>
            <w:vAlign w:val="bottom"/>
          </w:tcPr>
          <w:p>
            <w:pPr>
              <w:spacing w:after="0"/>
              <w:rPr>
                <w:sz w:val="20"/>
                <w:szCs w:val="20"/>
                <w:color w:val="auto"/>
              </w:rPr>
            </w:pPr>
            <w:r>
              <w:rPr>
                <w:rFonts w:ascii="Courier New" w:cs="Courier New" w:eastAsia="Courier New" w:hAnsi="Courier New"/>
                <w:sz w:val="16"/>
                <w:szCs w:val="16"/>
                <w:color w:val="auto"/>
                <w:w w:val="94"/>
              </w:rPr>
              <w:t>Risk Factors..................................................................</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w:t>
            </w:r>
          </w:p>
        </w:tc>
      </w:tr>
      <w:tr>
        <w:trPr>
          <w:trHeight w:val="358"/>
        </w:trPr>
        <w:tc>
          <w:tcPr>
            <w:tcW w:w="7060" w:type="dxa"/>
            <w:vAlign w:val="bottom"/>
          </w:tcPr>
          <w:p>
            <w:pPr>
              <w:spacing w:after="0"/>
              <w:rPr>
                <w:sz w:val="20"/>
                <w:szCs w:val="20"/>
                <w:color w:val="auto"/>
              </w:rPr>
            </w:pPr>
            <w:r>
              <w:rPr>
                <w:rFonts w:ascii="Courier New" w:cs="Courier New" w:eastAsia="Courier New" w:hAnsi="Courier New"/>
                <w:sz w:val="16"/>
                <w:szCs w:val="16"/>
                <w:color w:val="auto"/>
                <w:w w:val="94"/>
              </w:rPr>
              <w:t>Ratio Of Earnings To Fixed Charges............................................</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w:t>
            </w:r>
          </w:p>
        </w:tc>
      </w:tr>
      <w:tr>
        <w:trPr>
          <w:trHeight w:val="358"/>
        </w:trPr>
        <w:tc>
          <w:tcPr>
            <w:tcW w:w="7060" w:type="dxa"/>
            <w:vAlign w:val="bottom"/>
          </w:tcPr>
          <w:p>
            <w:pPr>
              <w:spacing w:after="0"/>
              <w:rPr>
                <w:sz w:val="20"/>
                <w:szCs w:val="20"/>
                <w:color w:val="auto"/>
              </w:rPr>
            </w:pPr>
            <w:r>
              <w:rPr>
                <w:rFonts w:ascii="Courier New" w:cs="Courier New" w:eastAsia="Courier New" w:hAnsi="Courier New"/>
                <w:sz w:val="16"/>
                <w:szCs w:val="16"/>
                <w:color w:val="auto"/>
                <w:w w:val="94"/>
              </w:rPr>
              <w:t>Use Of Proceeds...............................................................</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w:t>
            </w:r>
          </w:p>
        </w:tc>
      </w:tr>
      <w:tr>
        <w:trPr>
          <w:trHeight w:val="358"/>
        </w:trPr>
        <w:tc>
          <w:tcPr>
            <w:tcW w:w="7060" w:type="dxa"/>
            <w:vAlign w:val="bottom"/>
          </w:tcPr>
          <w:p>
            <w:pPr>
              <w:spacing w:after="0"/>
              <w:rPr>
                <w:sz w:val="20"/>
                <w:szCs w:val="20"/>
                <w:color w:val="auto"/>
              </w:rPr>
            </w:pPr>
            <w:r>
              <w:rPr>
                <w:rFonts w:ascii="Courier New" w:cs="Courier New" w:eastAsia="Courier New" w:hAnsi="Courier New"/>
                <w:sz w:val="16"/>
                <w:szCs w:val="16"/>
                <w:color w:val="auto"/>
                <w:w w:val="94"/>
              </w:rPr>
              <w:t>Securities We May Issue.......................................................</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w:t>
            </w:r>
          </w:p>
        </w:tc>
      </w:tr>
      <w:tr>
        <w:trPr>
          <w:trHeight w:val="358"/>
        </w:trPr>
        <w:tc>
          <w:tcPr>
            <w:tcW w:w="7060" w:type="dxa"/>
            <w:vAlign w:val="bottom"/>
          </w:tcPr>
          <w:p>
            <w:pPr>
              <w:spacing w:after="0"/>
              <w:rPr>
                <w:sz w:val="20"/>
                <w:szCs w:val="20"/>
                <w:color w:val="auto"/>
              </w:rPr>
            </w:pPr>
            <w:r>
              <w:rPr>
                <w:rFonts w:ascii="Courier New" w:cs="Courier New" w:eastAsia="Courier New" w:hAnsi="Courier New"/>
                <w:sz w:val="16"/>
                <w:szCs w:val="16"/>
                <w:color w:val="auto"/>
                <w:w w:val="94"/>
              </w:rPr>
              <w:t>Description Of Debt Securities................................................</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w:t>
            </w:r>
          </w:p>
        </w:tc>
      </w:tr>
      <w:tr>
        <w:trPr>
          <w:trHeight w:val="358"/>
        </w:trPr>
        <w:tc>
          <w:tcPr>
            <w:tcW w:w="7060" w:type="dxa"/>
            <w:vAlign w:val="bottom"/>
          </w:tcPr>
          <w:p>
            <w:pPr>
              <w:spacing w:after="0"/>
              <w:rPr>
                <w:sz w:val="20"/>
                <w:szCs w:val="20"/>
                <w:color w:val="auto"/>
              </w:rPr>
            </w:pPr>
            <w:r>
              <w:rPr>
                <w:rFonts w:ascii="Courier New" w:cs="Courier New" w:eastAsia="Courier New" w:hAnsi="Courier New"/>
                <w:sz w:val="16"/>
                <w:szCs w:val="16"/>
                <w:color w:val="auto"/>
                <w:w w:val="95"/>
              </w:rPr>
              <w:t>Description Of Warrants......................................................</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21</w:t>
            </w:r>
          </w:p>
        </w:tc>
      </w:tr>
      <w:tr>
        <w:trPr>
          <w:trHeight w:val="358"/>
        </w:trPr>
        <w:tc>
          <w:tcPr>
            <w:tcW w:w="7060" w:type="dxa"/>
            <w:vAlign w:val="bottom"/>
          </w:tcPr>
          <w:p>
            <w:pPr>
              <w:spacing w:after="0"/>
              <w:rPr>
                <w:sz w:val="20"/>
                <w:szCs w:val="20"/>
                <w:color w:val="auto"/>
              </w:rPr>
            </w:pPr>
            <w:r>
              <w:rPr>
                <w:rFonts w:ascii="Courier New" w:cs="Courier New" w:eastAsia="Courier New" w:hAnsi="Courier New"/>
                <w:sz w:val="16"/>
                <w:szCs w:val="16"/>
                <w:color w:val="auto"/>
                <w:w w:val="95"/>
              </w:rPr>
              <w:t>Description Of Common Stock..................................................</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24</w:t>
            </w:r>
          </w:p>
        </w:tc>
      </w:tr>
      <w:tr>
        <w:trPr>
          <w:trHeight w:val="358"/>
        </w:trPr>
        <w:tc>
          <w:tcPr>
            <w:tcW w:w="7060" w:type="dxa"/>
            <w:vAlign w:val="bottom"/>
          </w:tcPr>
          <w:p>
            <w:pPr>
              <w:spacing w:after="0"/>
              <w:rPr>
                <w:sz w:val="20"/>
                <w:szCs w:val="20"/>
                <w:color w:val="auto"/>
              </w:rPr>
            </w:pPr>
            <w:r>
              <w:rPr>
                <w:rFonts w:ascii="Courier New" w:cs="Courier New" w:eastAsia="Courier New" w:hAnsi="Courier New"/>
                <w:sz w:val="16"/>
                <w:szCs w:val="16"/>
                <w:color w:val="auto"/>
                <w:w w:val="95"/>
              </w:rPr>
              <w:t>Plan Of Distribution.........................................................</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27</w:t>
            </w:r>
          </w:p>
        </w:tc>
      </w:tr>
      <w:tr>
        <w:trPr>
          <w:trHeight w:val="358"/>
        </w:trPr>
        <w:tc>
          <w:tcPr>
            <w:tcW w:w="7060" w:type="dxa"/>
            <w:vAlign w:val="bottom"/>
          </w:tcPr>
          <w:p>
            <w:pPr>
              <w:spacing w:after="0"/>
              <w:rPr>
                <w:sz w:val="20"/>
                <w:szCs w:val="20"/>
                <w:color w:val="auto"/>
              </w:rPr>
            </w:pPr>
            <w:r>
              <w:rPr>
                <w:rFonts w:ascii="Courier New" w:cs="Courier New" w:eastAsia="Courier New" w:hAnsi="Courier New"/>
                <w:sz w:val="16"/>
                <w:szCs w:val="16"/>
                <w:color w:val="auto"/>
                <w:w w:val="95"/>
              </w:rPr>
              <w:t>Validity Of The Securities...................................................</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28</w:t>
            </w:r>
          </w:p>
        </w:tc>
      </w:tr>
      <w:tr>
        <w:trPr>
          <w:trHeight w:val="358"/>
        </w:trPr>
        <w:tc>
          <w:tcPr>
            <w:tcW w:w="7060" w:type="dxa"/>
            <w:vAlign w:val="bottom"/>
          </w:tcPr>
          <w:p>
            <w:pPr>
              <w:spacing w:after="0"/>
              <w:rPr>
                <w:sz w:val="20"/>
                <w:szCs w:val="20"/>
                <w:color w:val="auto"/>
              </w:rPr>
            </w:pPr>
            <w:r>
              <w:rPr>
                <w:rFonts w:ascii="Courier New" w:cs="Courier New" w:eastAsia="Courier New" w:hAnsi="Courier New"/>
                <w:sz w:val="16"/>
                <w:szCs w:val="16"/>
                <w:color w:val="auto"/>
                <w:w w:val="95"/>
              </w:rPr>
              <w:t>Experts  ....................................................................</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28</w:t>
            </w:r>
          </w:p>
        </w:tc>
      </w:tr>
      <w:tr>
        <w:trPr>
          <w:trHeight w:val="358"/>
        </w:trPr>
        <w:tc>
          <w:tcPr>
            <w:tcW w:w="7060" w:type="dxa"/>
            <w:vAlign w:val="bottom"/>
          </w:tcPr>
          <w:p>
            <w:pPr>
              <w:ind w:left="288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24"/>
                <w:szCs w:val="24"/>
                <w:color w:val="auto"/>
              </w:rPr>
            </w:pPr>
          </w:p>
        </w:tc>
      </w:tr>
    </w:tbl>
    <w:p>
      <w:pPr>
        <w:spacing w:after="0" w:line="183" w:lineRule="exact"/>
        <w:rPr>
          <w:sz w:val="20"/>
          <w:szCs w:val="20"/>
          <w:color w:val="auto"/>
        </w:rPr>
      </w:pPr>
    </w:p>
    <w:p>
      <w:pPr>
        <w:ind w:right="2879" w:firstLine="837"/>
        <w:spacing w:after="0" w:line="236" w:lineRule="auto"/>
        <w:rPr>
          <w:sz w:val="20"/>
          <w:szCs w:val="20"/>
          <w:color w:val="auto"/>
        </w:rPr>
      </w:pPr>
      <w:r>
        <w:rPr>
          <w:rFonts w:ascii="Courier New" w:cs="Courier New" w:eastAsia="Courier New" w:hAnsi="Courier New"/>
          <w:sz w:val="16"/>
          <w:szCs w:val="16"/>
          <w:color w:val="auto"/>
        </w:rPr>
        <w:t>You should rely only on the information contained or incorporated by reference in this prospectus and any prospectus supplement. We have not authorized anyone else to provide you with different information. If anyone provides you with different or inconsistent information, you should not rely on it. We are offering to sell securities and soliciting offers to buy securities only in jurisdictions where offers and sales are permitted. You should assume that the information appearing in this prospectus and information incorporated by reference into this prospectus, is accurate only as of the date of the documents containing the information.</w:t>
      </w:r>
    </w:p>
    <w:p>
      <w:pPr>
        <w:spacing w:after="0" w:line="35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219"/>
          </w:cols>
          <w:pgMar w:left="240" w:top="648" w:right="1440" w:bottom="1440" w:gutter="0" w:footer="0" w:header="0"/>
        </w:sectPr>
      </w:pPr>
    </w:p>
    <w:bookmarkStart w:id="5" w:name="page6"/>
    <w:bookmarkEnd w:id="5"/>
    <w:p>
      <w:pPr>
        <w:ind w:left="2780"/>
        <w:spacing w:after="0"/>
        <w:rPr>
          <w:sz w:val="20"/>
          <w:szCs w:val="20"/>
          <w:color w:val="auto"/>
        </w:rPr>
      </w:pPr>
      <w:r>
        <w:rPr>
          <w:rFonts w:ascii="Courier New" w:cs="Courier New" w:eastAsia="Courier New" w:hAnsi="Courier New"/>
          <w:sz w:val="16"/>
          <w:szCs w:val="16"/>
          <w:color w:val="auto"/>
        </w:rPr>
        <w:t>ABOUT THIS PROSPECTUS</w:t>
      </w:r>
    </w:p>
    <w:p>
      <w:pPr>
        <w:spacing w:after="0" w:line="362" w:lineRule="exact"/>
        <w:rPr>
          <w:sz w:val="20"/>
          <w:szCs w:val="20"/>
          <w:color w:val="auto"/>
        </w:rPr>
      </w:pPr>
    </w:p>
    <w:p>
      <w:pPr>
        <w:ind w:right="2879" w:firstLine="837"/>
        <w:spacing w:after="0" w:line="236" w:lineRule="auto"/>
        <w:rPr>
          <w:sz w:val="20"/>
          <w:szCs w:val="20"/>
          <w:color w:val="auto"/>
        </w:rPr>
      </w:pPr>
      <w:r>
        <w:rPr>
          <w:rFonts w:ascii="Courier New" w:cs="Courier New" w:eastAsia="Courier New" w:hAnsi="Courier New"/>
          <w:sz w:val="16"/>
          <w:szCs w:val="16"/>
          <w:color w:val="auto"/>
        </w:rPr>
        <w:t>This prospectus is part of a registration statement that we filed with the Securities and Exchange Commission, or the SEC, using the SEC's shelf registration rules. Under the shelf registration rules, using this prospectus, together with a prospectus supplement, we may sell from time to time, in one or more offerings, up to $100,000,000 of any of the securities described in this prospectus.</w:t>
      </w:r>
    </w:p>
    <w:p>
      <w:pPr>
        <w:spacing w:after="0" w:line="183"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In this prospectus we use the terms "ClearOne," "we," "us," and "our"</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refer to ClearOne Communications, Inc., a Utah corporation.</w:t>
      </w:r>
    </w:p>
    <w:p>
      <w:pPr>
        <w:spacing w:after="0" w:line="183" w:lineRule="exact"/>
        <w:rPr>
          <w:sz w:val="20"/>
          <w:szCs w:val="20"/>
          <w:color w:val="auto"/>
        </w:rPr>
      </w:pPr>
    </w:p>
    <w:p>
      <w:pPr>
        <w:ind w:right="2779" w:firstLine="837"/>
        <w:spacing w:after="0" w:line="275" w:lineRule="auto"/>
        <w:rPr>
          <w:sz w:val="20"/>
          <w:szCs w:val="20"/>
          <w:color w:val="auto"/>
        </w:rPr>
      </w:pPr>
      <w:r>
        <w:rPr>
          <w:rFonts w:ascii="Courier New" w:cs="Courier New" w:eastAsia="Courier New" w:hAnsi="Courier New"/>
          <w:sz w:val="14"/>
          <w:szCs w:val="14"/>
          <w:color w:val="auto"/>
        </w:rPr>
        <w:t>This prospectus provides you with a general description of the securities we may sell. Each time we sell securities under this prospectus, we will provide a prospectus supplement that will contain specific information about the terms of that offering. The prospectus supplement may also add, update or change information contained in this prospectus. If so, the prospectus supplement should be read as superseding this prospectus. You should read this prospectus, the applicable prospectus supplement and the additional information described below under "Where You Can Find More Information."</w:t>
      </w:r>
    </w:p>
    <w:p>
      <w:pPr>
        <w:spacing w:after="0" w:line="200" w:lineRule="exact"/>
        <w:rPr>
          <w:sz w:val="20"/>
          <w:szCs w:val="20"/>
          <w:color w:val="auto"/>
        </w:rPr>
      </w:pPr>
    </w:p>
    <w:p>
      <w:pPr>
        <w:spacing w:after="0" w:line="311"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WHERE YOU CAN FIND MORE INFORMATION</w:t>
      </w:r>
    </w:p>
    <w:p>
      <w:pPr>
        <w:spacing w:after="0" w:line="362"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We file annual, quarterly and special reports, proxy statements and other information with the SEC. You may read and copy any reports, statements or other information we file with the SEC at its public reference room at 450 Fifth Street, N.W., Washington, D.C. 20549. Please call the SEC at 1-800-SEC-0330 for further information on the public reference room. Our filings are also available to the public on the Internet, through a database maintained by the SEC at http://www.sec.gov.</w:t>
      </w:r>
    </w:p>
    <w:p>
      <w:pPr>
        <w:spacing w:after="0" w:line="184" w:lineRule="exact"/>
        <w:rPr>
          <w:sz w:val="20"/>
          <w:szCs w:val="20"/>
          <w:color w:val="auto"/>
        </w:rPr>
      </w:pPr>
    </w:p>
    <w:p>
      <w:pPr>
        <w:ind w:right="2879" w:firstLine="837"/>
        <w:spacing w:after="0" w:line="236" w:lineRule="auto"/>
        <w:rPr>
          <w:sz w:val="20"/>
          <w:szCs w:val="20"/>
          <w:color w:val="auto"/>
        </w:rPr>
      </w:pPr>
      <w:r>
        <w:rPr>
          <w:rFonts w:ascii="Courier New" w:cs="Courier New" w:eastAsia="Courier New" w:hAnsi="Courier New"/>
          <w:sz w:val="16"/>
          <w:szCs w:val="16"/>
          <w:color w:val="auto"/>
        </w:rPr>
        <w:t>We filed a registration statement on Form S-3 to register with the SEC the securities described in this prospectus. This prospectus is part of that registration statement. As permitted by SEC rules, this prospectus does not contain all the information contained in the registration statement or the exhibits to the registration statement. You may refer to the registration statement and accompanying exhibits for more information about us and our securities.</w:t>
      </w:r>
    </w:p>
    <w:p>
      <w:pPr>
        <w:spacing w:after="0" w:line="184"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The SEC allows us to incorporate by reference into this document the information we or other persons have filed, or will file, with the SEC. This means that we can disclose important business, financial and other information to you by referring you to other documents separately filed with the SEC. All information incorporated by reference is part of this document, unless and until that information is updated and superseded by the information contained in this document or any information incorporated later.</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We incorporate by reference the documents listed below:</w:t>
      </w:r>
    </w:p>
    <w:p>
      <w:pPr>
        <w:spacing w:after="0" w:line="177" w:lineRule="exact"/>
        <w:rPr>
          <w:sz w:val="20"/>
          <w:szCs w:val="20"/>
          <w:color w:val="auto"/>
        </w:rPr>
      </w:pPr>
    </w:p>
    <w:p>
      <w:pPr>
        <w:ind w:left="1300" w:hanging="467"/>
        <w:spacing w:after="0"/>
        <w:tabs>
          <w:tab w:leader="none" w:pos="13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current report on Form 8-K/A filed August 14, 2002;</w:t>
      </w:r>
    </w:p>
    <w:p>
      <w:pPr>
        <w:spacing w:after="0" w:line="182" w:lineRule="exact"/>
        <w:rPr>
          <w:rFonts w:ascii="Courier New" w:cs="Courier New" w:eastAsia="Courier New" w:hAnsi="Courier New"/>
          <w:sz w:val="16"/>
          <w:szCs w:val="16"/>
          <w:color w:val="auto"/>
        </w:rPr>
      </w:pPr>
    </w:p>
    <w:p>
      <w:pPr>
        <w:ind w:left="1300" w:right="3519" w:hanging="467"/>
        <w:spacing w:after="0" w:line="234" w:lineRule="auto"/>
        <w:tabs>
          <w:tab w:leader="none" w:pos="13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current report filed pursuant to Item 5 of Form 8-K on September 27, 2002;</w:t>
      </w:r>
    </w:p>
    <w:p>
      <w:pPr>
        <w:spacing w:after="0" w:line="183" w:lineRule="exact"/>
        <w:rPr>
          <w:rFonts w:ascii="Courier New" w:cs="Courier New" w:eastAsia="Courier New" w:hAnsi="Courier New"/>
          <w:sz w:val="16"/>
          <w:szCs w:val="16"/>
          <w:color w:val="auto"/>
        </w:rPr>
      </w:pPr>
    </w:p>
    <w:p>
      <w:pPr>
        <w:ind w:left="1300" w:right="2879" w:hanging="467"/>
        <w:spacing w:after="0" w:line="234" w:lineRule="auto"/>
        <w:tabs>
          <w:tab w:leader="none" w:pos="13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annual report on Form 10-K for the fiscal year ended June 30, 2002, filed September 25, 2002; and</w:t>
      </w:r>
    </w:p>
    <w:p>
      <w:pPr>
        <w:spacing w:after="0" w:line="183" w:lineRule="exact"/>
        <w:rPr>
          <w:rFonts w:ascii="Courier New" w:cs="Courier New" w:eastAsia="Courier New" w:hAnsi="Courier New"/>
          <w:sz w:val="16"/>
          <w:szCs w:val="16"/>
          <w:color w:val="auto"/>
        </w:rPr>
      </w:pPr>
    </w:p>
    <w:p>
      <w:pPr>
        <w:ind w:left="1300" w:right="2879" w:hanging="467"/>
        <w:spacing w:after="0" w:line="235" w:lineRule="auto"/>
        <w:tabs>
          <w:tab w:leader="none" w:pos="13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description of our common stock contained in our registration statement on Form 10 filed pursuant to Section 12 of the Securities Exchange Act of 1934 on October 4, 1988 as amended on Form 8 on January 5, 1989 and February 15, 1989.</w:t>
      </w:r>
    </w:p>
    <w:p>
      <w:pPr>
        <w:spacing w:after="0" w:line="35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469" w:right="1440" w:bottom="1440" w:gutter="0" w:footer="0" w:header="0"/>
        </w:sectPr>
      </w:pPr>
    </w:p>
    <w:bookmarkStart w:id="6" w:name="page7"/>
    <w:bookmarkEnd w:id="6"/>
    <w:p>
      <w:pPr>
        <w:ind w:right="2779" w:firstLine="837"/>
        <w:spacing w:after="0" w:line="236" w:lineRule="auto"/>
        <w:rPr>
          <w:sz w:val="20"/>
          <w:szCs w:val="20"/>
          <w:color w:val="auto"/>
        </w:rPr>
      </w:pPr>
      <w:r>
        <w:rPr>
          <w:rFonts w:ascii="Courier New" w:cs="Courier New" w:eastAsia="Courier New" w:hAnsi="Courier New"/>
          <w:sz w:val="16"/>
          <w:szCs w:val="16"/>
          <w:color w:val="auto"/>
        </w:rPr>
        <w:t>We also incorporate by reference all future filings we make with the SEC under Sections 13(a), 13(c), 14 or 15(d) of the Securities and Exchange Act of 1934 on or (1) after the date of the filing of the registration statement containing this prospectus and prior to the effectiveness of such registration statement and (2) after the date of this prospectus and prior to the termination of the offering made hereby.</w:t>
      </w:r>
    </w:p>
    <w:p>
      <w:pPr>
        <w:spacing w:after="0" w:line="183" w:lineRule="exact"/>
        <w:rPr>
          <w:sz w:val="20"/>
          <w:szCs w:val="20"/>
          <w:color w:val="auto"/>
        </w:rPr>
      </w:pPr>
    </w:p>
    <w:p>
      <w:pPr>
        <w:ind w:right="3239" w:firstLine="837"/>
        <w:spacing w:after="0" w:line="295" w:lineRule="auto"/>
        <w:rPr>
          <w:sz w:val="20"/>
          <w:szCs w:val="20"/>
          <w:color w:val="auto"/>
        </w:rPr>
      </w:pPr>
      <w:r>
        <w:rPr>
          <w:rFonts w:ascii="Courier New" w:cs="Courier New" w:eastAsia="Courier New" w:hAnsi="Courier New"/>
          <w:sz w:val="14"/>
          <w:szCs w:val="14"/>
          <w:color w:val="auto"/>
        </w:rPr>
        <w:t>You may request a copy of these filings, at no cost, by writing or telephoning our Investor Relations Department at the following address:</w:t>
      </w:r>
    </w:p>
    <w:p>
      <w:pPr>
        <w:spacing w:after="0" w:line="141"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ClearOne Communications, Inc.</w:t>
      </w:r>
    </w:p>
    <w:p>
      <w:pPr>
        <w:ind w:left="840"/>
        <w:spacing w:after="0" w:line="236" w:lineRule="auto"/>
        <w:rPr>
          <w:sz w:val="20"/>
          <w:szCs w:val="20"/>
          <w:color w:val="auto"/>
        </w:rPr>
      </w:pPr>
      <w:r>
        <w:rPr>
          <w:rFonts w:ascii="Courier New" w:cs="Courier New" w:eastAsia="Courier New" w:hAnsi="Courier New"/>
          <w:sz w:val="16"/>
          <w:szCs w:val="16"/>
          <w:color w:val="auto"/>
        </w:rPr>
        <w:t>1825 Research Way</w:t>
      </w:r>
    </w:p>
    <w:p>
      <w:pPr>
        <w:ind w:left="840"/>
        <w:spacing w:after="0" w:line="237" w:lineRule="auto"/>
        <w:rPr>
          <w:sz w:val="20"/>
          <w:szCs w:val="20"/>
          <w:color w:val="auto"/>
        </w:rPr>
      </w:pPr>
      <w:r>
        <w:rPr>
          <w:rFonts w:ascii="Courier New" w:cs="Courier New" w:eastAsia="Courier New" w:hAnsi="Courier New"/>
          <w:sz w:val="16"/>
          <w:szCs w:val="16"/>
          <w:color w:val="auto"/>
        </w:rPr>
        <w:t>Salt Lake City, Utah 84119</w:t>
      </w:r>
    </w:p>
    <w:p>
      <w:pPr>
        <w:ind w:left="840"/>
        <w:spacing w:after="0" w:line="237" w:lineRule="auto"/>
        <w:rPr>
          <w:sz w:val="20"/>
          <w:szCs w:val="20"/>
          <w:color w:val="auto"/>
        </w:rPr>
      </w:pPr>
      <w:r>
        <w:rPr>
          <w:rFonts w:ascii="Courier New" w:cs="Courier New" w:eastAsia="Courier New" w:hAnsi="Courier New"/>
          <w:sz w:val="16"/>
          <w:szCs w:val="16"/>
          <w:color w:val="auto"/>
        </w:rPr>
        <w:t>Attention: Investor Relations</w:t>
      </w:r>
    </w:p>
    <w:p>
      <w:pPr>
        <w:ind w:left="840"/>
        <w:spacing w:after="0" w:line="237" w:lineRule="auto"/>
        <w:rPr>
          <w:sz w:val="20"/>
          <w:szCs w:val="20"/>
          <w:color w:val="auto"/>
        </w:rPr>
      </w:pPr>
      <w:r>
        <w:rPr>
          <w:rFonts w:ascii="Courier New" w:cs="Courier New" w:eastAsia="Courier New" w:hAnsi="Courier New"/>
          <w:sz w:val="16"/>
          <w:szCs w:val="16"/>
          <w:color w:val="auto"/>
        </w:rPr>
        <w:t>(801) 975-7200</w:t>
      </w:r>
    </w:p>
    <w:p>
      <w:pPr>
        <w:spacing w:after="0" w:line="183" w:lineRule="exact"/>
        <w:rPr>
          <w:sz w:val="20"/>
          <w:szCs w:val="20"/>
          <w:color w:val="auto"/>
        </w:rPr>
      </w:pPr>
    </w:p>
    <w:p>
      <w:pPr>
        <w:ind w:right="2779" w:firstLine="837"/>
        <w:spacing w:after="0" w:line="273" w:lineRule="auto"/>
        <w:rPr>
          <w:sz w:val="20"/>
          <w:szCs w:val="20"/>
          <w:color w:val="auto"/>
        </w:rPr>
      </w:pPr>
      <w:r>
        <w:rPr>
          <w:rFonts w:ascii="Courier New" w:cs="Courier New" w:eastAsia="Courier New" w:hAnsi="Courier New"/>
          <w:sz w:val="14"/>
          <w:szCs w:val="14"/>
          <w:color w:val="auto"/>
        </w:rPr>
        <w:t>You should only rely on the information contained or incorporated by reference in this prospectus and any prospectus supplement. We have not authorized any other person to provide you with different information. If anyone provides you with different or inconsistent information you should not rely on it. We are not making an offer to sell these securities in any jurisdiction where the offer and sale is not permitted. You should assume that the information appearing in this prospectus and information incorporated by reference into this prospectus is accurate only as of the date of the documents containing the information. Our business, financial condition, results of operation and prospects may have changed since that date.</w:t>
      </w:r>
    </w:p>
    <w:p>
      <w:pPr>
        <w:spacing w:after="0" w:line="200" w:lineRule="exact"/>
        <w:rPr>
          <w:sz w:val="20"/>
          <w:szCs w:val="20"/>
          <w:color w:val="auto"/>
        </w:rPr>
      </w:pPr>
    </w:p>
    <w:p>
      <w:pPr>
        <w:spacing w:after="0" w:line="317"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FORWARD-LOOKING STATEMENTS</w:t>
      </w:r>
    </w:p>
    <w:p>
      <w:pPr>
        <w:spacing w:after="0" w:line="362" w:lineRule="exact"/>
        <w:rPr>
          <w:sz w:val="20"/>
          <w:szCs w:val="20"/>
          <w:color w:val="auto"/>
        </w:rPr>
      </w:pPr>
    </w:p>
    <w:p>
      <w:pPr>
        <w:ind w:right="2779" w:firstLine="837"/>
        <w:spacing w:after="0" w:line="273" w:lineRule="auto"/>
        <w:rPr>
          <w:sz w:val="20"/>
          <w:szCs w:val="20"/>
          <w:color w:val="auto"/>
        </w:rPr>
      </w:pPr>
      <w:r>
        <w:rPr>
          <w:rFonts w:ascii="Courier New" w:cs="Courier New" w:eastAsia="Courier New" w:hAnsi="Courier New"/>
          <w:sz w:val="14"/>
          <w:szCs w:val="14"/>
          <w:color w:val="auto"/>
        </w:rPr>
        <w:t>Some statements and disclosures in this prospectus, including the documents incorporated by reference, are forward-looking statements. Forward-looking statements include all statements that do not relate solely to historical or current facts and can often be identified by the use of words such as "may," "believe," "will," "expect," "project," "estimate," "anticipate," "plan" or "continue." These forward-looking statements are based on our current plans and expectations and are subject to a number of risks and uncertainties that could significantly cause our plans and expectations, including actual results, to differ materially from the forward-looking statements. The Private Securities Litigation Reform Act of 1995 provides a "safe harbor" for forward-looking statements to encourage companies to provide prospective information about their companies without fear of litigation.</w:t>
      </w:r>
    </w:p>
    <w:p>
      <w:pPr>
        <w:spacing w:after="0" w:line="341"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We wish to take advantage of the "safe harbor" provisions of the Litigation Reform Act in connection with the forward-looking statements included in this prospectus, including the documents incorporated by reference. Investors are cautioned not to unduly rely on such forward-looking statements when evaluating the information presented in these documents. The factors that could cause our actual financial results to differ materially from those projected, forecasted or estimated by us in forward-looking statements are contained in the Forms 8-K, 10-K and 10-Q that we filed. In addition, they will also be contained in the prospectus supplement.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833" w:right="1440" w:bottom="1440" w:gutter="0" w:footer="0" w:header="0"/>
        </w:sectPr>
      </w:pPr>
    </w:p>
    <w:bookmarkStart w:id="7" w:name="page8"/>
    <w:bookmarkEnd w:id="7"/>
    <w:p>
      <w:pPr>
        <w:ind w:left="2420"/>
        <w:spacing w:after="0"/>
        <w:rPr>
          <w:sz w:val="20"/>
          <w:szCs w:val="20"/>
          <w:color w:val="auto"/>
        </w:rPr>
      </w:pPr>
      <w:r>
        <w:rPr>
          <w:rFonts w:ascii="Courier New" w:cs="Courier New" w:eastAsia="Courier New" w:hAnsi="Courier New"/>
          <w:sz w:val="16"/>
          <w:szCs w:val="16"/>
          <w:color w:val="auto"/>
        </w:rPr>
        <w:t>CLEARONE COMMUNICATIONS, INC.</w:t>
      </w:r>
    </w:p>
    <w:p>
      <w:pPr>
        <w:spacing w:after="0" w:line="362" w:lineRule="exact"/>
        <w:rPr>
          <w:sz w:val="20"/>
          <w:szCs w:val="20"/>
          <w:color w:val="auto"/>
        </w:rPr>
      </w:pPr>
    </w:p>
    <w:p>
      <w:pPr>
        <w:ind w:right="2779" w:firstLine="837"/>
        <w:spacing w:after="0" w:line="283" w:lineRule="auto"/>
        <w:rPr>
          <w:sz w:val="20"/>
          <w:szCs w:val="20"/>
          <w:color w:val="auto"/>
        </w:rPr>
      </w:pPr>
      <w:r>
        <w:rPr>
          <w:rFonts w:ascii="Courier New" w:cs="Courier New" w:eastAsia="Courier New" w:hAnsi="Courier New"/>
          <w:sz w:val="14"/>
          <w:szCs w:val="14"/>
          <w:color w:val="auto"/>
        </w:rPr>
        <w:t>We are a provider of end-to-end conferencing solutions. Our products and services enable businesses, employees, customers and partners to communicate effectively from disparate locations, while decreasing travel time and costs.</w:t>
      </w:r>
    </w:p>
    <w:p>
      <w:pPr>
        <w:spacing w:after="0" w:line="155" w:lineRule="exact"/>
        <w:rPr>
          <w:sz w:val="20"/>
          <w:szCs w:val="20"/>
          <w:color w:val="auto"/>
        </w:rPr>
      </w:pPr>
    </w:p>
    <w:p>
      <w:pPr>
        <w:ind w:right="2879" w:firstLine="837"/>
        <w:spacing w:after="0" w:line="234" w:lineRule="auto"/>
        <w:rPr>
          <w:sz w:val="20"/>
          <w:szCs w:val="20"/>
          <w:color w:val="auto"/>
        </w:rPr>
      </w:pPr>
      <w:r>
        <w:rPr>
          <w:rFonts w:ascii="Courier New" w:cs="Courier New" w:eastAsia="Courier New" w:hAnsi="Courier New"/>
          <w:sz w:val="16"/>
          <w:szCs w:val="16"/>
          <w:color w:val="auto"/>
        </w:rPr>
        <w:t>We operate in three business segments: products, conferencing services and business services.</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Products</w:t>
      </w:r>
    </w:p>
    <w:p>
      <w:pPr>
        <w:spacing w:after="0" w:line="183" w:lineRule="exact"/>
        <w:rPr>
          <w:sz w:val="20"/>
          <w:szCs w:val="20"/>
          <w:color w:val="auto"/>
        </w:rPr>
      </w:pPr>
    </w:p>
    <w:p>
      <w:pPr>
        <w:ind w:right="3239" w:firstLine="837"/>
        <w:spacing w:after="0" w:line="234" w:lineRule="auto"/>
        <w:rPr>
          <w:sz w:val="20"/>
          <w:szCs w:val="20"/>
          <w:color w:val="auto"/>
        </w:rPr>
      </w:pPr>
      <w:r>
        <w:rPr>
          <w:rFonts w:ascii="Courier New" w:cs="Courier New" w:eastAsia="Courier New" w:hAnsi="Courier New"/>
          <w:sz w:val="16"/>
          <w:szCs w:val="16"/>
          <w:color w:val="auto"/>
        </w:rPr>
        <w:t>Our products segment primarily manufactures and sells high quality products such as:</w:t>
      </w:r>
    </w:p>
    <w:p>
      <w:pPr>
        <w:spacing w:after="0" w:line="177" w:lineRule="exact"/>
        <w:rPr>
          <w:sz w:val="20"/>
          <w:szCs w:val="20"/>
          <w:color w:val="auto"/>
        </w:rPr>
      </w:pPr>
    </w:p>
    <w:p>
      <w:pPr>
        <w:ind w:left="1300" w:hanging="467"/>
        <w:spacing w:after="0"/>
        <w:tabs>
          <w:tab w:leader="none" w:pos="13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audio conferencing products;</w:t>
      </w:r>
    </w:p>
    <w:p>
      <w:pPr>
        <w:spacing w:after="0" w:line="176" w:lineRule="exact"/>
        <w:rPr>
          <w:rFonts w:ascii="Courier New" w:cs="Courier New" w:eastAsia="Courier New" w:hAnsi="Courier New"/>
          <w:sz w:val="16"/>
          <w:szCs w:val="16"/>
          <w:color w:val="auto"/>
        </w:rPr>
      </w:pPr>
    </w:p>
    <w:p>
      <w:pPr>
        <w:ind w:left="1300" w:hanging="467"/>
        <w:spacing w:after="0"/>
        <w:tabs>
          <w:tab w:leader="none" w:pos="13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video conferencing products;</w:t>
      </w:r>
    </w:p>
    <w:p>
      <w:pPr>
        <w:spacing w:after="0" w:line="176" w:lineRule="exact"/>
        <w:rPr>
          <w:rFonts w:ascii="Courier New" w:cs="Courier New" w:eastAsia="Courier New" w:hAnsi="Courier New"/>
          <w:sz w:val="16"/>
          <w:szCs w:val="16"/>
          <w:color w:val="auto"/>
        </w:rPr>
      </w:pPr>
    </w:p>
    <w:p>
      <w:pPr>
        <w:ind w:left="1300" w:hanging="467"/>
        <w:spacing w:after="0"/>
        <w:tabs>
          <w:tab w:leader="none" w:pos="13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sound reinforcement products; and</w:t>
      </w:r>
    </w:p>
    <w:p>
      <w:pPr>
        <w:spacing w:after="0" w:line="182" w:lineRule="exact"/>
        <w:rPr>
          <w:rFonts w:ascii="Courier New" w:cs="Courier New" w:eastAsia="Courier New" w:hAnsi="Courier New"/>
          <w:sz w:val="16"/>
          <w:szCs w:val="16"/>
          <w:color w:val="auto"/>
        </w:rPr>
      </w:pPr>
    </w:p>
    <w:p>
      <w:pPr>
        <w:ind w:left="840" w:right="3159" w:hanging="7"/>
        <w:spacing w:after="0" w:line="465" w:lineRule="auto"/>
        <w:tabs>
          <w:tab w:leader="none" w:pos="130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video conferencing peripherals, such as cameras and furniture. Conferencing Services</w:t>
      </w:r>
    </w:p>
    <w:p>
      <w:pPr>
        <w:spacing w:after="0" w:line="7" w:lineRule="exact"/>
        <w:rPr>
          <w:rFonts w:ascii="Courier New" w:cs="Courier New" w:eastAsia="Courier New" w:hAnsi="Courier New"/>
          <w:sz w:val="16"/>
          <w:szCs w:val="16"/>
          <w:color w:val="auto"/>
        </w:rPr>
      </w:pPr>
    </w:p>
    <w:p>
      <w:pPr>
        <w:ind w:left="8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Our conferencing services segment provides:</w:t>
      </w:r>
    </w:p>
    <w:p>
      <w:pPr>
        <w:spacing w:after="0" w:line="176" w:lineRule="exact"/>
        <w:rPr>
          <w:rFonts w:ascii="Courier New" w:cs="Courier New" w:eastAsia="Courier New" w:hAnsi="Courier New"/>
          <w:sz w:val="16"/>
          <w:szCs w:val="16"/>
          <w:color w:val="auto"/>
        </w:rPr>
      </w:pPr>
    </w:p>
    <w:p>
      <w:pPr>
        <w:ind w:left="1300" w:hanging="467"/>
        <w:spacing w:after="0"/>
        <w:tabs>
          <w:tab w:leader="none" w:pos="13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full-service conference calling;</w:t>
      </w:r>
    </w:p>
    <w:p>
      <w:pPr>
        <w:spacing w:after="0" w:line="176" w:lineRule="exact"/>
        <w:rPr>
          <w:rFonts w:ascii="Courier New" w:cs="Courier New" w:eastAsia="Courier New" w:hAnsi="Courier New"/>
          <w:sz w:val="16"/>
          <w:szCs w:val="16"/>
          <w:color w:val="auto"/>
        </w:rPr>
      </w:pPr>
    </w:p>
    <w:p>
      <w:pPr>
        <w:ind w:left="1300" w:hanging="467"/>
        <w:spacing w:after="0"/>
        <w:tabs>
          <w:tab w:leader="none" w:pos="13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on-demand, reservationless conference calling;</w:t>
      </w:r>
    </w:p>
    <w:p>
      <w:pPr>
        <w:spacing w:after="0" w:line="176" w:lineRule="exact"/>
        <w:rPr>
          <w:rFonts w:ascii="Courier New" w:cs="Courier New" w:eastAsia="Courier New" w:hAnsi="Courier New"/>
          <w:sz w:val="16"/>
          <w:szCs w:val="16"/>
          <w:color w:val="auto"/>
        </w:rPr>
      </w:pPr>
    </w:p>
    <w:p>
      <w:pPr>
        <w:ind w:left="1300" w:hanging="467"/>
        <w:spacing w:after="0"/>
        <w:tabs>
          <w:tab w:leader="none" w:pos="13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web conferencing;</w:t>
      </w:r>
    </w:p>
    <w:p>
      <w:pPr>
        <w:spacing w:after="0" w:line="176" w:lineRule="exact"/>
        <w:rPr>
          <w:rFonts w:ascii="Courier New" w:cs="Courier New" w:eastAsia="Courier New" w:hAnsi="Courier New"/>
          <w:sz w:val="16"/>
          <w:szCs w:val="16"/>
          <w:color w:val="auto"/>
        </w:rPr>
      </w:pPr>
    </w:p>
    <w:p>
      <w:pPr>
        <w:ind w:left="1300" w:hanging="467"/>
        <w:spacing w:after="0"/>
        <w:tabs>
          <w:tab w:leader="none" w:pos="13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audio and video streaming; and</w:t>
      </w:r>
    </w:p>
    <w:p>
      <w:pPr>
        <w:spacing w:after="0" w:line="176" w:lineRule="exact"/>
        <w:rPr>
          <w:rFonts w:ascii="Courier New" w:cs="Courier New" w:eastAsia="Courier New" w:hAnsi="Courier New"/>
          <w:sz w:val="16"/>
          <w:szCs w:val="16"/>
          <w:color w:val="auto"/>
        </w:rPr>
      </w:pPr>
    </w:p>
    <w:p>
      <w:pPr>
        <w:ind w:left="1300" w:hanging="467"/>
        <w:spacing w:after="0"/>
        <w:tabs>
          <w:tab w:leader="none" w:pos="13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customer training and education.</w:t>
      </w:r>
    </w:p>
    <w:p>
      <w:pPr>
        <w:spacing w:after="0" w:line="183" w:lineRule="exact"/>
        <w:rPr>
          <w:sz w:val="20"/>
          <w:szCs w:val="20"/>
          <w:color w:val="auto"/>
        </w:rPr>
      </w:pPr>
    </w:p>
    <w:p>
      <w:pPr>
        <w:ind w:right="2779" w:firstLine="837"/>
        <w:spacing w:after="0" w:line="295" w:lineRule="auto"/>
        <w:rPr>
          <w:sz w:val="20"/>
          <w:szCs w:val="20"/>
          <w:color w:val="auto"/>
        </w:rPr>
      </w:pPr>
      <w:r>
        <w:rPr>
          <w:rFonts w:ascii="Courier New" w:cs="Courier New" w:eastAsia="Courier New" w:hAnsi="Courier New"/>
          <w:sz w:val="14"/>
          <w:szCs w:val="14"/>
          <w:color w:val="auto"/>
        </w:rPr>
        <w:t>Our single point of contact, 1-800 LETS MEET(R), allows our customers easy and cost-effective access to our complete breadth of conferencing services.</w:t>
      </w:r>
    </w:p>
    <w:p>
      <w:pPr>
        <w:spacing w:after="0" w:line="141"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Business Services</w:t>
      </w:r>
    </w:p>
    <w:p>
      <w:pPr>
        <w:spacing w:after="0" w:line="183" w:lineRule="exact"/>
        <w:rPr>
          <w:sz w:val="20"/>
          <w:szCs w:val="20"/>
          <w:color w:val="auto"/>
        </w:rPr>
      </w:pPr>
    </w:p>
    <w:p>
      <w:pPr>
        <w:ind w:right="2879" w:firstLine="837"/>
        <w:spacing w:after="0" w:line="234" w:lineRule="auto"/>
        <w:rPr>
          <w:sz w:val="20"/>
          <w:szCs w:val="20"/>
          <w:color w:val="auto"/>
        </w:rPr>
      </w:pPr>
      <w:r>
        <w:rPr>
          <w:rFonts w:ascii="Courier New" w:cs="Courier New" w:eastAsia="Courier New" w:hAnsi="Courier New"/>
          <w:sz w:val="16"/>
          <w:szCs w:val="16"/>
          <w:color w:val="auto"/>
        </w:rPr>
        <w:t>Our business services segment provides customers with a broad range of services on a local and national basis including:</w:t>
      </w:r>
    </w:p>
    <w:p>
      <w:pPr>
        <w:spacing w:after="0" w:line="183" w:lineRule="exact"/>
        <w:rPr>
          <w:sz w:val="20"/>
          <w:szCs w:val="20"/>
          <w:color w:val="auto"/>
        </w:rPr>
      </w:pPr>
    </w:p>
    <w:p>
      <w:pPr>
        <w:ind w:left="1300" w:right="2879" w:hanging="467"/>
        <w:spacing w:after="0" w:line="234" w:lineRule="auto"/>
        <w:tabs>
          <w:tab w:leader="none" w:pos="13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technical services such as the design, installation and servicing of systems; and</w:t>
      </w:r>
    </w:p>
    <w:p>
      <w:pPr>
        <w:spacing w:after="0" w:line="183" w:lineRule="exact"/>
        <w:rPr>
          <w:rFonts w:ascii="Courier New" w:cs="Courier New" w:eastAsia="Courier New" w:hAnsi="Courier New"/>
          <w:sz w:val="16"/>
          <w:szCs w:val="16"/>
          <w:color w:val="auto"/>
        </w:rPr>
      </w:pPr>
    </w:p>
    <w:p>
      <w:pPr>
        <w:ind w:left="1300" w:right="3059" w:hanging="467"/>
        <w:spacing w:after="0" w:line="234" w:lineRule="auto"/>
        <w:tabs>
          <w:tab w:leader="none" w:pos="13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value added services such as proactive field support, training, system consulting and help desk.</w:t>
      </w:r>
    </w:p>
    <w:p>
      <w:pPr>
        <w:spacing w:after="0" w:line="183" w:lineRule="exact"/>
        <w:rPr>
          <w:sz w:val="20"/>
          <w:szCs w:val="20"/>
          <w:color w:val="auto"/>
        </w:rPr>
      </w:pPr>
    </w:p>
    <w:p>
      <w:pPr>
        <w:ind w:right="2779" w:firstLine="837"/>
        <w:spacing w:after="0" w:line="274" w:lineRule="auto"/>
        <w:rPr>
          <w:sz w:val="20"/>
          <w:szCs w:val="20"/>
          <w:color w:val="auto"/>
        </w:rPr>
      </w:pPr>
      <w:r>
        <w:rPr>
          <w:rFonts w:ascii="Courier New" w:cs="Courier New" w:eastAsia="Courier New" w:hAnsi="Courier New"/>
          <w:sz w:val="14"/>
          <w:szCs w:val="14"/>
          <w:color w:val="auto"/>
        </w:rPr>
        <w:t>Our conferencing systems are designed for use in board and conference rooms, lecture halls, classrooms, courtrooms, theaters, museums, churches, professional broadcast facilities and streaming network facilities. Our major customers include large technology and telecommunications distributors and major conferencing services vendors. We sell our products and services through our direct sales force and a network of independent dealers, distributors, value-added resellers and retailers. We manufacture most of our audio and video conferencing equipment in-house using modern, modular assembly workstations that</w:t>
      </w:r>
    </w:p>
    <w:p>
      <w:pPr>
        <w:spacing w:after="0" w:line="33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827" w:right="1440" w:bottom="1440" w:gutter="0" w:footer="0" w:header="0"/>
        </w:sectPr>
      </w:pPr>
    </w:p>
    <w:bookmarkStart w:id="8" w:name="page9"/>
    <w:bookmarkEnd w:id="8"/>
    <w:p>
      <w:pPr>
        <w:jc w:val="both"/>
        <w:ind w:right="2779"/>
        <w:spacing w:after="0" w:line="235" w:lineRule="auto"/>
        <w:rPr>
          <w:sz w:val="20"/>
          <w:szCs w:val="20"/>
          <w:color w:val="auto"/>
        </w:rPr>
      </w:pPr>
      <w:r>
        <w:rPr>
          <w:rFonts w:ascii="Courier New" w:cs="Courier New" w:eastAsia="Courier New" w:hAnsi="Courier New"/>
          <w:sz w:val="16"/>
          <w:szCs w:val="16"/>
          <w:color w:val="auto"/>
        </w:rPr>
        <w:t>are designed to enhance the efficiency and quality of the manufacturing process. Our cameras are manufactured through a contract manufacturing facility. We also build our own custom conferencing furniture.</w:t>
      </w:r>
    </w:p>
    <w:p>
      <w:pPr>
        <w:spacing w:after="0" w:line="183" w:lineRule="exact"/>
        <w:rPr>
          <w:sz w:val="20"/>
          <w:szCs w:val="20"/>
          <w:color w:val="auto"/>
        </w:rPr>
      </w:pPr>
    </w:p>
    <w:p>
      <w:pPr>
        <w:ind w:right="2959" w:firstLine="837"/>
        <w:spacing w:after="0" w:line="234" w:lineRule="auto"/>
        <w:rPr>
          <w:sz w:val="20"/>
          <w:szCs w:val="20"/>
          <w:color w:val="auto"/>
        </w:rPr>
      </w:pPr>
      <w:r>
        <w:rPr>
          <w:rFonts w:ascii="Courier New" w:cs="Courier New" w:eastAsia="Courier New" w:hAnsi="Courier New"/>
          <w:sz w:val="16"/>
          <w:szCs w:val="16"/>
          <w:color w:val="auto"/>
        </w:rPr>
        <w:t>Our principal office is located at 1825 Research Way, Salt lake City, UT 84119, our telephone number is (801) 975-7200.</w:t>
      </w:r>
    </w:p>
    <w:p>
      <w:pPr>
        <w:spacing w:after="0" w:line="356"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RISK FACTORS</w:t>
      </w:r>
    </w:p>
    <w:p>
      <w:pPr>
        <w:spacing w:after="0" w:line="362"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Investing in the securities to be offered pursuant to this prospectus may involve a high degree of risk. These risks will be set forth in a prospectus supplement relating to the securities to be offered by that prospectus supplement. You should carefully consider the important factors set forth under the heading "Risk Factors" in the applicable supplement to this prospectus before investing in any securities that may be offered.</w:t>
      </w:r>
    </w:p>
    <w:p>
      <w:pPr>
        <w:spacing w:after="0" w:line="356"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RATIO OF EARNINGS TO FIXED CHARGES</w:t>
      </w:r>
    </w:p>
    <w:p>
      <w:pPr>
        <w:spacing w:after="0" w:line="362" w:lineRule="exact"/>
        <w:rPr>
          <w:sz w:val="20"/>
          <w:szCs w:val="20"/>
          <w:color w:val="auto"/>
        </w:rPr>
      </w:pPr>
    </w:p>
    <w:p>
      <w:pPr>
        <w:jc w:val="both"/>
        <w:ind w:right="3239" w:firstLine="837"/>
        <w:spacing w:after="0" w:line="283" w:lineRule="auto"/>
        <w:rPr>
          <w:sz w:val="20"/>
          <w:szCs w:val="20"/>
          <w:color w:val="auto"/>
        </w:rPr>
      </w:pPr>
      <w:r>
        <w:rPr>
          <w:rFonts w:ascii="Courier New" w:cs="Courier New" w:eastAsia="Courier New" w:hAnsi="Courier New"/>
          <w:sz w:val="14"/>
          <w:szCs w:val="14"/>
          <w:color w:val="auto"/>
        </w:rPr>
        <w:t>Set forth below is information concerning our ratio of earnings to fixed charges. This ratio is provided to assist investors in evaluating our ability to meet the interest requirements of debt securities.</w:t>
      </w:r>
    </w:p>
    <w:p>
      <w:pPr>
        <w:spacing w:after="0" w:line="155" w:lineRule="exact"/>
        <w:rPr>
          <w:sz w:val="20"/>
          <w:szCs w:val="20"/>
          <w:color w:val="auto"/>
        </w:rPr>
      </w:pPr>
    </w:p>
    <w:p>
      <w:pPr>
        <w:ind w:right="2779" w:firstLine="837"/>
        <w:spacing w:after="0" w:line="235" w:lineRule="auto"/>
        <w:rPr>
          <w:sz w:val="20"/>
          <w:szCs w:val="20"/>
          <w:color w:val="auto"/>
        </w:rPr>
      </w:pPr>
      <w:r>
        <w:rPr>
          <w:rFonts w:ascii="Courier New" w:cs="Courier New" w:eastAsia="Courier New" w:hAnsi="Courier New"/>
          <w:sz w:val="16"/>
          <w:szCs w:val="16"/>
          <w:color w:val="auto"/>
        </w:rPr>
        <w:t>For this purpose, earnings consist of pre-tax income from continuing operations plus fixed charges. Fixed charges consist of interest expense and the portion of rental expense we deemed representative of an appropriate interest factor.</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9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40" w:type="dxa"/>
            <w:vAlign w:val="bottom"/>
            <w:gridSpan w:val="3"/>
          </w:tcPr>
          <w:p>
            <w:pPr>
              <w:jc w:val="right"/>
              <w:ind w:right="2"/>
              <w:spacing w:after="0"/>
              <w:rPr>
                <w:sz w:val="20"/>
                <w:szCs w:val="20"/>
                <w:color w:val="auto"/>
              </w:rPr>
            </w:pPr>
            <w:r>
              <w:rPr>
                <w:rFonts w:ascii="Courier New" w:cs="Courier New" w:eastAsia="Courier New" w:hAnsi="Courier New"/>
                <w:sz w:val="16"/>
                <w:szCs w:val="16"/>
                <w:color w:val="auto"/>
              </w:rPr>
              <w:t>Year Ended June 30,</w:t>
            </w:r>
          </w:p>
        </w:tc>
        <w:tc>
          <w:tcPr>
            <w:tcW w:w="660" w:type="dxa"/>
            <w:vAlign w:val="bottom"/>
          </w:tcPr>
          <w:p>
            <w:pPr>
              <w:spacing w:after="0"/>
              <w:rPr>
                <w:sz w:val="15"/>
                <w:szCs w:val="15"/>
                <w:color w:val="auto"/>
              </w:rPr>
            </w:pPr>
          </w:p>
        </w:tc>
      </w:tr>
      <w:tr>
        <w:trPr>
          <w:trHeight w:val="179"/>
        </w:trPr>
        <w:tc>
          <w:tcPr>
            <w:tcW w:w="3940" w:type="dxa"/>
            <w:vAlign w:val="bottom"/>
          </w:tcPr>
          <w:p>
            <w:pPr>
              <w:spacing w:after="0"/>
              <w:rPr>
                <w:sz w:val="15"/>
                <w:szCs w:val="15"/>
                <w:color w:val="auto"/>
              </w:rPr>
            </w:pPr>
          </w:p>
        </w:tc>
        <w:tc>
          <w:tcPr>
            <w:tcW w:w="3500" w:type="dxa"/>
            <w:vAlign w:val="bottom"/>
            <w:gridSpan w:val="5"/>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rPr>
                <w:sz w:val="15"/>
                <w:szCs w:val="15"/>
                <w:color w:val="auto"/>
              </w:rPr>
            </w:pP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2002</w:t>
            </w: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2001</w:t>
            </w:r>
          </w:p>
        </w:tc>
        <w:tc>
          <w:tcPr>
            <w:tcW w:w="6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2000</w:t>
            </w: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1999</w:t>
            </w:r>
          </w:p>
        </w:tc>
        <w:tc>
          <w:tcPr>
            <w:tcW w:w="6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1998</w:t>
            </w:r>
          </w:p>
        </w:tc>
      </w:tr>
      <w:tr>
        <w:trPr>
          <w:trHeight w:val="179"/>
        </w:trPr>
        <w:tc>
          <w:tcPr>
            <w:tcW w:w="3940" w:type="dxa"/>
            <w:vAlign w:val="bottom"/>
          </w:tcPr>
          <w:p>
            <w:pPr>
              <w:spacing w:after="0"/>
              <w:rPr>
                <w:sz w:val="15"/>
                <w:szCs w:val="15"/>
                <w:color w:val="auto"/>
              </w:rPr>
            </w:pP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Ratio of earnings to fixed charges.......</w:t>
            </w: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25.2x</w:t>
            </w: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25.7x</w:t>
            </w:r>
          </w:p>
        </w:tc>
        <w:tc>
          <w:tcPr>
            <w:tcW w:w="6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26.4x</w:t>
            </w: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11.7x</w:t>
            </w:r>
          </w:p>
        </w:tc>
        <w:tc>
          <w:tcPr>
            <w:tcW w:w="6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4.1x</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USE OF PROCEEDS</w:t>
      </w:r>
    </w:p>
    <w:p>
      <w:pPr>
        <w:spacing w:after="0" w:line="362" w:lineRule="exact"/>
        <w:rPr>
          <w:sz w:val="20"/>
          <w:szCs w:val="20"/>
          <w:color w:val="auto"/>
        </w:rPr>
      </w:pPr>
    </w:p>
    <w:p>
      <w:pPr>
        <w:ind w:right="2879" w:firstLine="837"/>
        <w:spacing w:after="0" w:line="236" w:lineRule="auto"/>
        <w:rPr>
          <w:sz w:val="20"/>
          <w:szCs w:val="20"/>
          <w:color w:val="auto"/>
        </w:rPr>
      </w:pPr>
      <w:r>
        <w:rPr>
          <w:rFonts w:ascii="Courier New" w:cs="Courier New" w:eastAsia="Courier New" w:hAnsi="Courier New"/>
          <w:sz w:val="16"/>
          <w:szCs w:val="16"/>
          <w:color w:val="auto"/>
        </w:rPr>
        <w:t>Unless indicated otherwise in the applicable prospectus supplement, we expect to use the net proceeds from the sale of our securities for general corporate purposes, including, but not limited to, acquisitions, repayment or refinancing of borrowings, working capital or capital expenditures. Additional information on the use of net proceeds from the sale of securities offered by this prospectus may be set forth in the prospectus supplement relating to such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54" w:right="1440" w:bottom="1440" w:gutter="0" w:footer="0" w:header="0"/>
        </w:sectPr>
      </w:pPr>
    </w:p>
    <w:bookmarkStart w:id="9" w:name="page10"/>
    <w:bookmarkEnd w:id="9"/>
    <w:p>
      <w:pPr>
        <w:ind w:left="2700"/>
        <w:spacing w:after="0"/>
        <w:rPr>
          <w:sz w:val="20"/>
          <w:szCs w:val="20"/>
          <w:color w:val="auto"/>
        </w:rPr>
      </w:pPr>
      <w:r>
        <w:rPr>
          <w:rFonts w:ascii="Courier New" w:cs="Courier New" w:eastAsia="Courier New" w:hAnsi="Courier New"/>
          <w:sz w:val="16"/>
          <w:szCs w:val="16"/>
          <w:color w:val="auto"/>
        </w:rPr>
        <w:t>SECURITIES WE MAY ISSUE</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83" w:lineRule="exact"/>
        <w:rPr>
          <w:sz w:val="20"/>
          <w:szCs w:val="20"/>
          <w:color w:val="auto"/>
        </w:rPr>
      </w:pPr>
    </w:p>
    <w:p>
      <w:pPr>
        <w:ind w:right="2959" w:firstLine="837"/>
        <w:spacing w:after="0" w:line="235" w:lineRule="auto"/>
        <w:rPr>
          <w:sz w:val="20"/>
          <w:szCs w:val="20"/>
          <w:color w:val="auto"/>
        </w:rPr>
      </w:pPr>
      <w:r>
        <w:rPr>
          <w:rFonts w:ascii="Courier New" w:cs="Courier New" w:eastAsia="Courier New" w:hAnsi="Courier New"/>
          <w:sz w:val="16"/>
          <w:szCs w:val="16"/>
          <w:color w:val="auto"/>
        </w:rPr>
        <w:t>This prospectus describes the securities we may issue from time to time. This section provides some information about the manner in which the securities may be held, then describes the terms of the three basic categories of securities:</w:t>
      </w:r>
    </w:p>
    <w:p>
      <w:pPr>
        <w:spacing w:after="0" w:line="178" w:lineRule="exact"/>
        <w:rPr>
          <w:sz w:val="20"/>
          <w:szCs w:val="20"/>
          <w:color w:val="auto"/>
        </w:rPr>
      </w:pPr>
    </w:p>
    <w:p>
      <w:pPr>
        <w:ind w:left="1300" w:hanging="467"/>
        <w:spacing w:after="0"/>
        <w:tabs>
          <w:tab w:leader="none" w:pos="13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debt securities, which may be senior or subordinated;</w:t>
      </w:r>
    </w:p>
    <w:p>
      <w:pPr>
        <w:spacing w:after="0" w:line="182" w:lineRule="exact"/>
        <w:rPr>
          <w:rFonts w:ascii="Courier New" w:cs="Courier New" w:eastAsia="Courier New" w:hAnsi="Courier New"/>
          <w:sz w:val="16"/>
          <w:szCs w:val="16"/>
          <w:color w:val="auto"/>
        </w:rPr>
      </w:pPr>
    </w:p>
    <w:p>
      <w:pPr>
        <w:ind w:left="1300" w:right="3059" w:hanging="467"/>
        <w:spacing w:after="0" w:line="234" w:lineRule="auto"/>
        <w:tabs>
          <w:tab w:leader="none" w:pos="13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warrants, which may be exercised for the purchase of either our debt securities or our common stock; and</w:t>
      </w:r>
    </w:p>
    <w:p>
      <w:pPr>
        <w:spacing w:after="0" w:line="177" w:lineRule="exact"/>
        <w:rPr>
          <w:rFonts w:ascii="Courier New" w:cs="Courier New" w:eastAsia="Courier New" w:hAnsi="Courier New"/>
          <w:sz w:val="16"/>
          <w:szCs w:val="16"/>
          <w:color w:val="auto"/>
        </w:rPr>
      </w:pPr>
    </w:p>
    <w:p>
      <w:pPr>
        <w:ind w:left="1300" w:hanging="467"/>
        <w:spacing w:after="0"/>
        <w:tabs>
          <w:tab w:leader="none" w:pos="13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common stock.</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Prospectus Supplements</w:t>
      </w:r>
    </w:p>
    <w:p>
      <w:pPr>
        <w:spacing w:after="0" w:line="183"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This prospectus provides you with a general description of the securities we may offer. Each time we sell securities, we will provide a prospectus supplement that will contain specific information about the terms of that offering. The prospectus supplement may also add to or change information contained in this prospectus. If so, the prospectus supplement should be read as superseding this prospectus. You should read both this prospectus and any prospectus supplement together with additional information described under the heading "Where You Can Find More Information."</w:t>
      </w:r>
    </w:p>
    <w:p>
      <w:pPr>
        <w:spacing w:after="0" w:line="184"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The prospectus supplement to be attached to the front of this prospectus will describe the terms of any securities that we offer and any initial offering price to the public in that offering, the purchase price and net proceeds that we will receive and the other specific terms related to our offering of the securities. For more details on the terms of the securities, you should read the exhibits filed with our registration statement, of which this prospectus is a part.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Legal Ownership of Securities</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Holders of Securities</w:t>
      </w:r>
    </w:p>
    <w:p>
      <w:pPr>
        <w:spacing w:after="0" w:line="183"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Book-Entry Holders. We will issue debt securities in book-entry form only, unless we specify otherwise in the applicable prospectus supplement. If securities are issued in book-entry form, this means the securities will be represented by one or more global securities registered in the name of a financial institution that holds them as depositary on behalf of other financial institutions that participate in the depositary's book-entry system. These participating institutions, in turn, hold beneficial interests in the securities on behalf of themselves or their customers.</w:t>
      </w:r>
    </w:p>
    <w:p>
      <w:pPr>
        <w:spacing w:after="0" w:line="184" w:lineRule="exact"/>
        <w:rPr>
          <w:sz w:val="20"/>
          <w:szCs w:val="20"/>
          <w:color w:val="auto"/>
        </w:rPr>
      </w:pPr>
    </w:p>
    <w:p>
      <w:pPr>
        <w:ind w:right="2879" w:firstLine="837"/>
        <w:spacing w:after="0" w:line="236" w:lineRule="auto"/>
        <w:rPr>
          <w:sz w:val="20"/>
          <w:szCs w:val="20"/>
          <w:color w:val="auto"/>
        </w:rPr>
      </w:pPr>
      <w:r>
        <w:rPr>
          <w:rFonts w:ascii="Courier New" w:cs="Courier New" w:eastAsia="Courier New" w:hAnsi="Courier New"/>
          <w:sz w:val="16"/>
          <w:szCs w:val="16"/>
          <w:color w:val="auto"/>
        </w:rPr>
        <w:t>We will only recognize the person in whose name a security is registered as the holder of that security. Consequently, for securities issued in global form, we will recognize only the depositary as the holder of the securities and all payments on the securities will be made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85"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As a result, investors in securities issued in book-entry form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holders, of the securities.</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827" w:right="1440" w:bottom="1440" w:gutter="0" w:footer="0" w:header="0"/>
        </w:sectPr>
      </w:pPr>
    </w:p>
    <w:bookmarkStart w:id="10" w:name="page11"/>
    <w:bookmarkEnd w:id="10"/>
    <w:p>
      <w:pPr>
        <w:jc w:val="both"/>
        <w:ind w:right="2879" w:firstLine="837"/>
        <w:spacing w:after="0" w:line="270" w:lineRule="auto"/>
        <w:rPr>
          <w:sz w:val="20"/>
          <w:szCs w:val="20"/>
          <w:color w:val="auto"/>
        </w:rPr>
      </w:pPr>
      <w:r>
        <w:rPr>
          <w:rFonts w:ascii="Courier New" w:cs="Courier New" w:eastAsia="Courier New" w:hAnsi="Courier New"/>
          <w:sz w:val="14"/>
          <w:szCs w:val="14"/>
          <w:color w:val="auto"/>
        </w:rPr>
        <w:t>Street Name Holders. In the future, we may terminate a global security or issue securities initially in non-global form. In these cases, investors may choose to hold their securities in their own names or in "street name."</w:t>
      </w:r>
    </w:p>
    <w:p>
      <w:pPr>
        <w:spacing w:after="0" w:line="1"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85"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For securities held in street name, we will recognize only the intermediary banks, brokers and other financial institutions in whose names the securities are registered as the holders of those securities and all payments on those securities will be made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w:t>
      </w:r>
    </w:p>
    <w:p>
      <w:pPr>
        <w:spacing w:after="0" w:line="184" w:lineRule="exact"/>
        <w:rPr>
          <w:sz w:val="20"/>
          <w:szCs w:val="20"/>
          <w:color w:val="auto"/>
        </w:rPr>
      </w:pPr>
    </w:p>
    <w:p>
      <w:pPr>
        <w:ind w:right="2879" w:firstLine="837"/>
        <w:spacing w:after="0" w:line="236" w:lineRule="auto"/>
        <w:rPr>
          <w:sz w:val="20"/>
          <w:szCs w:val="20"/>
          <w:color w:val="auto"/>
        </w:rPr>
      </w:pPr>
      <w:r>
        <w:rPr>
          <w:rFonts w:ascii="Courier New" w:cs="Courier New" w:eastAsia="Courier New" w:hAnsi="Courier New"/>
          <w:sz w:val="16"/>
          <w:szCs w:val="16"/>
          <w:color w:val="auto"/>
        </w:rPr>
        <w:t>Legal Holders. We, and any third parties employed by us or acting on your behalf, such as trustees, depositories and transfer agents, are obligated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184"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For example, once we make a payment or give a notice to the legal holder, we have no further responsibility for the payment or notice even if that legal holder is required, under agreements with depositary participants or customers or by law, to pass it along to the indirect holders but does not do so. Similarly, if we want to obtain the approval of the holders for any purpose (for example, to amend an indenture or to relieve ourselves of the consequences of a default or of our obligation to comply with a particular provision of the indenture), we would seek the approval only from the legal holders, and not the indirect holders, of the securities. Whether and how the legal holders contact the indirect holders is up to the legal holders.</w:t>
      </w:r>
    </w:p>
    <w:p>
      <w:pPr>
        <w:spacing w:after="0" w:line="186" w:lineRule="exact"/>
        <w:rPr>
          <w:sz w:val="20"/>
          <w:szCs w:val="20"/>
          <w:color w:val="auto"/>
        </w:rPr>
      </w:pPr>
    </w:p>
    <w:p>
      <w:pPr>
        <w:ind w:right="2879" w:firstLine="837"/>
        <w:spacing w:after="0" w:line="235" w:lineRule="auto"/>
        <w:rPr>
          <w:sz w:val="20"/>
          <w:szCs w:val="20"/>
          <w:color w:val="auto"/>
        </w:rPr>
      </w:pPr>
      <w:r>
        <w:rPr>
          <w:rFonts w:ascii="Courier New" w:cs="Courier New" w:eastAsia="Courier New" w:hAnsi="Courier New"/>
          <w:sz w:val="16"/>
          <w:szCs w:val="16"/>
          <w:color w:val="auto"/>
        </w:rPr>
        <w:t>When we refer to you, we mean those who invest in the securities being offered by this prospectus, whether they are the legal holders or only indirect holders of those securities. When we refer to your securities, we mean the securities in which you hold a direct or indirect interest.</w:t>
      </w:r>
    </w:p>
    <w:p>
      <w:pPr>
        <w:spacing w:after="0" w:line="185" w:lineRule="exact"/>
        <w:rPr>
          <w:sz w:val="20"/>
          <w:szCs w:val="20"/>
          <w:color w:val="auto"/>
        </w:rPr>
      </w:pPr>
    </w:p>
    <w:p>
      <w:pPr>
        <w:ind w:right="2779" w:firstLine="837"/>
        <w:spacing w:after="0" w:line="283" w:lineRule="auto"/>
        <w:rPr>
          <w:sz w:val="20"/>
          <w:szCs w:val="20"/>
          <w:color w:val="auto"/>
        </w:rPr>
      </w:pPr>
      <w:r>
        <w:rPr>
          <w:rFonts w:ascii="Courier New" w:cs="Courier New" w:eastAsia="Courier New" w:hAnsi="Courier New"/>
          <w:sz w:val="14"/>
          <w:szCs w:val="14"/>
          <w:color w:val="auto"/>
        </w:rPr>
        <w:t>Special Considerations for Indirect Holders. If you hold securities through a bank, broker or other financial institution, either in book-entry form or in street name, you should check with your own institution to find out:</w:t>
      </w:r>
    </w:p>
    <w:p>
      <w:pPr>
        <w:spacing w:after="0" w:line="148" w:lineRule="exact"/>
        <w:rPr>
          <w:sz w:val="20"/>
          <w:szCs w:val="20"/>
          <w:color w:val="auto"/>
        </w:rPr>
      </w:pPr>
    </w:p>
    <w:p>
      <w:pPr>
        <w:ind w:left="1300" w:hanging="467"/>
        <w:spacing w:after="0"/>
        <w:tabs>
          <w:tab w:leader="none" w:pos="13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how it handles securities payments and notices;</w:t>
      </w:r>
    </w:p>
    <w:p>
      <w:pPr>
        <w:spacing w:after="0" w:line="176" w:lineRule="exact"/>
        <w:rPr>
          <w:rFonts w:ascii="Courier New" w:cs="Courier New" w:eastAsia="Courier New" w:hAnsi="Courier New"/>
          <w:sz w:val="16"/>
          <w:szCs w:val="16"/>
          <w:color w:val="auto"/>
        </w:rPr>
      </w:pPr>
    </w:p>
    <w:p>
      <w:pPr>
        <w:ind w:left="1300" w:hanging="467"/>
        <w:spacing w:after="0"/>
        <w:tabs>
          <w:tab w:leader="none" w:pos="13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it imposes fees or charges;</w:t>
      </w:r>
    </w:p>
    <w:p>
      <w:pPr>
        <w:spacing w:after="0" w:line="182" w:lineRule="exact"/>
        <w:rPr>
          <w:rFonts w:ascii="Courier New" w:cs="Courier New" w:eastAsia="Courier New" w:hAnsi="Courier New"/>
          <w:sz w:val="16"/>
          <w:szCs w:val="16"/>
          <w:color w:val="auto"/>
        </w:rPr>
      </w:pPr>
    </w:p>
    <w:p>
      <w:pPr>
        <w:ind w:left="1300" w:right="3059" w:hanging="467"/>
        <w:spacing w:after="0" w:line="234" w:lineRule="auto"/>
        <w:tabs>
          <w:tab w:leader="none" w:pos="13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how it would handle a request for the holders' consent, if ever required;</w:t>
      </w:r>
    </w:p>
    <w:p>
      <w:pPr>
        <w:spacing w:after="0" w:line="183" w:lineRule="exact"/>
        <w:rPr>
          <w:rFonts w:ascii="Courier New" w:cs="Courier New" w:eastAsia="Courier New" w:hAnsi="Courier New"/>
          <w:sz w:val="16"/>
          <w:szCs w:val="16"/>
          <w:color w:val="auto"/>
        </w:rPr>
      </w:pPr>
    </w:p>
    <w:p>
      <w:pPr>
        <w:ind w:left="1300" w:right="2879" w:hanging="467"/>
        <w:spacing w:after="0" w:line="235" w:lineRule="auto"/>
        <w:tabs>
          <w:tab w:leader="none" w:pos="13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and how you can instruct it to send you securities registered in your own name so you can be a legal holder, if that is permitted in the future;</w:t>
      </w:r>
    </w:p>
    <w:p>
      <w:pPr>
        <w:spacing w:after="0" w:line="183" w:lineRule="exact"/>
        <w:rPr>
          <w:rFonts w:ascii="Courier New" w:cs="Courier New" w:eastAsia="Courier New" w:hAnsi="Courier New"/>
          <w:sz w:val="16"/>
          <w:szCs w:val="16"/>
          <w:color w:val="auto"/>
        </w:rPr>
      </w:pPr>
    </w:p>
    <w:p>
      <w:pPr>
        <w:ind w:left="1300" w:right="2879" w:hanging="467"/>
        <w:spacing w:after="0" w:line="235" w:lineRule="auto"/>
        <w:tabs>
          <w:tab w:leader="none" w:pos="13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how it would exercise rights under the securities if there were a default or other event triggering the need for holders to act to protect their interests; and</w:t>
      </w:r>
    </w:p>
    <w:p>
      <w:pPr>
        <w:spacing w:after="0" w:line="183" w:lineRule="exact"/>
        <w:rPr>
          <w:rFonts w:ascii="Courier New" w:cs="Courier New" w:eastAsia="Courier New" w:hAnsi="Courier New"/>
          <w:sz w:val="16"/>
          <w:szCs w:val="16"/>
          <w:color w:val="auto"/>
        </w:rPr>
      </w:pPr>
    </w:p>
    <w:p>
      <w:pPr>
        <w:ind w:left="1300" w:right="3159" w:hanging="467"/>
        <w:spacing w:after="0" w:line="295" w:lineRule="auto"/>
        <w:tabs>
          <w:tab w:leader="none" w:pos="130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securities are in book-entry form, how the depositary's rules and procedures will affect these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54" w:right="1440" w:bottom="1440" w:gutter="0" w:footer="0" w:header="0"/>
        </w:sectPr>
      </w:pPr>
    </w:p>
    <w:bookmarkStart w:id="11" w:name="page12"/>
    <w:bookmarkEnd w:id="11"/>
    <w:p>
      <w:pPr>
        <w:ind w:left="840"/>
        <w:spacing w:after="0"/>
        <w:rPr>
          <w:sz w:val="20"/>
          <w:szCs w:val="20"/>
          <w:color w:val="auto"/>
        </w:rPr>
      </w:pPr>
      <w:r>
        <w:rPr>
          <w:rFonts w:ascii="Courier New" w:cs="Courier New" w:eastAsia="Courier New" w:hAnsi="Courier New"/>
          <w:sz w:val="16"/>
          <w:szCs w:val="16"/>
          <w:color w:val="auto"/>
        </w:rPr>
        <w:t>Global Securities</w:t>
      </w:r>
    </w:p>
    <w:p>
      <w:pPr>
        <w:spacing w:after="0" w:line="183"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What is a Global Security? A global security represents one or any other number of individual securities. Generally, all securities represented by the same global securities will have the same terms. We may, however, issue a global security that represents multiple securities that have different terms and are issued at different times. We call this kind of global security a master global security.</w:t>
      </w:r>
    </w:p>
    <w:p>
      <w:pPr>
        <w:spacing w:after="0" w:line="183"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Each security issued in book-entry form will be represented by a global security that we deposit with and register in the name of a financial institution that we select or its nominee. The financial institution that is selected for this purpose is called the depositary. Unless we specify otherwise in the applicable prospectus supplement, The Depository Trust Company, New York, New York, known as the DTC, will be the depositary for all securities issued in book-entry form.</w:t>
      </w:r>
    </w:p>
    <w:p>
      <w:pPr>
        <w:spacing w:after="0" w:line="184" w:lineRule="exact"/>
        <w:rPr>
          <w:sz w:val="20"/>
          <w:szCs w:val="20"/>
          <w:color w:val="auto"/>
        </w:rPr>
      </w:pPr>
    </w:p>
    <w:p>
      <w:pPr>
        <w:ind w:right="2779" w:firstLine="837"/>
        <w:spacing w:after="0" w:line="273" w:lineRule="auto"/>
        <w:rPr>
          <w:sz w:val="20"/>
          <w:szCs w:val="20"/>
          <w:color w:val="auto"/>
        </w:rPr>
      </w:pPr>
      <w:r>
        <w:rPr>
          <w:rFonts w:ascii="Courier New" w:cs="Courier New" w:eastAsia="Courier New" w:hAnsi="Courier New"/>
          <w:sz w:val="14"/>
          <w:szCs w:val="14"/>
          <w:color w:val="auto"/>
        </w:rPr>
        <w:t>A global security may not be transferred to or registered in the name of anyone other than the depositary or its nominee, unless special termination situations arise or as otherwise described in the prospectus supplement. We describe those situations below under "-- Special Situations When a Global Security Will Be Terminated." As a result of these arrangements, the depositary, or its nominee, will be the sole registered owner and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holder of the security, but only an indirect holder of a beneficial interest in the global security.</w:t>
      </w:r>
    </w:p>
    <w:p>
      <w:pPr>
        <w:spacing w:after="0" w:line="340"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Special Considerations for Global Securities. As an indirect holder, an investor's rights relating to a global security will be governed by the account rules of the investor's financial institution and of the depositary, as well as general laws relating to securities transfers. We do not recognize this type of investor as a holder of securities and instead will deal only with the depositary that holds the global security.</w:t>
      </w:r>
    </w:p>
    <w:p>
      <w:pPr>
        <w:spacing w:after="0" w:line="183" w:lineRule="exact"/>
        <w:rPr>
          <w:sz w:val="20"/>
          <w:szCs w:val="20"/>
          <w:color w:val="auto"/>
        </w:rPr>
      </w:pPr>
    </w:p>
    <w:p>
      <w:pPr>
        <w:ind w:right="3239" w:firstLine="837"/>
        <w:spacing w:after="0" w:line="234" w:lineRule="auto"/>
        <w:rPr>
          <w:sz w:val="20"/>
          <w:szCs w:val="20"/>
          <w:color w:val="auto"/>
        </w:rPr>
      </w:pPr>
      <w:r>
        <w:rPr>
          <w:rFonts w:ascii="Courier New" w:cs="Courier New" w:eastAsia="Courier New" w:hAnsi="Courier New"/>
          <w:sz w:val="16"/>
          <w:szCs w:val="16"/>
          <w:color w:val="auto"/>
        </w:rPr>
        <w:t>If securities are issued only in the form of a global security, an investor should be aware of the following:</w:t>
      </w:r>
    </w:p>
    <w:p>
      <w:pPr>
        <w:spacing w:after="0" w:line="183" w:lineRule="exact"/>
        <w:rPr>
          <w:sz w:val="20"/>
          <w:szCs w:val="20"/>
          <w:color w:val="auto"/>
        </w:rPr>
      </w:pPr>
    </w:p>
    <w:p>
      <w:pPr>
        <w:ind w:left="1300" w:right="2779" w:hanging="467"/>
        <w:spacing w:after="0" w:line="235" w:lineRule="auto"/>
        <w:tabs>
          <w:tab w:leader="none" w:pos="13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investor cannot cause the securities to be registered in his or her name and cannot obtain physical certificates for his or her interest in the securities, except in the special situations we describe below.</w:t>
      </w:r>
    </w:p>
    <w:p>
      <w:pPr>
        <w:spacing w:after="0" w:line="184" w:lineRule="exact"/>
        <w:rPr>
          <w:rFonts w:ascii="Courier New" w:cs="Courier New" w:eastAsia="Courier New" w:hAnsi="Courier New"/>
          <w:sz w:val="16"/>
          <w:szCs w:val="16"/>
          <w:color w:val="auto"/>
        </w:rPr>
      </w:pPr>
    </w:p>
    <w:p>
      <w:pPr>
        <w:ind w:left="1300" w:right="2779" w:hanging="467"/>
        <w:spacing w:after="0" w:line="279" w:lineRule="auto"/>
        <w:tabs>
          <w:tab w:leader="none" w:pos="130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investor will be an indirect holder and must look to his or her own bank or broker for payments on the securities and protection of his or her legal rights relating to the securities, as we describe under "-- Holders of Securities" above.</w:t>
      </w:r>
    </w:p>
    <w:p>
      <w:pPr>
        <w:spacing w:after="0" w:line="156" w:lineRule="exact"/>
        <w:rPr>
          <w:rFonts w:ascii="Courier New" w:cs="Courier New" w:eastAsia="Courier New" w:hAnsi="Courier New"/>
          <w:sz w:val="14"/>
          <w:szCs w:val="14"/>
          <w:color w:val="auto"/>
        </w:rPr>
      </w:pPr>
    </w:p>
    <w:p>
      <w:pPr>
        <w:ind w:left="1300" w:right="2779" w:hanging="467"/>
        <w:spacing w:after="0" w:line="235" w:lineRule="auto"/>
        <w:tabs>
          <w:tab w:leader="none" w:pos="13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investor may not be able to sell interests in the securities to some insurance companies and to other institutions that are required by law to own their securities in non-book-entry form.</w:t>
      </w:r>
    </w:p>
    <w:p>
      <w:pPr>
        <w:spacing w:after="0" w:line="183" w:lineRule="exact"/>
        <w:rPr>
          <w:rFonts w:ascii="Courier New" w:cs="Courier New" w:eastAsia="Courier New" w:hAnsi="Courier New"/>
          <w:sz w:val="16"/>
          <w:szCs w:val="16"/>
          <w:color w:val="auto"/>
        </w:rPr>
      </w:pPr>
    </w:p>
    <w:p>
      <w:pPr>
        <w:ind w:left="1300" w:right="2779" w:hanging="467"/>
        <w:spacing w:after="0" w:line="279" w:lineRule="auto"/>
        <w:tabs>
          <w:tab w:leader="none" w:pos="130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investor may not be able to pledge his or her interest in a global security in circumstances where certificates representing the securities must be delivered to the lender or other beneficiary of the pledge in order for the pledge to be effective.</w:t>
      </w:r>
    </w:p>
    <w:p>
      <w:pPr>
        <w:spacing w:after="0" w:line="156" w:lineRule="exact"/>
        <w:rPr>
          <w:rFonts w:ascii="Courier New" w:cs="Courier New" w:eastAsia="Courier New" w:hAnsi="Courier New"/>
          <w:sz w:val="14"/>
          <w:szCs w:val="14"/>
          <w:color w:val="auto"/>
        </w:rPr>
      </w:pPr>
    </w:p>
    <w:p>
      <w:pPr>
        <w:ind w:left="1300" w:right="2879" w:hanging="467"/>
        <w:spacing w:after="0" w:line="236" w:lineRule="auto"/>
        <w:tabs>
          <w:tab w:leader="none" w:pos="13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depositary's policies, which may change from time to time, will govern payments, transfers, exchanges and other matters relating to an investor's interest in a global security. Neither we nor any third parties employed by us or acting on your behalf, such as trustees and transfer agents, have any responsibility for any aspect of the depositary's actions or for its records of ownership interests in a global security. We and the trustee do not supervise the depositary in any way.</w:t>
      </w:r>
    </w:p>
    <w:p>
      <w:pPr>
        <w:spacing w:after="0" w:line="184" w:lineRule="exact"/>
        <w:rPr>
          <w:rFonts w:ascii="Courier New" w:cs="Courier New" w:eastAsia="Courier New" w:hAnsi="Courier New"/>
          <w:sz w:val="16"/>
          <w:szCs w:val="16"/>
          <w:color w:val="auto"/>
        </w:rPr>
      </w:pPr>
    </w:p>
    <w:p>
      <w:pPr>
        <w:ind w:left="1300" w:right="2879" w:hanging="467"/>
        <w:spacing w:after="0" w:line="235" w:lineRule="auto"/>
        <w:tabs>
          <w:tab w:leader="none" w:pos="13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DTC requires that those who purchase and sell interests in a global security within its book-entry system use immediately available funds, and your broker or bank may require you to do so as well.</w:t>
      </w:r>
    </w:p>
    <w:p>
      <w:pPr>
        <w:spacing w:after="0" w:line="35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827" w:right="1440" w:bottom="1440" w:gutter="0" w:footer="0" w:header="0"/>
        </w:sectPr>
      </w:pPr>
    </w:p>
    <w:bookmarkStart w:id="12" w:name="page13"/>
    <w:bookmarkEnd w:id="12"/>
    <w:p>
      <w:pPr>
        <w:ind w:left="1300" w:right="2779" w:hanging="467"/>
        <w:spacing w:after="0" w:line="274" w:lineRule="auto"/>
        <w:tabs>
          <w:tab w:leader="none" w:pos="130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institutions that participate in the depositary's book-entry system, and through which an investor holds its interest in a global security, may also have their own policies affecting payments, notices and other matters relating to the security. There may be more than one financial intermediary in the chain of ownership for an investor. We do not monitor and are not responsible for the actions of any of those intermediaries.</w:t>
      </w:r>
    </w:p>
    <w:p>
      <w:pPr>
        <w:spacing w:after="0" w:line="164"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Special Situations When a Global Security Will Be Terminated. In a few special situations described below, a global security will be terminated and interests in it will be exchanged for certificates in non-global form representing the securities it represented. After that exchange, the choice of whether to hold the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above under "-- Legal Ownership of Securities -- Holders of Securities."</w:t>
      </w:r>
    </w:p>
    <w:p>
      <w:pPr>
        <w:spacing w:after="0" w:line="179"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The special situations for termination of a global security are as</w:t>
      </w:r>
    </w:p>
    <w:p>
      <w:pPr>
        <w:spacing w:after="0" w:line="236" w:lineRule="auto"/>
        <w:rPr>
          <w:sz w:val="20"/>
          <w:szCs w:val="20"/>
          <w:color w:val="auto"/>
        </w:rPr>
      </w:pPr>
      <w:r>
        <w:rPr>
          <w:rFonts w:ascii="Courier New" w:cs="Courier New" w:eastAsia="Courier New" w:hAnsi="Courier New"/>
          <w:sz w:val="16"/>
          <w:szCs w:val="16"/>
          <w:color w:val="auto"/>
        </w:rPr>
        <w:t>follows:</w:t>
      </w:r>
    </w:p>
    <w:p>
      <w:pPr>
        <w:spacing w:after="0" w:line="183" w:lineRule="exact"/>
        <w:rPr>
          <w:sz w:val="20"/>
          <w:szCs w:val="20"/>
          <w:color w:val="auto"/>
        </w:rPr>
      </w:pPr>
    </w:p>
    <w:p>
      <w:pPr>
        <w:ind w:left="1300" w:right="2959" w:hanging="467"/>
        <w:spacing w:after="0" w:line="235" w:lineRule="auto"/>
        <w:tabs>
          <w:tab w:leader="none" w:pos="13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depositary notifies us that it is unwilling, unable or no longer qualified to continue as depositary for that global security and we do not appoint another institution to act as depositary within a specified time period;</w:t>
      </w:r>
    </w:p>
    <w:p>
      <w:pPr>
        <w:spacing w:after="0" w:line="178" w:lineRule="exact"/>
        <w:rPr>
          <w:rFonts w:ascii="Courier New" w:cs="Courier New" w:eastAsia="Courier New" w:hAnsi="Courier New"/>
          <w:sz w:val="16"/>
          <w:szCs w:val="16"/>
          <w:color w:val="auto"/>
        </w:rPr>
      </w:pPr>
    </w:p>
    <w:p>
      <w:pPr>
        <w:ind w:left="1300" w:hanging="467"/>
        <w:spacing w:after="0"/>
        <w:tabs>
          <w:tab w:leader="none" w:pos="13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we elect to terminate that global security; or</w:t>
      </w:r>
    </w:p>
    <w:p>
      <w:pPr>
        <w:spacing w:after="0" w:line="182" w:lineRule="exact"/>
        <w:rPr>
          <w:rFonts w:ascii="Courier New" w:cs="Courier New" w:eastAsia="Courier New" w:hAnsi="Courier New"/>
          <w:sz w:val="16"/>
          <w:szCs w:val="16"/>
          <w:color w:val="auto"/>
        </w:rPr>
      </w:pPr>
    </w:p>
    <w:p>
      <w:pPr>
        <w:ind w:left="1300" w:right="2959" w:hanging="467"/>
        <w:spacing w:after="0" w:line="235" w:lineRule="auto"/>
        <w:tabs>
          <w:tab w:leader="none" w:pos="13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 event of default has occurred with regard to securities represented by that global security and it has not been cured or waived.</w:t>
      </w:r>
    </w:p>
    <w:p>
      <w:pPr>
        <w:spacing w:after="0" w:line="183" w:lineRule="exact"/>
        <w:rPr>
          <w:sz w:val="20"/>
          <w:szCs w:val="20"/>
          <w:color w:val="auto"/>
        </w:rPr>
      </w:pPr>
    </w:p>
    <w:p>
      <w:pPr>
        <w:ind w:right="2879" w:firstLine="837"/>
        <w:spacing w:after="0" w:line="275" w:lineRule="auto"/>
        <w:rPr>
          <w:sz w:val="20"/>
          <w:szCs w:val="20"/>
          <w:color w:val="auto"/>
        </w:rPr>
      </w:pPr>
      <w:r>
        <w:rPr>
          <w:rFonts w:ascii="Courier New" w:cs="Courier New" w:eastAsia="Courier New" w:hAnsi="Courier New"/>
          <w:sz w:val="14"/>
          <w:szCs w:val="14"/>
          <w:color w:val="auto"/>
        </w:rPr>
        <w:t>The prospectus supplement may also list additional situations for terminating a global security that would apply to a particular series of securities covered by the prospectus supplement. If a global security is terminated, only the depositary is responsible for deciding the names of the institutions in whose names the securities represented by the global security will be registered and, therefore, who will be the holders of those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54" w:right="1440" w:bottom="1440" w:gutter="0" w:footer="0" w:header="0"/>
        </w:sectPr>
      </w:pPr>
    </w:p>
    <w:bookmarkStart w:id="13" w:name="page14"/>
    <w:bookmarkEnd w:id="13"/>
    <w:p>
      <w:pPr>
        <w:ind w:left="2320"/>
        <w:spacing w:after="0"/>
        <w:rPr>
          <w:sz w:val="20"/>
          <w:szCs w:val="20"/>
          <w:color w:val="auto"/>
        </w:rPr>
      </w:pPr>
      <w:r>
        <w:rPr>
          <w:rFonts w:ascii="Courier New" w:cs="Courier New" w:eastAsia="Courier New" w:hAnsi="Courier New"/>
          <w:sz w:val="16"/>
          <w:szCs w:val="16"/>
          <w:color w:val="auto"/>
        </w:rPr>
        <w:t>DESCRIPTION OF DEBT SECURITIES</w:t>
      </w:r>
    </w:p>
    <w:p>
      <w:pPr>
        <w:spacing w:after="0" w:line="362" w:lineRule="exact"/>
        <w:rPr>
          <w:sz w:val="20"/>
          <w:szCs w:val="20"/>
          <w:color w:val="auto"/>
        </w:rPr>
      </w:pPr>
    </w:p>
    <w:p>
      <w:pPr>
        <w:ind w:right="2779" w:firstLine="837"/>
        <w:spacing w:after="0" w:line="276" w:lineRule="auto"/>
        <w:rPr>
          <w:sz w:val="20"/>
          <w:szCs w:val="20"/>
          <w:color w:val="auto"/>
        </w:rPr>
      </w:pPr>
      <w:r>
        <w:rPr>
          <w:rFonts w:ascii="Courier New" w:cs="Courier New" w:eastAsia="Courier New" w:hAnsi="Courier New"/>
          <w:sz w:val="14"/>
          <w:szCs w:val="14"/>
          <w:color w:val="auto"/>
        </w:rPr>
        <w:t>We may issue debt securities from time to time in one or more distinct series. This section summarizes the material terms of our senior or subordinated debt securities that are common to all series. Most of the financial and other terms of any series of debt securities that we offer will be described in the prospectus supplement to be attached to the front of this prospectus.</w:t>
      </w:r>
    </w:p>
    <w:p>
      <w:pPr>
        <w:spacing w:after="0" w:line="161"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As required by U.S. federal law for all bonds and notes of companies that are publicly offered, the debt securities will be governed by a document called an "indenture." An indenture is a contract between us and a financial institution, in this case, The Bank of New York, acting as trustee on your behalf. The indenture will be subject to and governed by the Trust Indenture Act of 1939, as amended. The trustee has two main roles:</w:t>
      </w:r>
    </w:p>
    <w:p>
      <w:pPr>
        <w:spacing w:after="0" w:line="183" w:lineRule="exact"/>
        <w:rPr>
          <w:sz w:val="20"/>
          <w:szCs w:val="20"/>
          <w:color w:val="auto"/>
        </w:rPr>
      </w:pPr>
    </w:p>
    <w:p>
      <w:pPr>
        <w:ind w:left="1300" w:right="2959" w:hanging="467"/>
        <w:spacing w:after="0" w:line="234" w:lineRule="auto"/>
        <w:tabs>
          <w:tab w:leader="none" w:pos="13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First, subject to some limitations, the trustee can enforce your rights against us if we default.</w:t>
      </w:r>
    </w:p>
    <w:p>
      <w:pPr>
        <w:spacing w:after="0" w:line="183" w:lineRule="exact"/>
        <w:rPr>
          <w:rFonts w:ascii="Courier New" w:cs="Courier New" w:eastAsia="Courier New" w:hAnsi="Courier New"/>
          <w:sz w:val="16"/>
          <w:szCs w:val="16"/>
          <w:color w:val="auto"/>
        </w:rPr>
      </w:pPr>
    </w:p>
    <w:p>
      <w:pPr>
        <w:ind w:left="1300" w:right="2779" w:hanging="467"/>
        <w:spacing w:after="0" w:line="234" w:lineRule="auto"/>
        <w:tabs>
          <w:tab w:leader="none" w:pos="13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Second, the trustee performs certain administrative duties for us, which include sending you interest payments and notices.</w:t>
      </w:r>
    </w:p>
    <w:p>
      <w:pPr>
        <w:spacing w:after="0" w:line="183" w:lineRule="exact"/>
        <w:rPr>
          <w:sz w:val="20"/>
          <w:szCs w:val="20"/>
          <w:color w:val="auto"/>
        </w:rPr>
      </w:pPr>
    </w:p>
    <w:p>
      <w:pPr>
        <w:ind w:right="2879" w:firstLine="837"/>
        <w:spacing w:after="0" w:line="279" w:lineRule="auto"/>
        <w:rPr>
          <w:sz w:val="20"/>
          <w:szCs w:val="20"/>
          <w:color w:val="auto"/>
        </w:rPr>
      </w:pPr>
      <w:r>
        <w:rPr>
          <w:rFonts w:ascii="Courier New" w:cs="Courier New" w:eastAsia="Courier New" w:hAnsi="Courier New"/>
          <w:sz w:val="14"/>
          <w:szCs w:val="14"/>
          <w:color w:val="auto"/>
        </w:rPr>
        <w:t>Because we may issue both senior debt securities and subordinated debt securities, our references to the indenture are to each of the senior indenture and the subordinated indenture, unless the context requires otherwise. In this section, we refer to these indentures collectively as the "indentures."</w:t>
      </w:r>
    </w:p>
    <w:p>
      <w:pPr>
        <w:spacing w:after="0" w:line="157" w:lineRule="exact"/>
        <w:rPr>
          <w:sz w:val="20"/>
          <w:szCs w:val="20"/>
          <w:color w:val="auto"/>
        </w:rPr>
      </w:pPr>
    </w:p>
    <w:p>
      <w:pPr>
        <w:ind w:right="2879" w:firstLine="837"/>
        <w:spacing w:after="0" w:line="236" w:lineRule="auto"/>
        <w:rPr>
          <w:sz w:val="20"/>
          <w:szCs w:val="20"/>
          <w:color w:val="auto"/>
        </w:rPr>
      </w:pPr>
      <w:r>
        <w:rPr>
          <w:rFonts w:ascii="Courier New" w:cs="Courier New" w:eastAsia="Courier New" w:hAnsi="Courier New"/>
          <w:sz w:val="16"/>
          <w:szCs w:val="16"/>
          <w:color w:val="auto"/>
        </w:rPr>
        <w:t>Because this section is a summary of the material terms of the indentures, it does not describe every aspect of the debt securities. We urge you to read the indentures because they, and not this description, define your rights as a holder of debt securities. Some of the definitions are repeated in this prospectus, but for the rest you will need to read the indentures. We have filed the forms of the indentures as exhibits to a registration statement that we have filed with the SEC, of which this prospectus is a part. See "Where You Can Find More Information," for information on how to obtain copies of the indentures.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83" w:lineRule="exact"/>
        <w:rPr>
          <w:sz w:val="20"/>
          <w:szCs w:val="20"/>
          <w:color w:val="auto"/>
        </w:rPr>
      </w:pPr>
    </w:p>
    <w:p>
      <w:pPr>
        <w:ind w:right="2779" w:firstLine="837"/>
        <w:spacing w:after="0" w:line="235" w:lineRule="auto"/>
        <w:rPr>
          <w:sz w:val="20"/>
          <w:szCs w:val="20"/>
          <w:color w:val="auto"/>
        </w:rPr>
      </w:pPr>
      <w:r>
        <w:rPr>
          <w:rFonts w:ascii="Courier New" w:cs="Courier New" w:eastAsia="Courier New" w:hAnsi="Courier New"/>
          <w:sz w:val="16"/>
          <w:szCs w:val="16"/>
          <w:color w:val="auto"/>
        </w:rPr>
        <w:t>The debt securities will be unsecured obligations of ClearOne. The senior debt securities will rank equally with all of our other senior unsecured and unsubordinated indebtedness. The subordinated debt securities will be subordinate and junior in right of payment to all our existing and future Senior Indebtedness (as defined below).</w:t>
      </w:r>
    </w:p>
    <w:p>
      <w:pPr>
        <w:spacing w:after="0" w:line="186" w:lineRule="exact"/>
        <w:rPr>
          <w:sz w:val="20"/>
          <w:szCs w:val="20"/>
          <w:color w:val="auto"/>
        </w:rPr>
      </w:pPr>
    </w:p>
    <w:p>
      <w:pPr>
        <w:ind w:right="3059" w:firstLine="837"/>
        <w:spacing w:after="0" w:line="234" w:lineRule="auto"/>
        <w:rPr>
          <w:sz w:val="20"/>
          <w:szCs w:val="20"/>
          <w:color w:val="auto"/>
        </w:rPr>
      </w:pPr>
      <w:r>
        <w:rPr>
          <w:rFonts w:ascii="Courier New" w:cs="Courier New" w:eastAsia="Courier New" w:hAnsi="Courier New"/>
          <w:sz w:val="16"/>
          <w:szCs w:val="16"/>
          <w:color w:val="auto"/>
        </w:rPr>
        <w:t>You should read the prospectus supplement for the following terms of the series of debt securities offered by the prospectus supplement:</w:t>
      </w:r>
    </w:p>
    <w:p>
      <w:pPr>
        <w:spacing w:after="0" w:line="183" w:lineRule="exact"/>
        <w:rPr>
          <w:sz w:val="20"/>
          <w:szCs w:val="20"/>
          <w:color w:val="auto"/>
        </w:rPr>
      </w:pPr>
    </w:p>
    <w:p>
      <w:pPr>
        <w:ind w:left="1300" w:right="2959" w:hanging="467"/>
        <w:spacing w:after="0" w:line="295" w:lineRule="auto"/>
        <w:tabs>
          <w:tab w:leader="none" w:pos="130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title of the debt securities and whether the debt securities will be senior debt securities or subordinated debt securities.</w:t>
      </w:r>
    </w:p>
    <w:p>
      <w:pPr>
        <w:spacing w:after="0" w:line="146" w:lineRule="exact"/>
        <w:rPr>
          <w:rFonts w:ascii="Courier New" w:cs="Courier New" w:eastAsia="Courier New" w:hAnsi="Courier New"/>
          <w:sz w:val="14"/>
          <w:szCs w:val="14"/>
          <w:color w:val="auto"/>
        </w:rPr>
      </w:pPr>
    </w:p>
    <w:p>
      <w:pPr>
        <w:ind w:left="1300" w:right="2879" w:hanging="467"/>
        <w:spacing w:after="0" w:line="235" w:lineRule="auto"/>
        <w:tabs>
          <w:tab w:leader="none" w:pos="13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principal amount of the debt securities, the percentage of their principal amount at which the debt securities will be issued and the date or dates when the principal of the debt securities will be payable or how those dates will be determined.</w:t>
      </w:r>
    </w:p>
    <w:p>
      <w:pPr>
        <w:spacing w:after="0" w:line="185" w:lineRule="exact"/>
        <w:rPr>
          <w:rFonts w:ascii="Courier New" w:cs="Courier New" w:eastAsia="Courier New" w:hAnsi="Courier New"/>
          <w:sz w:val="16"/>
          <w:szCs w:val="16"/>
          <w:color w:val="auto"/>
        </w:rPr>
      </w:pPr>
    </w:p>
    <w:p>
      <w:pPr>
        <w:jc w:val="both"/>
        <w:ind w:left="1300" w:right="2959" w:hanging="467"/>
        <w:spacing w:after="0" w:line="235" w:lineRule="auto"/>
        <w:tabs>
          <w:tab w:leader="none" w:pos="13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interest rate or rates, which may be fixed or variable, that the debt securities will bear, if any, and how the rate or rates will be determined.</w:t>
      </w:r>
    </w:p>
    <w:p>
      <w:pPr>
        <w:spacing w:after="0" w:line="183" w:lineRule="exact"/>
        <w:rPr>
          <w:rFonts w:ascii="Courier New" w:cs="Courier New" w:eastAsia="Courier New" w:hAnsi="Courier New"/>
          <w:sz w:val="16"/>
          <w:szCs w:val="16"/>
          <w:color w:val="auto"/>
        </w:rPr>
      </w:pPr>
    </w:p>
    <w:p>
      <w:pPr>
        <w:ind w:left="1300" w:right="2879" w:hanging="467"/>
        <w:spacing w:after="0" w:line="236" w:lineRule="auto"/>
        <w:tabs>
          <w:tab w:leader="none" w:pos="13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or dates from which any interest will accrue or how the date or dates will be determined, the date or dates on which any interest will be payable, any regular record dates for these payments or how these dates will be determined and the basis on which any interest will be calculated, if other than on the basis of a 360-day year of twelve 30-day months.</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48" w:right="1440" w:bottom="1440" w:gutter="0" w:footer="0" w:header="0"/>
        </w:sectPr>
      </w:pPr>
    </w:p>
    <w:bookmarkStart w:id="14" w:name="page15"/>
    <w:bookmarkEnd w:id="14"/>
    <w:p>
      <w:pPr>
        <w:ind w:left="467" w:right="2879" w:hanging="467"/>
        <w:spacing w:after="0" w:line="235" w:lineRule="auto"/>
        <w:tabs>
          <w:tab w:leader="none" w:pos="467"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place or places, if any, other than or in addition to the Borough of Manhattan, New York City, of payment, transfer, conversion and exchange of the debt securities and where notices or demands to or upon us in respect of the debt securities may be served.</w:t>
      </w:r>
    </w:p>
    <w:p>
      <w:pPr>
        <w:spacing w:after="0" w:line="179" w:lineRule="exact"/>
        <w:rPr>
          <w:rFonts w:ascii="Courier New" w:cs="Courier New" w:eastAsia="Courier New" w:hAnsi="Courier New"/>
          <w:sz w:val="16"/>
          <w:szCs w:val="16"/>
          <w:color w:val="auto"/>
        </w:rPr>
      </w:pPr>
    </w:p>
    <w:p>
      <w:pPr>
        <w:ind w:left="467" w:hanging="467"/>
        <w:spacing w:after="0"/>
        <w:tabs>
          <w:tab w:leader="none" w:pos="467"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optional redemption provisions.</w:t>
      </w:r>
    </w:p>
    <w:p>
      <w:pPr>
        <w:spacing w:after="0" w:line="182" w:lineRule="exact"/>
        <w:rPr>
          <w:rFonts w:ascii="Courier New" w:cs="Courier New" w:eastAsia="Courier New" w:hAnsi="Courier New"/>
          <w:sz w:val="16"/>
          <w:szCs w:val="16"/>
          <w:color w:val="auto"/>
        </w:rPr>
      </w:pPr>
    </w:p>
    <w:p>
      <w:pPr>
        <w:ind w:left="467" w:right="3159" w:hanging="467"/>
        <w:spacing w:after="0" w:line="234" w:lineRule="auto"/>
        <w:tabs>
          <w:tab w:leader="none" w:pos="467"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sinking fund or other provisions that would obligate us to repurchase or redeem the debt securities.</w:t>
      </w:r>
    </w:p>
    <w:p>
      <w:pPr>
        <w:spacing w:after="0" w:line="183" w:lineRule="exact"/>
        <w:rPr>
          <w:rFonts w:ascii="Courier New" w:cs="Courier New" w:eastAsia="Courier New" w:hAnsi="Courier New"/>
          <w:sz w:val="16"/>
          <w:szCs w:val="16"/>
          <w:color w:val="auto"/>
        </w:rPr>
      </w:pPr>
    </w:p>
    <w:p>
      <w:pPr>
        <w:ind w:left="467" w:right="2779" w:hanging="467"/>
        <w:spacing w:after="0" w:line="235" w:lineRule="auto"/>
        <w:tabs>
          <w:tab w:leader="none" w:pos="467"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the amount of payments of principal of, or premium, if any, or interest on the debt securities will be determined with reference to an index, formula or other method, which could be based on one or more commodities, equity indices or other indices, and how these amounts will be determined.</w:t>
      </w:r>
    </w:p>
    <w:p>
      <w:pPr>
        <w:spacing w:after="0" w:line="185" w:lineRule="exact"/>
        <w:rPr>
          <w:rFonts w:ascii="Courier New" w:cs="Courier New" w:eastAsia="Courier New" w:hAnsi="Courier New"/>
          <w:sz w:val="16"/>
          <w:szCs w:val="16"/>
          <w:color w:val="auto"/>
        </w:rPr>
      </w:pPr>
    </w:p>
    <w:p>
      <w:pPr>
        <w:ind w:left="467" w:right="2879" w:hanging="467"/>
        <w:spacing w:after="0" w:line="283" w:lineRule="auto"/>
        <w:tabs>
          <w:tab w:leader="none" w:pos="467"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changes or additions to the events of default under the applicable indenture or our covenants, including additions of any restrictive covenants, with respect to the debt securities.</w:t>
      </w:r>
    </w:p>
    <w:p>
      <w:pPr>
        <w:spacing w:after="0" w:line="154" w:lineRule="exact"/>
        <w:rPr>
          <w:rFonts w:ascii="Courier New" w:cs="Courier New" w:eastAsia="Courier New" w:hAnsi="Courier New"/>
          <w:sz w:val="14"/>
          <w:szCs w:val="14"/>
          <w:color w:val="auto"/>
        </w:rPr>
      </w:pPr>
    </w:p>
    <w:p>
      <w:pPr>
        <w:ind w:left="467" w:right="2779" w:hanging="467"/>
        <w:spacing w:after="0" w:line="235" w:lineRule="auto"/>
        <w:tabs>
          <w:tab w:leader="none" w:pos="467"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not the principal amount of the debt securities, the portion of the principal amount that will be payable upon acceleration of the maturity of the debt securities or how that portion will be determined.</w:t>
      </w:r>
    </w:p>
    <w:p>
      <w:pPr>
        <w:spacing w:after="0" w:line="184" w:lineRule="exact"/>
        <w:rPr>
          <w:rFonts w:ascii="Courier New" w:cs="Courier New" w:eastAsia="Courier New" w:hAnsi="Courier New"/>
          <w:sz w:val="16"/>
          <w:szCs w:val="16"/>
          <w:color w:val="auto"/>
        </w:rPr>
      </w:pPr>
    </w:p>
    <w:p>
      <w:pPr>
        <w:ind w:left="467" w:right="2959" w:hanging="467"/>
        <w:spacing w:after="0" w:line="235" w:lineRule="auto"/>
        <w:tabs>
          <w:tab w:leader="none" w:pos="467"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changes or additions to the provisions concerning defeasance and covenant defeasance contained in the indenture that will be applicable to the debt securities.</w:t>
      </w:r>
    </w:p>
    <w:p>
      <w:pPr>
        <w:spacing w:after="0" w:line="183" w:lineRule="exact"/>
        <w:rPr>
          <w:rFonts w:ascii="Courier New" w:cs="Courier New" w:eastAsia="Courier New" w:hAnsi="Courier New"/>
          <w:sz w:val="16"/>
          <w:szCs w:val="16"/>
          <w:color w:val="auto"/>
        </w:rPr>
      </w:pPr>
    </w:p>
    <w:p>
      <w:pPr>
        <w:ind w:left="467" w:right="2879" w:hanging="467"/>
        <w:spacing w:after="0" w:line="234" w:lineRule="auto"/>
        <w:tabs>
          <w:tab w:leader="none" w:pos="467"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provisions granting special rights to the holders of the debt securities upon the occurrence of specified events.</w:t>
      </w:r>
    </w:p>
    <w:p>
      <w:pPr>
        <w:spacing w:after="0" w:line="183" w:lineRule="exact"/>
        <w:rPr>
          <w:rFonts w:ascii="Courier New" w:cs="Courier New" w:eastAsia="Courier New" w:hAnsi="Courier New"/>
          <w:sz w:val="16"/>
          <w:szCs w:val="16"/>
          <w:color w:val="auto"/>
        </w:rPr>
      </w:pPr>
    </w:p>
    <w:p>
      <w:pPr>
        <w:ind w:left="467" w:right="2879" w:hanging="467"/>
        <w:spacing w:after="0" w:line="234" w:lineRule="auto"/>
        <w:tabs>
          <w:tab w:leader="none" w:pos="467"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other than the trustee, the name of any paying agent, security registrar and transfer agent for the debt securities.</w:t>
      </w:r>
    </w:p>
    <w:p>
      <w:pPr>
        <w:spacing w:after="0" w:line="183" w:lineRule="exact"/>
        <w:rPr>
          <w:rFonts w:ascii="Courier New" w:cs="Courier New" w:eastAsia="Courier New" w:hAnsi="Courier New"/>
          <w:sz w:val="16"/>
          <w:szCs w:val="16"/>
          <w:color w:val="auto"/>
        </w:rPr>
      </w:pPr>
    </w:p>
    <w:p>
      <w:pPr>
        <w:ind w:left="467" w:right="2879" w:hanging="467"/>
        <w:spacing w:after="0" w:line="273" w:lineRule="auto"/>
        <w:tabs>
          <w:tab w:leader="none" w:pos="467"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debt securities are not to be issued in book-entry form only and held by The Depository Trust Company, as depositary, the form of such debt securities, including whether such debt securities are to be issuable in permanent or temporary global form, as registered securities, bearer securities or both, any restrictions on the offer, sale or delivery of bearer securities and the terms, if any, upon which bearer securities of the series may be exchanged for registered securities of the series and vice versa, if permitted by applicable law and regulations.</w:t>
      </w:r>
    </w:p>
    <w:p>
      <w:pPr>
        <w:spacing w:after="0" w:line="165" w:lineRule="exact"/>
        <w:rPr>
          <w:rFonts w:ascii="Courier New" w:cs="Courier New" w:eastAsia="Courier New" w:hAnsi="Courier New"/>
          <w:sz w:val="14"/>
          <w:szCs w:val="14"/>
          <w:color w:val="auto"/>
        </w:rPr>
      </w:pPr>
    </w:p>
    <w:p>
      <w:pPr>
        <w:ind w:left="467" w:right="2879" w:hanging="467"/>
        <w:spacing w:after="0" w:line="234" w:lineRule="auto"/>
        <w:tabs>
          <w:tab w:leader="none" w:pos="467"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other than US dollars, the currency or currencies of such debt securities.</w:t>
      </w:r>
    </w:p>
    <w:p>
      <w:pPr>
        <w:spacing w:after="0" w:line="183" w:lineRule="exact"/>
        <w:rPr>
          <w:rFonts w:ascii="Courier New" w:cs="Courier New" w:eastAsia="Courier New" w:hAnsi="Courier New"/>
          <w:sz w:val="16"/>
          <w:szCs w:val="16"/>
          <w:color w:val="auto"/>
        </w:rPr>
      </w:pPr>
    </w:p>
    <w:p>
      <w:pPr>
        <w:ind w:left="467" w:right="3339" w:hanging="467"/>
        <w:spacing w:after="0" w:line="235" w:lineRule="auto"/>
        <w:tabs>
          <w:tab w:leader="none" w:pos="467"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person to whom any interest in a debt security will be payable, if other than the registered holder at the close of business on the regular record date.</w:t>
      </w:r>
    </w:p>
    <w:p>
      <w:pPr>
        <w:spacing w:after="0" w:line="183" w:lineRule="exact"/>
        <w:rPr>
          <w:rFonts w:ascii="Courier New" w:cs="Courier New" w:eastAsia="Courier New" w:hAnsi="Courier New"/>
          <w:sz w:val="16"/>
          <w:szCs w:val="16"/>
          <w:color w:val="auto"/>
        </w:rPr>
      </w:pPr>
    </w:p>
    <w:p>
      <w:pPr>
        <w:ind w:left="467" w:right="2779" w:hanging="467"/>
        <w:spacing w:after="0" w:line="279" w:lineRule="auto"/>
        <w:tabs>
          <w:tab w:leader="none" w:pos="467"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denomination or denominations that the debt securities will be issued, if other than denominations of $1,000 or any integral multiples in the case of the registered securities and $5,000 or any integral multiples in the case of the bearer securities.</w:t>
      </w:r>
    </w:p>
    <w:p>
      <w:pPr>
        <w:spacing w:after="0" w:line="156" w:lineRule="exact"/>
        <w:rPr>
          <w:rFonts w:ascii="Courier New" w:cs="Courier New" w:eastAsia="Courier New" w:hAnsi="Courier New"/>
          <w:sz w:val="14"/>
          <w:szCs w:val="14"/>
          <w:color w:val="auto"/>
        </w:rPr>
      </w:pPr>
    </w:p>
    <w:p>
      <w:pPr>
        <w:ind w:left="467" w:right="2879" w:hanging="467"/>
        <w:spacing w:after="0" w:line="235" w:lineRule="auto"/>
        <w:tabs>
          <w:tab w:leader="none" w:pos="467"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such debt securities will be convertible into or exchangeable for any other securities and, if so, the terms and conditions upon which such debt securities will be so convertible or exchangeable.</w:t>
      </w:r>
    </w:p>
    <w:p>
      <w:pPr>
        <w:spacing w:after="0" w:line="184" w:lineRule="exact"/>
        <w:rPr>
          <w:rFonts w:ascii="Courier New" w:cs="Courier New" w:eastAsia="Courier New" w:hAnsi="Courier New"/>
          <w:sz w:val="16"/>
          <w:szCs w:val="16"/>
          <w:color w:val="auto"/>
        </w:rPr>
      </w:pPr>
    </w:p>
    <w:p>
      <w:pPr>
        <w:ind w:left="467" w:right="2959" w:hanging="467"/>
        <w:spacing w:after="0" w:line="235" w:lineRule="auto"/>
        <w:tabs>
          <w:tab w:leader="none" w:pos="467"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discussion of federal income tax, accounting and other special considerations, procedures and limitations with respect to the debt securities.</w:t>
      </w:r>
    </w:p>
    <w:p>
      <w:pPr>
        <w:spacing w:after="0" w:line="183" w:lineRule="exact"/>
        <w:rPr>
          <w:rFonts w:ascii="Courier New" w:cs="Courier New" w:eastAsia="Courier New" w:hAnsi="Courier New"/>
          <w:sz w:val="16"/>
          <w:szCs w:val="16"/>
          <w:color w:val="auto"/>
        </w:rPr>
      </w:pPr>
    </w:p>
    <w:p>
      <w:pPr>
        <w:ind w:left="467" w:right="2879" w:hanging="467"/>
        <w:spacing w:after="0" w:line="279" w:lineRule="auto"/>
        <w:tabs>
          <w:tab w:leader="none" w:pos="467"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and under what circumstances we will pay additional amounts to holders in respect of any tax assessment or government charge, and, if so, whether we will have the option to redeem the debt securities rather than pay such additional amounts.</w:t>
      </w:r>
    </w:p>
    <w:p>
      <w:pPr>
        <w:spacing w:after="0" w:line="330" w:lineRule="exact"/>
        <w:rPr>
          <w:sz w:val="20"/>
          <w:szCs w:val="20"/>
          <w:color w:val="auto"/>
        </w:rPr>
      </w:pPr>
    </w:p>
    <w:p>
      <w:pPr>
        <w:ind w:left="2787"/>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9387"/>
          </w:cols>
          <w:pgMar w:left="1073" w:top="654" w:right="1440" w:bottom="1440" w:gutter="0" w:footer="0" w:header="0"/>
        </w:sectPr>
      </w:pPr>
    </w:p>
    <w:bookmarkStart w:id="15" w:name="page16"/>
    <w:bookmarkEnd w:id="15"/>
    <w:p>
      <w:pPr>
        <w:ind w:left="1300" w:right="3059" w:hanging="467"/>
        <w:spacing w:after="0" w:line="234" w:lineRule="auto"/>
        <w:tabs>
          <w:tab w:leader="none" w:pos="130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terms of the debt securities that are consistent with the provisions of the indenture.</w:t>
      </w:r>
    </w:p>
    <w:p>
      <w:pPr>
        <w:spacing w:after="0" w:line="183" w:lineRule="exact"/>
        <w:rPr>
          <w:sz w:val="20"/>
          <w:szCs w:val="20"/>
          <w:color w:val="auto"/>
        </w:rPr>
      </w:pPr>
    </w:p>
    <w:p>
      <w:pPr>
        <w:ind w:right="2959" w:firstLine="837"/>
        <w:spacing w:after="0" w:line="283" w:lineRule="auto"/>
        <w:rPr>
          <w:sz w:val="20"/>
          <w:szCs w:val="20"/>
          <w:color w:val="auto"/>
        </w:rPr>
      </w:pPr>
      <w:r>
        <w:rPr>
          <w:rFonts w:ascii="Courier New" w:cs="Courier New" w:eastAsia="Courier New" w:hAnsi="Courier New"/>
          <w:sz w:val="14"/>
          <w:szCs w:val="14"/>
          <w:color w:val="auto"/>
        </w:rPr>
        <w:t>For purposes of this prospectus, any reference to the payment of principal of, any premium on, or any interest on, debt securities will include additional amounts if required by the terms of such debt securities.</w:t>
      </w:r>
    </w:p>
    <w:p>
      <w:pPr>
        <w:spacing w:after="0" w:line="155"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The indentures do not limit the amount of debt securities that we are authorized to issue from time to time. The indentures also provide that there may be more than one trustee thereunder, each for one or more series of debt securities. At a time when two or more trustees are acting under the indenture, each with respect to only certain series, the term "debt securities" means the series of debt securities for which each respective trustee is acting. If there is more than one trustee under the indenture, the powers and trust obligations of each trustee will apply only to the debt securities for which it is trustee. If two or more trustees are acting under the indenture, then the debt securities for which each trustee is acting would be treated as if issued under separate indentures.</w:t>
      </w:r>
    </w:p>
    <w:p>
      <w:pPr>
        <w:spacing w:after="0" w:line="186" w:lineRule="exact"/>
        <w:rPr>
          <w:sz w:val="20"/>
          <w:szCs w:val="20"/>
          <w:color w:val="auto"/>
        </w:rPr>
      </w:pPr>
    </w:p>
    <w:p>
      <w:pPr>
        <w:ind w:right="2779" w:firstLine="837"/>
        <w:spacing w:after="0" w:line="235" w:lineRule="auto"/>
        <w:rPr>
          <w:sz w:val="20"/>
          <w:szCs w:val="20"/>
          <w:color w:val="auto"/>
        </w:rPr>
      </w:pPr>
      <w:r>
        <w:rPr>
          <w:rFonts w:ascii="Courier New" w:cs="Courier New" w:eastAsia="Courier New" w:hAnsi="Courier New"/>
          <w:sz w:val="16"/>
          <w:szCs w:val="16"/>
          <w:color w:val="auto"/>
        </w:rPr>
        <w:t>We may issue debt securities with terms different from those of debt securities that may already have been issued. Without the consent of the holders thereof, we may reopen a previous issue of a series of debt securities and issue additional debt securities of that series unless the reopening was restricted when that series was created.</w:t>
      </w:r>
    </w:p>
    <w:p>
      <w:pPr>
        <w:spacing w:after="0" w:line="186" w:lineRule="exact"/>
        <w:rPr>
          <w:sz w:val="20"/>
          <w:szCs w:val="20"/>
          <w:color w:val="auto"/>
        </w:rPr>
      </w:pPr>
    </w:p>
    <w:p>
      <w:pPr>
        <w:ind w:right="2959" w:firstLine="837"/>
        <w:spacing w:after="0" w:line="235" w:lineRule="auto"/>
        <w:rPr>
          <w:sz w:val="20"/>
          <w:szCs w:val="20"/>
          <w:color w:val="auto"/>
        </w:rPr>
      </w:pPr>
      <w:r>
        <w:rPr>
          <w:rFonts w:ascii="Courier New" w:cs="Courier New" w:eastAsia="Courier New" w:hAnsi="Courier New"/>
          <w:sz w:val="16"/>
          <w:szCs w:val="16"/>
          <w:color w:val="auto"/>
        </w:rPr>
        <w:t>There is no requirement that we issue debt securities in the future under any indenture, and we may use other indentures or documentation, containing different provisions in connection with future issues of other debt securities.</w:t>
      </w:r>
    </w:p>
    <w:p>
      <w:pPr>
        <w:spacing w:after="0" w:line="185"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We may issue the debt securities as original issue discount securities, which are debt securities, including any zero-coupon debt securities, that are issued and sold at a discount from their stated principal amount. Original issue discount securities provide that, upon acceleration of their maturity, an amount less than their principal amount will become due and payable. We will describe the U.S. federal income tax consequences and other considerations applicable to original issue discount securities in any prospectus supplement relating to them.</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Conversion and Exchange</w:t>
      </w:r>
    </w:p>
    <w:p>
      <w:pPr>
        <w:spacing w:after="0" w:line="183" w:lineRule="exact"/>
        <w:rPr>
          <w:sz w:val="20"/>
          <w:szCs w:val="20"/>
          <w:color w:val="auto"/>
        </w:rPr>
      </w:pPr>
    </w:p>
    <w:p>
      <w:pPr>
        <w:jc w:val="both"/>
        <w:ind w:right="2959" w:firstLine="837"/>
        <w:spacing w:after="0" w:line="235" w:lineRule="auto"/>
        <w:rPr>
          <w:sz w:val="20"/>
          <w:szCs w:val="20"/>
          <w:color w:val="auto"/>
        </w:rPr>
      </w:pPr>
      <w:r>
        <w:rPr>
          <w:rFonts w:ascii="Courier New" w:cs="Courier New" w:eastAsia="Courier New" w:hAnsi="Courier New"/>
          <w:sz w:val="16"/>
          <w:szCs w:val="16"/>
          <w:color w:val="auto"/>
        </w:rPr>
        <w:t>If any debt securities are convertible into or exchangeable for other securities, the prospectus supplement will explain the terms and conditions of such conversion or exchange, including:</w:t>
      </w:r>
    </w:p>
    <w:p>
      <w:pPr>
        <w:spacing w:after="0" w:line="183" w:lineRule="exact"/>
        <w:rPr>
          <w:sz w:val="20"/>
          <w:szCs w:val="20"/>
          <w:color w:val="auto"/>
        </w:rPr>
      </w:pPr>
    </w:p>
    <w:p>
      <w:pPr>
        <w:ind w:left="1300" w:right="2879" w:hanging="467"/>
        <w:spacing w:after="0" w:line="234" w:lineRule="auto"/>
        <w:tabs>
          <w:tab w:leader="none" w:pos="13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conversion price or exchange ratio, or the calculation method for such price or ratio;</w:t>
      </w:r>
    </w:p>
    <w:p>
      <w:pPr>
        <w:spacing w:after="0" w:line="183" w:lineRule="exact"/>
        <w:rPr>
          <w:rFonts w:ascii="Courier New" w:cs="Courier New" w:eastAsia="Courier New" w:hAnsi="Courier New"/>
          <w:sz w:val="16"/>
          <w:szCs w:val="16"/>
          <w:color w:val="auto"/>
        </w:rPr>
      </w:pPr>
    </w:p>
    <w:p>
      <w:pPr>
        <w:ind w:left="1300" w:right="3239" w:hanging="467"/>
        <w:spacing w:after="0" w:line="234" w:lineRule="auto"/>
        <w:tabs>
          <w:tab w:leader="none" w:pos="13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conversion or exchange period, or how such period will be determined;</w:t>
      </w:r>
    </w:p>
    <w:p>
      <w:pPr>
        <w:spacing w:after="0" w:line="183" w:lineRule="exact"/>
        <w:rPr>
          <w:rFonts w:ascii="Courier New" w:cs="Courier New" w:eastAsia="Courier New" w:hAnsi="Courier New"/>
          <w:sz w:val="16"/>
          <w:szCs w:val="16"/>
          <w:color w:val="auto"/>
        </w:rPr>
      </w:pPr>
    </w:p>
    <w:p>
      <w:pPr>
        <w:ind w:left="1300" w:right="3059" w:hanging="467"/>
        <w:spacing w:after="0" w:line="234" w:lineRule="auto"/>
        <w:tabs>
          <w:tab w:leader="none" w:pos="13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conversion or exchange will be mandatory or at the option of the holder or ClearOne;</w:t>
      </w:r>
    </w:p>
    <w:p>
      <w:pPr>
        <w:spacing w:after="0" w:line="183" w:lineRule="exact"/>
        <w:rPr>
          <w:rFonts w:ascii="Courier New" w:cs="Courier New" w:eastAsia="Courier New" w:hAnsi="Courier New"/>
          <w:sz w:val="16"/>
          <w:szCs w:val="16"/>
          <w:color w:val="auto"/>
        </w:rPr>
      </w:pPr>
    </w:p>
    <w:p>
      <w:pPr>
        <w:ind w:left="1300" w:right="3239" w:hanging="467"/>
        <w:spacing w:after="0" w:line="234" w:lineRule="auto"/>
        <w:tabs>
          <w:tab w:leader="none" w:pos="13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requirements with respect to the reservation of shares of securities for purposes of conversion;</w:t>
      </w:r>
    </w:p>
    <w:p>
      <w:pPr>
        <w:spacing w:after="0" w:line="183" w:lineRule="exact"/>
        <w:rPr>
          <w:rFonts w:ascii="Courier New" w:cs="Courier New" w:eastAsia="Courier New" w:hAnsi="Courier New"/>
          <w:sz w:val="16"/>
          <w:szCs w:val="16"/>
          <w:color w:val="auto"/>
        </w:rPr>
      </w:pPr>
    </w:p>
    <w:p>
      <w:pPr>
        <w:ind w:left="1300" w:right="2879" w:hanging="467"/>
        <w:spacing w:after="0" w:line="234" w:lineRule="auto"/>
        <w:tabs>
          <w:tab w:leader="none" w:pos="13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provisions for adjustment of the conversion price or the exchange ratio; and</w:t>
      </w:r>
    </w:p>
    <w:p>
      <w:pPr>
        <w:spacing w:after="0" w:line="183" w:lineRule="exact"/>
        <w:rPr>
          <w:rFonts w:ascii="Courier New" w:cs="Courier New" w:eastAsia="Courier New" w:hAnsi="Courier New"/>
          <w:sz w:val="16"/>
          <w:szCs w:val="16"/>
          <w:color w:val="auto"/>
        </w:rPr>
      </w:pPr>
    </w:p>
    <w:p>
      <w:pPr>
        <w:ind w:left="1300" w:right="3059" w:hanging="467"/>
        <w:spacing w:after="0" w:line="234" w:lineRule="auto"/>
        <w:tabs>
          <w:tab w:leader="none" w:pos="13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provisions affecting conversion or exchange in the event of the redemption of the debt securities.</w:t>
      </w:r>
    </w:p>
    <w:p>
      <w:pPr>
        <w:spacing w:after="0" w:line="183" w:lineRule="exact"/>
        <w:rPr>
          <w:sz w:val="20"/>
          <w:szCs w:val="20"/>
          <w:color w:val="auto"/>
        </w:rPr>
      </w:pPr>
    </w:p>
    <w:p>
      <w:pPr>
        <w:ind w:right="2779" w:firstLine="837"/>
        <w:spacing w:after="0" w:line="279" w:lineRule="auto"/>
        <w:rPr>
          <w:sz w:val="20"/>
          <w:szCs w:val="20"/>
          <w:color w:val="auto"/>
        </w:rPr>
      </w:pPr>
      <w:r>
        <w:rPr>
          <w:rFonts w:ascii="Courier New" w:cs="Courier New" w:eastAsia="Courier New" w:hAnsi="Courier New"/>
          <w:sz w:val="14"/>
          <w:szCs w:val="14"/>
          <w:color w:val="auto"/>
        </w:rPr>
        <w:t>Such terms may also include provisions under which the number or amount of other securities to be received by the holders of such debt securities upon conversion or exchange would be calculated according to the market price of such other securities as of a time stated in the prospectus supplement.</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Additional Mechanics</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Form, Exchange and Transfer</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The debt securities will be issued:</w:t>
      </w:r>
    </w:p>
    <w:p>
      <w:pPr>
        <w:spacing w:after="0" w:line="183" w:lineRule="exact"/>
        <w:rPr>
          <w:sz w:val="20"/>
          <w:szCs w:val="20"/>
          <w:color w:val="auto"/>
        </w:rPr>
      </w:pPr>
    </w:p>
    <w:p>
      <w:pPr>
        <w:ind w:left="3620" w:right="6319" w:hanging="2787"/>
        <w:spacing w:after="0" w:line="538" w:lineRule="auto"/>
        <w:tabs>
          <w:tab w:leader="none" w:pos="1294"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registered securities; or 11</w:t>
      </w:r>
    </w:p>
    <w:p>
      <w:pPr>
        <w:sectPr>
          <w:pgSz w:w="11900" w:h="16838" w:orient="portrait"/>
          <w:cols w:equalWidth="0" w:num="1">
            <w:col w:w="10219"/>
          </w:cols>
          <w:pgMar w:left="240" w:top="654" w:right="1440" w:bottom="1440" w:gutter="0" w:footer="0" w:header="0"/>
        </w:sectPr>
      </w:pPr>
    </w:p>
    <w:bookmarkStart w:id="16" w:name="page17"/>
    <w:bookmarkEnd w:id="16"/>
    <w:p>
      <w:pPr>
        <w:ind w:left="1300" w:right="2879" w:hanging="467"/>
        <w:spacing w:after="0" w:line="235" w:lineRule="auto"/>
        <w:tabs>
          <w:tab w:leader="none" w:pos="130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so provided in the prospectus supplement, as bearer securities (unless otherwise stated in the prospectus supplement, with interest coupons attached); or</w:t>
      </w:r>
    </w:p>
    <w:p>
      <w:pPr>
        <w:spacing w:after="0" w:line="183" w:lineRule="exact"/>
        <w:rPr>
          <w:rFonts w:ascii="Courier New" w:cs="Courier New" w:eastAsia="Courier New" w:hAnsi="Courier New"/>
          <w:sz w:val="16"/>
          <w:szCs w:val="16"/>
          <w:color w:val="auto"/>
        </w:rPr>
      </w:pPr>
    </w:p>
    <w:p>
      <w:pPr>
        <w:ind w:left="1300" w:right="2779" w:hanging="467"/>
        <w:spacing w:after="0" w:line="234" w:lineRule="auto"/>
        <w:tabs>
          <w:tab w:leader="none" w:pos="130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global form, see "Securities We May Issue - Global Securities;" or</w:t>
      </w:r>
    </w:p>
    <w:p>
      <w:pPr>
        <w:spacing w:after="0" w:line="183" w:lineRule="exact"/>
        <w:rPr>
          <w:rFonts w:ascii="Courier New" w:cs="Courier New" w:eastAsia="Courier New" w:hAnsi="Courier New"/>
          <w:sz w:val="16"/>
          <w:szCs w:val="16"/>
          <w:color w:val="auto"/>
        </w:rPr>
      </w:pPr>
    </w:p>
    <w:p>
      <w:pPr>
        <w:ind w:left="1300" w:right="2779" w:hanging="467"/>
        <w:spacing w:after="0" w:line="235" w:lineRule="auto"/>
        <w:tabs>
          <w:tab w:leader="none" w:pos="130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denominations that are even multiples of $1,000, in the case of registered securities, and in even multiples of $5,000, in the case of bearer securities, unless otherwise specified in the applicable prospectus supplement.</w:t>
      </w:r>
    </w:p>
    <w:p>
      <w:pPr>
        <w:spacing w:after="0" w:line="185" w:lineRule="exact"/>
        <w:rPr>
          <w:sz w:val="20"/>
          <w:szCs w:val="20"/>
          <w:color w:val="auto"/>
        </w:rPr>
      </w:pPr>
    </w:p>
    <w:p>
      <w:pPr>
        <w:ind w:right="2879" w:firstLine="837"/>
        <w:spacing w:after="0" w:line="235" w:lineRule="auto"/>
        <w:rPr>
          <w:sz w:val="20"/>
          <w:szCs w:val="20"/>
          <w:color w:val="auto"/>
        </w:rPr>
      </w:pPr>
      <w:r>
        <w:rPr>
          <w:rFonts w:ascii="Courier New" w:cs="Courier New" w:eastAsia="Courier New" w:hAnsi="Courier New"/>
          <w:sz w:val="16"/>
          <w:szCs w:val="16"/>
          <w:color w:val="auto"/>
        </w:rPr>
        <w:t>You may have your registered securities divided into registered securities of smaller denominations or combined into registered securities of larger denominations, as long as the aggregate principal amount is not changed. This is called an "exchange."</w:t>
      </w:r>
    </w:p>
    <w:p>
      <w:pPr>
        <w:spacing w:after="0" w:line="185" w:lineRule="exact"/>
        <w:rPr>
          <w:sz w:val="20"/>
          <w:szCs w:val="20"/>
          <w:color w:val="auto"/>
        </w:rPr>
      </w:pPr>
    </w:p>
    <w:p>
      <w:pPr>
        <w:ind w:right="2779" w:firstLine="837"/>
        <w:spacing w:after="0" w:line="272" w:lineRule="auto"/>
        <w:rPr>
          <w:sz w:val="20"/>
          <w:szCs w:val="20"/>
          <w:color w:val="auto"/>
        </w:rPr>
      </w:pPr>
      <w:r>
        <w:rPr>
          <w:rFonts w:ascii="Courier New" w:cs="Courier New" w:eastAsia="Courier New" w:hAnsi="Courier New"/>
          <w:sz w:val="14"/>
          <w:szCs w:val="14"/>
          <w:color w:val="auto"/>
        </w:rPr>
        <w:t>You may exchange or transfer registered securities of a series at the office of the trustee in New York City. That office is currently located at The Bank of New York, 101 Barclay Street, Floor 21West, New York, New York 10286, Attn: Corporate Trust Administration. The trustee maintains the list of registered holders and acts as our securities registrar for registering debt securities in the names of holders and transferring debt securities. However, we may appoint another trustee to act as our securities registrar or we may act as our own securities registrar. If we designate additional securities registrars, they will be named in the prospectus supplement. We may cancel the designation of any particular securities registrar. We may also approve a change in the office through which any securities registrar acts. If provided in the prospectus supplement, you may exchange your bearer securities for registered securities of the same series so long as the total principal amount is not changed. Unless otherwise specified in the prospectus supplement, bearer securities will not be issued in exchange for registered securities.</w:t>
      </w:r>
    </w:p>
    <w:p>
      <w:pPr>
        <w:spacing w:after="0" w:line="346" w:lineRule="exact"/>
        <w:rPr>
          <w:sz w:val="20"/>
          <w:szCs w:val="20"/>
          <w:color w:val="auto"/>
        </w:rPr>
      </w:pPr>
    </w:p>
    <w:p>
      <w:pPr>
        <w:ind w:right="3059" w:firstLine="837"/>
        <w:spacing w:after="0" w:line="276" w:lineRule="auto"/>
        <w:rPr>
          <w:sz w:val="20"/>
          <w:szCs w:val="20"/>
          <w:color w:val="auto"/>
        </w:rPr>
      </w:pPr>
      <w:r>
        <w:rPr>
          <w:rFonts w:ascii="Courier New" w:cs="Courier New" w:eastAsia="Courier New" w:hAnsi="Courier New"/>
          <w:sz w:val="14"/>
          <w:szCs w:val="14"/>
          <w:color w:val="auto"/>
        </w:rPr>
        <w:t>You will not be required to pay a service charge to transfer or exchange debt securities, but you may in certain circumstances be required to pay for any tax or other governmental charge associated with the exchange or transfer. The transfer or exchange will only be made if the transfer agent is satisfied with your proof of ownership and/or transfer documentation.</w:t>
      </w:r>
    </w:p>
    <w:p>
      <w:pPr>
        <w:spacing w:after="0" w:line="161"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If the debt securities are redeemable and we redeem less than all of the debt securities of a particular series, we may block the transfer or exchange of debt securities for 15 days before the day we mail the notice of redemption or publish such notice (in the case of bearer securities) and ending on the day of that mailing or publication in order to freeze the list of holders to prepare the mailing. At our option, we may mail or publish such notice of redemption through an electronic medium. We may also refuse to register transfers or exchanges of debt securities selected for redemption, except that we will continue to permit transfers and exchanges of the unredeemed portion of any debt security being partially redeemed.</w:t>
      </w:r>
    </w:p>
    <w:p>
      <w:pPr>
        <w:spacing w:after="0" w:line="179"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Paying and Paying Agents</w:t>
      </w:r>
    </w:p>
    <w:p>
      <w:pPr>
        <w:spacing w:after="0" w:line="183"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If you are a holder of registered securities, we will pay interest to you if you are a direct holder in the list of registered holders at the close of business on a particular day in advance of each due date for interest, even if you no longer own the security on the interest due date. That particular time and day, usually about two weeks in advance of the interest due date, is called the "Regular Record Date" and is stated in the prospectus supplement. Holders buying and selling debt securities must work out between them how to compensate for the fact that we will pay all the interest for an interest period to the one who is the registered holder on the Regular Record Date. The most common manner is to adjust the sales price of the debt securities to prorate interest fairly between buyer and seller. This prorated interest amount is called "accrued interest."</w:t>
      </w:r>
    </w:p>
    <w:p>
      <w:pPr>
        <w:spacing w:after="0" w:line="187"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With respect to registered securities, we will pay interest, principal and any other money due on the debt securities at the corporate trust office of the trustee in New York City. That office is currently located at The Bank of New York, 101 Barclay Street, Floor 21 West, New York, New York 10286, Attn: Corporate Trust Administration. You must make arrangements to have your payments picked up at or wired from that office. We may also choose to pay interest by mailing checks or making wire transfers.</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54" w:right="1440" w:bottom="1440" w:gutter="0" w:footer="0" w:header="0"/>
        </w:sectPr>
      </w:pPr>
    </w:p>
    <w:bookmarkStart w:id="17" w:name="page18"/>
    <w:bookmarkEnd w:id="17"/>
    <w:p>
      <w:pPr>
        <w:ind w:right="2879" w:firstLine="837"/>
        <w:spacing w:after="0" w:line="234" w:lineRule="auto"/>
        <w:rPr>
          <w:sz w:val="20"/>
          <w:szCs w:val="20"/>
          <w:color w:val="auto"/>
        </w:rPr>
      </w:pPr>
      <w:r>
        <w:rPr>
          <w:rFonts w:ascii="Courier New" w:cs="Courier New" w:eastAsia="Courier New" w:hAnsi="Courier New"/>
          <w:sz w:val="16"/>
          <w:szCs w:val="16"/>
          <w:color w:val="auto"/>
        </w:rPr>
        <w:t>"Street name" and other indirect holders should consult their banks or brokers for information on how they will receive payments.</w:t>
      </w:r>
    </w:p>
    <w:p>
      <w:pPr>
        <w:spacing w:after="0" w:line="183" w:lineRule="exact"/>
        <w:rPr>
          <w:sz w:val="20"/>
          <w:szCs w:val="20"/>
          <w:color w:val="auto"/>
        </w:rPr>
      </w:pPr>
    </w:p>
    <w:p>
      <w:pPr>
        <w:ind w:right="2779" w:firstLine="837"/>
        <w:spacing w:after="0" w:line="272" w:lineRule="auto"/>
        <w:rPr>
          <w:sz w:val="20"/>
          <w:szCs w:val="20"/>
          <w:color w:val="auto"/>
        </w:rPr>
      </w:pPr>
      <w:r>
        <w:rPr>
          <w:rFonts w:ascii="Courier New" w:cs="Courier New" w:eastAsia="Courier New" w:hAnsi="Courier New"/>
          <w:sz w:val="14"/>
          <w:szCs w:val="14"/>
          <w:color w:val="auto"/>
        </w:rPr>
        <w:t>If bearer securities are issued, unless otherwise provided in the prospectus supplement, we will maintain an office or agency outside the United States for the payment of all amounts due on the bearer securities. If debt securities are listed on the Luxembourg Stock Exchange or any other stock exchange located outside the United States, we will maintain an office or agency for such debt securities in any city located outside the United States required by such stock exchange. The initial locations of such offices and agencies will be specified in the prospectus supplement. Unless otherwise provided in the prospectus supplement, payment of interest on any bearer securities on or before maturity will be made only against surrender of coupons for such interest installments as they mature. Unless otherwise provided in the prospectus supplement, no payment with respect to any bearer security will be made at any office or agency of ClearOne in the United States or by check mailed to any address in the United States or by transfer to an account maintained with a bank located in the United States. Notwithstanding the foregoing, payments of principal, premium and interest, if any, on bearer securities payable in US dollars may be made, at the office of our paying agent in The City of New York if (but only if) payment of the full amount in US dollars at all offices or agencies outside the United States is illegal or effectively precluded by exchange controls or other similar restrictions.</w:t>
      </w:r>
    </w:p>
    <w:p>
      <w:pPr>
        <w:spacing w:after="0" w:line="200" w:lineRule="exact"/>
        <w:rPr>
          <w:sz w:val="20"/>
          <w:szCs w:val="20"/>
          <w:color w:val="auto"/>
        </w:rPr>
      </w:pPr>
    </w:p>
    <w:p>
      <w:pPr>
        <w:spacing w:after="0" w:line="321" w:lineRule="exact"/>
        <w:rPr>
          <w:sz w:val="20"/>
          <w:szCs w:val="20"/>
          <w:color w:val="auto"/>
        </w:rPr>
      </w:pPr>
    </w:p>
    <w:p>
      <w:pPr>
        <w:ind w:right="2879" w:firstLine="837"/>
        <w:spacing w:after="0" w:line="235" w:lineRule="auto"/>
        <w:rPr>
          <w:sz w:val="20"/>
          <w:szCs w:val="20"/>
          <w:color w:val="auto"/>
        </w:rPr>
      </w:pPr>
      <w:r>
        <w:rPr>
          <w:rFonts w:ascii="Courier New" w:cs="Courier New" w:eastAsia="Courier New" w:hAnsi="Courier New"/>
          <w:sz w:val="16"/>
          <w:szCs w:val="16"/>
          <w:color w:val="auto"/>
        </w:rPr>
        <w:t>Regardless of who acts as the paying agent, all money paid by us to a paying agent that remains unclaimed at the end of two years after the amount is due to registered holders will be repaid to us. After that two-year period, you may look only to us for payment and not to the trustee, any other paying agent or anyone else.</w:t>
      </w:r>
    </w:p>
    <w:p>
      <w:pPr>
        <w:spacing w:after="0" w:line="186" w:lineRule="exact"/>
        <w:rPr>
          <w:sz w:val="20"/>
          <w:szCs w:val="20"/>
          <w:color w:val="auto"/>
        </w:rPr>
      </w:pPr>
    </w:p>
    <w:p>
      <w:pPr>
        <w:ind w:right="2779" w:firstLine="837"/>
        <w:spacing w:after="0" w:line="279" w:lineRule="auto"/>
        <w:rPr>
          <w:sz w:val="20"/>
          <w:szCs w:val="20"/>
          <w:color w:val="auto"/>
        </w:rPr>
      </w:pPr>
      <w:r>
        <w:rPr>
          <w:rFonts w:ascii="Courier New" w:cs="Courier New" w:eastAsia="Courier New" w:hAnsi="Courier New"/>
          <w:sz w:val="14"/>
          <w:szCs w:val="14"/>
          <w:color w:val="auto"/>
        </w:rPr>
        <w:t>We may also arrange for additional payment offices, and may cancel or change these offices, including our use of the trustee's corporate trust office. We may also choose to act as our own paying agent. We must notify you of changes in identities of the paying agents for any particular series of debt securities.</w:t>
      </w:r>
    </w:p>
    <w:p>
      <w:pPr>
        <w:spacing w:after="0" w:line="151"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Notices</w:t>
      </w:r>
    </w:p>
    <w:p>
      <w:pPr>
        <w:spacing w:after="0" w:line="183"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With respect to registered securities, we and the trustee will send notices regarding the debt securities only to registered holders, using their addresses as listed in the list of registered holders. With respect to bearer securities, we and the trustee will give notice by publication in a newspaper of general circulation in the City of New York or in such other cities that may be specified in a prospectus supplement. At our option, we may send or publish notices through an electronic medium as specified in the applicable prospectus supplement.</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Events of Default</w:t>
      </w:r>
    </w:p>
    <w:p>
      <w:pPr>
        <w:spacing w:after="0" w:line="183" w:lineRule="exact"/>
        <w:rPr>
          <w:sz w:val="20"/>
          <w:szCs w:val="20"/>
          <w:color w:val="auto"/>
        </w:rPr>
      </w:pPr>
    </w:p>
    <w:p>
      <w:pPr>
        <w:jc w:val="both"/>
        <w:ind w:right="2959" w:firstLine="837"/>
        <w:spacing w:after="0" w:line="235" w:lineRule="auto"/>
        <w:rPr>
          <w:sz w:val="20"/>
          <w:szCs w:val="20"/>
          <w:color w:val="auto"/>
        </w:rPr>
      </w:pPr>
      <w:r>
        <w:rPr>
          <w:rFonts w:ascii="Courier New" w:cs="Courier New" w:eastAsia="Courier New" w:hAnsi="Courier New"/>
          <w:sz w:val="16"/>
          <w:szCs w:val="16"/>
          <w:color w:val="auto"/>
        </w:rPr>
        <w:t>You will have special rights if an event of default occurs in respect of the debt securities of your series and is not cured, as described later in this subsection.</w:t>
      </w:r>
    </w:p>
    <w:p>
      <w:pPr>
        <w:spacing w:after="0" w:line="183" w:lineRule="exact"/>
        <w:rPr>
          <w:sz w:val="20"/>
          <w:szCs w:val="20"/>
          <w:color w:val="auto"/>
        </w:rPr>
      </w:pPr>
    </w:p>
    <w:p>
      <w:pPr>
        <w:ind w:right="2879" w:firstLine="837"/>
        <w:spacing w:after="0" w:line="234" w:lineRule="auto"/>
        <w:rPr>
          <w:sz w:val="20"/>
          <w:szCs w:val="20"/>
          <w:color w:val="auto"/>
        </w:rPr>
      </w:pPr>
      <w:r>
        <w:rPr>
          <w:rFonts w:ascii="Courier New" w:cs="Courier New" w:eastAsia="Courier New" w:hAnsi="Courier New"/>
          <w:sz w:val="16"/>
          <w:szCs w:val="16"/>
          <w:color w:val="auto"/>
        </w:rPr>
        <w:t>What is an Event of Default? The term "event of default" in respect of the debt securities of your series means any of the following:</w:t>
      </w:r>
    </w:p>
    <w:p>
      <w:pPr>
        <w:spacing w:after="0" w:line="183" w:lineRule="exact"/>
        <w:rPr>
          <w:sz w:val="20"/>
          <w:szCs w:val="20"/>
          <w:color w:val="auto"/>
        </w:rPr>
      </w:pPr>
    </w:p>
    <w:p>
      <w:pPr>
        <w:ind w:left="1300" w:right="2959" w:hanging="467"/>
        <w:spacing w:after="0" w:line="234" w:lineRule="auto"/>
        <w:tabs>
          <w:tab w:leader="none" w:pos="130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do not pay the principal of or any premium on a debt security of such series on its due date.</w:t>
      </w:r>
    </w:p>
    <w:p>
      <w:pPr>
        <w:spacing w:after="0" w:line="183" w:lineRule="exact"/>
        <w:rPr>
          <w:rFonts w:ascii="Courier New" w:cs="Courier New" w:eastAsia="Courier New" w:hAnsi="Courier New"/>
          <w:sz w:val="16"/>
          <w:szCs w:val="16"/>
          <w:color w:val="auto"/>
        </w:rPr>
      </w:pPr>
    </w:p>
    <w:p>
      <w:pPr>
        <w:ind w:left="1300" w:right="2779" w:hanging="467"/>
        <w:spacing w:after="0" w:line="235" w:lineRule="auto"/>
        <w:tabs>
          <w:tab w:leader="none" w:pos="130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do not pay interest on a debt security of such series within 30 days of its due date whether at maturity, upon redemption or upon acceleration.</w:t>
      </w:r>
    </w:p>
    <w:p>
      <w:pPr>
        <w:spacing w:after="0" w:line="183" w:lineRule="exact"/>
        <w:rPr>
          <w:rFonts w:ascii="Courier New" w:cs="Courier New" w:eastAsia="Courier New" w:hAnsi="Courier New"/>
          <w:sz w:val="16"/>
          <w:szCs w:val="16"/>
          <w:color w:val="auto"/>
        </w:rPr>
      </w:pPr>
    </w:p>
    <w:p>
      <w:pPr>
        <w:ind w:left="1300" w:right="3239" w:hanging="467"/>
        <w:spacing w:after="0" w:line="234" w:lineRule="auto"/>
        <w:tabs>
          <w:tab w:leader="none" w:pos="130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do not deposit any sinking fund payment in respect of debt securities of such series on its due date.</w:t>
      </w:r>
    </w:p>
    <w:p>
      <w:pPr>
        <w:spacing w:after="0" w:line="183" w:lineRule="exact"/>
        <w:rPr>
          <w:rFonts w:ascii="Courier New" w:cs="Courier New" w:eastAsia="Courier New" w:hAnsi="Courier New"/>
          <w:sz w:val="16"/>
          <w:szCs w:val="16"/>
          <w:color w:val="auto"/>
        </w:rPr>
      </w:pPr>
    </w:p>
    <w:p>
      <w:pPr>
        <w:ind w:left="1300" w:right="2779" w:hanging="467"/>
        <w:spacing w:after="0" w:line="276" w:lineRule="auto"/>
        <w:tabs>
          <w:tab w:leader="none" w:pos="130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remain in breach of a covenant in respect of debt securities of such series for 60 days after we receive a written notice of default stating we are in breach and requiring that we remedy the breach. The notice must be sent by either the trustee or holders of 25% of the principal amount of debt securities of such series.</w:t>
      </w:r>
    </w:p>
    <w:p>
      <w:pPr>
        <w:spacing w:after="0" w:line="161" w:lineRule="exact"/>
        <w:rPr>
          <w:rFonts w:ascii="Courier New" w:cs="Courier New" w:eastAsia="Courier New" w:hAnsi="Courier New"/>
          <w:sz w:val="14"/>
          <w:szCs w:val="14"/>
          <w:color w:val="auto"/>
        </w:rPr>
      </w:pPr>
    </w:p>
    <w:p>
      <w:pPr>
        <w:ind w:left="1300" w:right="3239" w:hanging="467"/>
        <w:spacing w:after="0" w:line="234" w:lineRule="auto"/>
        <w:tabs>
          <w:tab w:leader="none" w:pos="130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file for bankruptcy or certain other events in bankruptcy, insolvency or reorganization occur.</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54" w:right="1440" w:bottom="1440" w:gutter="0" w:footer="0" w:header="0"/>
        </w:sectPr>
      </w:pPr>
    </w:p>
    <w:bookmarkStart w:id="18" w:name="page19"/>
    <w:bookmarkEnd w:id="18"/>
    <w:p>
      <w:pPr>
        <w:ind w:left="1300" w:right="2959" w:hanging="467"/>
        <w:spacing w:after="0" w:line="234" w:lineRule="auto"/>
        <w:tabs>
          <w:tab w:leader="none" w:pos="130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event of default in respect of debt securities of such series described in the prospectus supplement occurs.</w:t>
      </w:r>
    </w:p>
    <w:p>
      <w:pPr>
        <w:spacing w:after="0" w:line="183"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The events of default described above may be added to or modified as described in the applicable prospectus supplement. An event of default for a particular series of debt securities does not necessarily constitute an event of default for any other series of debt securities issued under an indenture. The trustee may withhold notice to the holders of debt securities of any default (except in the payment of principal or interest) if it considers such withholding of notice to be in the best interests of the holders.</w:t>
      </w:r>
    </w:p>
    <w:p>
      <w:pPr>
        <w:spacing w:after="0" w:line="184" w:lineRule="exact"/>
        <w:rPr>
          <w:sz w:val="20"/>
          <w:szCs w:val="20"/>
          <w:color w:val="auto"/>
        </w:rPr>
      </w:pPr>
    </w:p>
    <w:p>
      <w:pPr>
        <w:ind w:right="2779" w:firstLine="837"/>
        <w:spacing w:after="0" w:line="272" w:lineRule="auto"/>
        <w:rPr>
          <w:sz w:val="20"/>
          <w:szCs w:val="20"/>
          <w:color w:val="auto"/>
        </w:rPr>
      </w:pPr>
      <w:r>
        <w:rPr>
          <w:rFonts w:ascii="Courier New" w:cs="Courier New" w:eastAsia="Courier New" w:hAnsi="Courier New"/>
          <w:sz w:val="14"/>
          <w:szCs w:val="14"/>
          <w:color w:val="auto"/>
        </w:rPr>
        <w:t>Remedies if an Event of Default Occurs. If an event of default has occurred and has not been cured with respect to one or more series of debt securities, the trustee or the holders of 25% in principal amount of the debt securities of the affected series may declare the entire principal amount of all the debt securities of that series to be due and immediately payable. Only a portion of the principal is payable if the securities were issued at a discount. This is called a declaration of acceleration of maturity. If an event of default occurs because of certain events in bankruptcy, insolvency or reorganization, the principal amount of all the debt securities of that series will be automatically accelerated, without any action by the trustee or any holder. There are special notice and timing rules which apply to the acceleration of subordinated debt securities which are designed to protect the interests of holders of senior debt. A declaration of acceleration of maturity may be cancelled by the holders of at least a majority in principal amount of the debt securities of the affected series if (1) we have paid or deposited with the trustee a sum sufficient in cash to pay all principal, interest and additional amounts, if any, which have become due other than by the declaration of acceleration of maturity, (2) all existing events of default, other than the nonpayment of principal of or premium or interest, if any, on the debt securities of such series which have become due solely because of the acceleration, have been cured or waived and (3) the rescission would not conflict with any judgment or decree of a court of competent jurisdiction.</w:t>
      </w:r>
    </w:p>
    <w:p>
      <w:pPr>
        <w:spacing w:after="0" w:line="200" w:lineRule="exact"/>
        <w:rPr>
          <w:sz w:val="20"/>
          <w:szCs w:val="20"/>
          <w:color w:val="auto"/>
        </w:rPr>
      </w:pPr>
    </w:p>
    <w:p>
      <w:pPr>
        <w:spacing w:after="0" w:line="320" w:lineRule="exact"/>
        <w:rPr>
          <w:sz w:val="20"/>
          <w:szCs w:val="20"/>
          <w:color w:val="auto"/>
        </w:rPr>
      </w:pPr>
    </w:p>
    <w:p>
      <w:pPr>
        <w:ind w:right="2879" w:firstLine="837"/>
        <w:spacing w:after="0" w:line="236" w:lineRule="auto"/>
        <w:rPr>
          <w:sz w:val="20"/>
          <w:szCs w:val="20"/>
          <w:color w:val="auto"/>
        </w:rPr>
      </w:pPr>
      <w:r>
        <w:rPr>
          <w:rFonts w:ascii="Courier New" w:cs="Courier New" w:eastAsia="Courier New" w:hAnsi="Courier New"/>
          <w:sz w:val="16"/>
          <w:szCs w:val="16"/>
          <w:color w:val="auto"/>
        </w:rPr>
        <w:t>Except in cases of default, where the trustee has some special duties, the trustee is not required to take any action under the indenture at the request of the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accruing upon any event of default will be treated as a waiver of such right, remedy or event of default.</w:t>
      </w:r>
    </w:p>
    <w:p>
      <w:pPr>
        <w:spacing w:after="0" w:line="186" w:lineRule="exact"/>
        <w:rPr>
          <w:sz w:val="20"/>
          <w:szCs w:val="20"/>
          <w:color w:val="auto"/>
        </w:rPr>
      </w:pPr>
    </w:p>
    <w:p>
      <w:pPr>
        <w:ind w:right="2779" w:firstLine="837"/>
        <w:spacing w:after="0" w:line="235" w:lineRule="auto"/>
        <w:rPr>
          <w:sz w:val="20"/>
          <w:szCs w:val="20"/>
          <w:color w:val="auto"/>
        </w:rPr>
      </w:pPr>
      <w:r>
        <w:rPr>
          <w:rFonts w:ascii="Courier New" w:cs="Courier New" w:eastAsia="Courier New" w:hAnsi="Courier New"/>
          <w:sz w:val="16"/>
          <w:szCs w:val="16"/>
          <w:color w:val="auto"/>
        </w:rPr>
        <w:t>Before you are allowed to bypass the trustee and bring your own lawsuit or other formal legal action or take other steps to enforce your rights or protect your interests relating to the debt securities, the following must occur:</w:t>
      </w:r>
    </w:p>
    <w:p>
      <w:pPr>
        <w:spacing w:after="0" w:line="185" w:lineRule="exact"/>
        <w:rPr>
          <w:sz w:val="20"/>
          <w:szCs w:val="20"/>
          <w:color w:val="auto"/>
        </w:rPr>
      </w:pPr>
    </w:p>
    <w:p>
      <w:pPr>
        <w:ind w:left="1300" w:right="2879" w:hanging="467"/>
        <w:spacing w:after="0" w:line="234" w:lineRule="auto"/>
        <w:tabs>
          <w:tab w:leader="none" w:pos="130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must give the trustee written notice that an event of default has occurred and remains uncured.</w:t>
      </w:r>
    </w:p>
    <w:p>
      <w:pPr>
        <w:spacing w:after="0" w:line="183" w:lineRule="exact"/>
        <w:rPr>
          <w:rFonts w:ascii="Courier New" w:cs="Courier New" w:eastAsia="Courier New" w:hAnsi="Courier New"/>
          <w:sz w:val="16"/>
          <w:szCs w:val="16"/>
          <w:color w:val="auto"/>
        </w:rPr>
      </w:pPr>
    </w:p>
    <w:p>
      <w:pPr>
        <w:ind w:left="1300" w:right="2779" w:hanging="467"/>
        <w:spacing w:after="0" w:line="235" w:lineRule="auto"/>
        <w:tabs>
          <w:tab w:leader="none" w:pos="130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holders of not less than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185" w:lineRule="exact"/>
        <w:rPr>
          <w:rFonts w:ascii="Courier New" w:cs="Courier New" w:eastAsia="Courier New" w:hAnsi="Courier New"/>
          <w:sz w:val="16"/>
          <w:szCs w:val="16"/>
          <w:color w:val="auto"/>
        </w:rPr>
      </w:pPr>
    </w:p>
    <w:p>
      <w:pPr>
        <w:ind w:left="1300" w:right="2959" w:hanging="467"/>
        <w:spacing w:after="0" w:line="234" w:lineRule="auto"/>
        <w:tabs>
          <w:tab w:leader="none" w:pos="130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must not have taken action for 60 days after receipt of the above notice and offer of indemnity.</w:t>
      </w:r>
    </w:p>
    <w:p>
      <w:pPr>
        <w:spacing w:after="0" w:line="183" w:lineRule="exact"/>
        <w:rPr>
          <w:rFonts w:ascii="Courier New" w:cs="Courier New" w:eastAsia="Courier New" w:hAnsi="Courier New"/>
          <w:sz w:val="16"/>
          <w:szCs w:val="16"/>
          <w:color w:val="auto"/>
        </w:rPr>
      </w:pPr>
    </w:p>
    <w:p>
      <w:pPr>
        <w:ind w:left="1300" w:right="3339" w:hanging="467"/>
        <w:spacing w:after="0" w:line="283" w:lineRule="auto"/>
        <w:tabs>
          <w:tab w:leader="none" w:pos="130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of a majority in principal amount of the debt securities must not have given the trustee a direction inconsistent with the above notice during the 60-day period.</w:t>
      </w:r>
    </w:p>
    <w:p>
      <w:pPr>
        <w:spacing w:after="0" w:line="155" w:lineRule="exact"/>
        <w:rPr>
          <w:sz w:val="20"/>
          <w:szCs w:val="20"/>
          <w:color w:val="auto"/>
        </w:rPr>
      </w:pPr>
    </w:p>
    <w:p>
      <w:pPr>
        <w:ind w:right="3159" w:firstLine="837"/>
        <w:spacing w:after="0" w:line="235" w:lineRule="auto"/>
        <w:rPr>
          <w:sz w:val="20"/>
          <w:szCs w:val="20"/>
          <w:color w:val="auto"/>
        </w:rPr>
      </w:pPr>
      <w:r>
        <w:rPr>
          <w:rFonts w:ascii="Courier New" w:cs="Courier New" w:eastAsia="Courier New" w:hAnsi="Courier New"/>
          <w:sz w:val="16"/>
          <w:szCs w:val="16"/>
          <w:color w:val="auto"/>
        </w:rPr>
        <w:t>However, notwithstanding the conditions described above, you are entitled at any time to bring a lawsuit for the payment of money due on your debt securities on or after the due date.</w:t>
      </w:r>
    </w:p>
    <w:p>
      <w:pPr>
        <w:spacing w:after="0" w:line="183" w:lineRule="exact"/>
        <w:rPr>
          <w:sz w:val="20"/>
          <w:szCs w:val="20"/>
          <w:color w:val="auto"/>
        </w:rPr>
      </w:pPr>
    </w:p>
    <w:p>
      <w:pPr>
        <w:ind w:right="2779" w:firstLine="837"/>
        <w:spacing w:after="0" w:line="279" w:lineRule="auto"/>
        <w:rPr>
          <w:sz w:val="20"/>
          <w:szCs w:val="20"/>
          <w:color w:val="auto"/>
        </w:rPr>
      </w:pPr>
      <w:r>
        <w:rPr>
          <w:rFonts w:ascii="Courier New" w:cs="Courier New" w:eastAsia="Courier New" w:hAnsi="Courier New"/>
          <w:sz w:val="14"/>
          <w:szCs w:val="14"/>
          <w:color w:val="auto"/>
        </w:rPr>
        <w:t>Holders of a majority in principal amount of the debt securities of the affected series may waive any past defaults other than (1) the payment of principal, any premium or interest or (2) in respect of a covenant or other provision that cannot be modified or amended without the consent of each holder.</w:t>
      </w:r>
    </w:p>
    <w:p>
      <w:pPr>
        <w:spacing w:after="0" w:line="33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54" w:right="1440" w:bottom="1440" w:gutter="0" w:footer="0" w:header="0"/>
        </w:sectPr>
      </w:pPr>
    </w:p>
    <w:bookmarkStart w:id="19" w:name="page20"/>
    <w:bookmarkEnd w:id="19"/>
    <w:p>
      <w:pPr>
        <w:jc w:val="both"/>
        <w:ind w:right="2879" w:firstLine="837"/>
        <w:spacing w:after="0" w:line="235" w:lineRule="auto"/>
        <w:rPr>
          <w:sz w:val="20"/>
          <w:szCs w:val="20"/>
          <w:color w:val="auto"/>
        </w:rPr>
      </w:pPr>
      <w:r>
        <w:rPr>
          <w:rFonts w:ascii="Courier New" w:cs="Courier New" w:eastAsia="Courier New" w:hAnsi="Courier New"/>
          <w:sz w:val="16"/>
          <w:szCs w:val="16"/>
          <w:color w:val="auto"/>
        </w:rPr>
        <w:t>"Street name" and other indirect holders should consult their banks or brokers for information on how to give notice or direction or to make a request of the trustee and to make or cancel a declaration of acceleration.</w:t>
      </w:r>
    </w:p>
    <w:p>
      <w:pPr>
        <w:spacing w:after="0" w:line="183" w:lineRule="exact"/>
        <w:rPr>
          <w:sz w:val="20"/>
          <w:szCs w:val="20"/>
          <w:color w:val="auto"/>
        </w:rPr>
      </w:pPr>
    </w:p>
    <w:p>
      <w:pPr>
        <w:ind w:right="2879" w:firstLine="837"/>
        <w:spacing w:after="0" w:line="283" w:lineRule="auto"/>
        <w:rPr>
          <w:sz w:val="20"/>
          <w:szCs w:val="20"/>
          <w:color w:val="auto"/>
        </w:rPr>
      </w:pPr>
      <w:r>
        <w:rPr>
          <w:rFonts w:ascii="Courier New" w:cs="Courier New" w:eastAsia="Courier New" w:hAnsi="Courier New"/>
          <w:sz w:val="14"/>
          <w:szCs w:val="14"/>
          <w:color w:val="auto"/>
        </w:rPr>
        <w:t>Each year, we will furnish to the trustee a written statement of certain of our officers certifying that to their knowledge we are in compliance with the indentures and the debt securities, or else specifying any default.</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Merger or Consolidation</w:t>
      </w:r>
    </w:p>
    <w:p>
      <w:pPr>
        <w:spacing w:after="0" w:line="183" w:lineRule="exact"/>
        <w:rPr>
          <w:sz w:val="20"/>
          <w:szCs w:val="20"/>
          <w:color w:val="auto"/>
        </w:rPr>
      </w:pPr>
    </w:p>
    <w:p>
      <w:pPr>
        <w:ind w:right="2879" w:firstLine="837"/>
        <w:spacing w:after="0" w:line="235" w:lineRule="auto"/>
        <w:rPr>
          <w:sz w:val="20"/>
          <w:szCs w:val="20"/>
          <w:color w:val="auto"/>
        </w:rPr>
      </w:pPr>
      <w:r>
        <w:rPr>
          <w:rFonts w:ascii="Courier New" w:cs="Courier New" w:eastAsia="Courier New" w:hAnsi="Courier New"/>
          <w:sz w:val="16"/>
          <w:szCs w:val="16"/>
          <w:color w:val="auto"/>
        </w:rPr>
        <w:t>Under the terms of the indentures,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185" w:lineRule="exact"/>
        <w:rPr>
          <w:sz w:val="20"/>
          <w:szCs w:val="20"/>
          <w:color w:val="auto"/>
        </w:rPr>
      </w:pPr>
    </w:p>
    <w:p>
      <w:pPr>
        <w:ind w:left="1300" w:right="2779" w:hanging="467"/>
        <w:spacing w:after="0" w:line="235" w:lineRule="auto"/>
        <w:tabs>
          <w:tab w:leader="none" w:pos="130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either we will be the surviving corporation or, if we merge out of existence or sell assets, the entity into which we merge or to which we sell assets must agree to be legally responsible for the debt securities;</w:t>
      </w:r>
    </w:p>
    <w:p>
      <w:pPr>
        <w:spacing w:after="0" w:line="184" w:lineRule="exact"/>
        <w:rPr>
          <w:rFonts w:ascii="Courier New" w:cs="Courier New" w:eastAsia="Courier New" w:hAnsi="Courier New"/>
          <w:sz w:val="16"/>
          <w:szCs w:val="16"/>
          <w:color w:val="auto"/>
        </w:rPr>
      </w:pPr>
    </w:p>
    <w:p>
      <w:pPr>
        <w:ind w:left="1300" w:right="2779" w:hanging="467"/>
        <w:spacing w:after="0" w:line="235" w:lineRule="auto"/>
        <w:tabs>
          <w:tab w:leader="none" w:pos="130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after the merger or transfer of assets, no default on the debt securities can exist. A default for this purpose includes any event that would be an event of default if the requirements for giving a default notice or of having the default exist for a specific period of time were disregarded;</w:t>
      </w:r>
    </w:p>
    <w:p>
      <w:pPr>
        <w:spacing w:after="0" w:line="185" w:lineRule="exact"/>
        <w:rPr>
          <w:rFonts w:ascii="Courier New" w:cs="Courier New" w:eastAsia="Courier New" w:hAnsi="Courier New"/>
          <w:sz w:val="16"/>
          <w:szCs w:val="16"/>
          <w:color w:val="auto"/>
        </w:rPr>
      </w:pPr>
    </w:p>
    <w:p>
      <w:pPr>
        <w:ind w:left="1300" w:right="2779" w:hanging="467"/>
        <w:spacing w:after="0" w:line="234" w:lineRule="auto"/>
        <w:tabs>
          <w:tab w:leader="none" w:pos="130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must deliver certain certificates and documents to the trustee; and</w:t>
      </w:r>
    </w:p>
    <w:p>
      <w:pPr>
        <w:spacing w:after="0" w:line="183" w:lineRule="exact"/>
        <w:rPr>
          <w:rFonts w:ascii="Courier New" w:cs="Courier New" w:eastAsia="Courier New" w:hAnsi="Courier New"/>
          <w:sz w:val="16"/>
          <w:szCs w:val="16"/>
          <w:color w:val="auto"/>
        </w:rPr>
      </w:pPr>
    </w:p>
    <w:p>
      <w:pPr>
        <w:ind w:left="1300" w:right="2779" w:hanging="467"/>
        <w:spacing w:after="0" w:line="234" w:lineRule="auto"/>
        <w:tabs>
          <w:tab w:leader="none" w:pos="130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must satisfy any other requirements specified in the prospectus supplement.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Modification or Waiver</w:t>
      </w:r>
    </w:p>
    <w:p>
      <w:pPr>
        <w:spacing w:after="0" w:line="183" w:lineRule="exact"/>
        <w:rPr>
          <w:sz w:val="20"/>
          <w:szCs w:val="20"/>
          <w:color w:val="auto"/>
        </w:rPr>
      </w:pPr>
    </w:p>
    <w:p>
      <w:pPr>
        <w:ind w:right="2879" w:firstLine="837"/>
        <w:spacing w:after="0" w:line="234" w:lineRule="auto"/>
        <w:rPr>
          <w:sz w:val="20"/>
          <w:szCs w:val="20"/>
          <w:color w:val="auto"/>
        </w:rPr>
      </w:pPr>
      <w:r>
        <w:rPr>
          <w:rFonts w:ascii="Courier New" w:cs="Courier New" w:eastAsia="Courier New" w:hAnsi="Courier New"/>
          <w:sz w:val="16"/>
          <w:szCs w:val="16"/>
          <w:color w:val="auto"/>
        </w:rPr>
        <w:t>There are three types of changes we can make to the indentures and the debt securities.</w:t>
      </w:r>
    </w:p>
    <w:p>
      <w:pPr>
        <w:spacing w:after="0" w:line="183" w:lineRule="exact"/>
        <w:rPr>
          <w:sz w:val="20"/>
          <w:szCs w:val="20"/>
          <w:color w:val="auto"/>
        </w:rPr>
      </w:pPr>
    </w:p>
    <w:p>
      <w:pPr>
        <w:ind w:right="2779" w:firstLine="837"/>
        <w:spacing w:after="0" w:line="235" w:lineRule="auto"/>
        <w:rPr>
          <w:sz w:val="20"/>
          <w:szCs w:val="20"/>
          <w:color w:val="auto"/>
        </w:rPr>
      </w:pPr>
      <w:r>
        <w:rPr>
          <w:rFonts w:ascii="Courier New" w:cs="Courier New" w:eastAsia="Courier New" w:hAnsi="Courier New"/>
          <w:sz w:val="16"/>
          <w:szCs w:val="16"/>
          <w:color w:val="auto"/>
        </w:rPr>
        <w:t>Changes Requiring Approval of Each Holder. First, there are changes that cannot be made to your debt securities without the approval of each holder. Following is a list of those types of changes:</w:t>
      </w:r>
    </w:p>
    <w:p>
      <w:pPr>
        <w:spacing w:after="0" w:line="183" w:lineRule="exact"/>
        <w:rPr>
          <w:sz w:val="20"/>
          <w:szCs w:val="20"/>
          <w:color w:val="auto"/>
        </w:rPr>
      </w:pPr>
    </w:p>
    <w:p>
      <w:pPr>
        <w:ind w:left="1300" w:right="2879" w:hanging="467"/>
        <w:spacing w:after="0" w:line="234" w:lineRule="auto"/>
        <w:tabs>
          <w:tab w:leader="none" w:pos="130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changing the stated maturity of the principal of or interest on a debt security;</w:t>
      </w:r>
    </w:p>
    <w:p>
      <w:pPr>
        <w:spacing w:after="0" w:line="183" w:lineRule="exact"/>
        <w:rPr>
          <w:rFonts w:ascii="Courier New" w:cs="Courier New" w:eastAsia="Courier New" w:hAnsi="Courier New"/>
          <w:sz w:val="16"/>
          <w:szCs w:val="16"/>
          <w:color w:val="auto"/>
        </w:rPr>
      </w:pPr>
    </w:p>
    <w:p>
      <w:pPr>
        <w:ind w:left="1300" w:right="3059" w:hanging="467"/>
        <w:spacing w:after="0" w:line="295" w:lineRule="auto"/>
        <w:tabs>
          <w:tab w:leader="none" w:pos="130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reducing any amounts due on a debt security or payable upon acceleration of the maturity of a security following a default;</w:t>
      </w:r>
    </w:p>
    <w:p>
      <w:pPr>
        <w:spacing w:after="0" w:line="146" w:lineRule="exact"/>
        <w:rPr>
          <w:rFonts w:ascii="Courier New" w:cs="Courier New" w:eastAsia="Courier New" w:hAnsi="Courier New"/>
          <w:sz w:val="14"/>
          <w:szCs w:val="14"/>
          <w:color w:val="auto"/>
        </w:rPr>
      </w:pPr>
    </w:p>
    <w:p>
      <w:pPr>
        <w:ind w:left="1300" w:hanging="467"/>
        <w:spacing w:after="0"/>
        <w:tabs>
          <w:tab w:leader="none" w:pos="130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adversely affecting any right of repayment at the holder's option;</w:t>
      </w:r>
    </w:p>
    <w:p>
      <w:pPr>
        <w:spacing w:after="0" w:line="199" w:lineRule="exact"/>
        <w:rPr>
          <w:rFonts w:ascii="Courier New" w:cs="Courier New" w:eastAsia="Courier New" w:hAnsi="Courier New"/>
          <w:sz w:val="14"/>
          <w:szCs w:val="14"/>
          <w:color w:val="auto"/>
        </w:rPr>
      </w:pPr>
    </w:p>
    <w:p>
      <w:pPr>
        <w:ind w:left="1300" w:right="3619" w:hanging="467"/>
        <w:spacing w:after="0" w:line="295" w:lineRule="auto"/>
        <w:tabs>
          <w:tab w:leader="none" w:pos="130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changing the place (except as otherwise described in this prospectus) or currency of payment on a debt security;</w:t>
      </w:r>
    </w:p>
    <w:p>
      <w:pPr>
        <w:spacing w:after="0" w:line="146" w:lineRule="exact"/>
        <w:rPr>
          <w:rFonts w:ascii="Courier New" w:cs="Courier New" w:eastAsia="Courier New" w:hAnsi="Courier New"/>
          <w:sz w:val="14"/>
          <w:szCs w:val="14"/>
          <w:color w:val="auto"/>
        </w:rPr>
      </w:pPr>
    </w:p>
    <w:p>
      <w:pPr>
        <w:ind w:left="1300" w:right="2879" w:hanging="467"/>
        <w:spacing w:after="0" w:line="234" w:lineRule="auto"/>
        <w:tabs>
          <w:tab w:leader="none" w:pos="130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impairing your right to sue for payment or to convert or exchange a security;</w:t>
      </w:r>
    </w:p>
    <w:p>
      <w:pPr>
        <w:spacing w:after="0" w:line="183" w:lineRule="exact"/>
        <w:rPr>
          <w:rFonts w:ascii="Courier New" w:cs="Courier New" w:eastAsia="Courier New" w:hAnsi="Courier New"/>
          <w:sz w:val="16"/>
          <w:szCs w:val="16"/>
          <w:color w:val="auto"/>
        </w:rPr>
      </w:pPr>
    </w:p>
    <w:p>
      <w:pPr>
        <w:ind w:left="1300" w:right="2779" w:hanging="467"/>
        <w:spacing w:after="0" w:line="235" w:lineRule="auto"/>
        <w:tabs>
          <w:tab w:leader="none" w:pos="130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subordinated debt securities, modifying the subordination provisions in a manner that is adverse to holders of the subordinated debt securities;</w:t>
      </w:r>
    </w:p>
    <w:p>
      <w:pPr>
        <w:spacing w:after="0" w:line="183" w:lineRule="exact"/>
        <w:rPr>
          <w:rFonts w:ascii="Courier New" w:cs="Courier New" w:eastAsia="Courier New" w:hAnsi="Courier New"/>
          <w:sz w:val="16"/>
          <w:szCs w:val="16"/>
          <w:color w:val="auto"/>
        </w:rPr>
      </w:pPr>
    </w:p>
    <w:p>
      <w:pPr>
        <w:ind w:left="1300" w:right="2779" w:hanging="467"/>
        <w:spacing w:after="0" w:line="234" w:lineRule="auto"/>
        <w:tabs>
          <w:tab w:leader="none" w:pos="130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senior debt securities, modifying the securities to subordinate the securities to other indebtedness;</w:t>
      </w:r>
    </w:p>
    <w:p>
      <w:pPr>
        <w:spacing w:after="0" w:line="183" w:lineRule="exact"/>
        <w:rPr>
          <w:rFonts w:ascii="Courier New" w:cs="Courier New" w:eastAsia="Courier New" w:hAnsi="Courier New"/>
          <w:sz w:val="16"/>
          <w:szCs w:val="16"/>
          <w:color w:val="auto"/>
        </w:rPr>
      </w:pPr>
    </w:p>
    <w:p>
      <w:pPr>
        <w:ind w:left="1300" w:right="3439" w:hanging="467"/>
        <w:spacing w:after="0" w:line="234" w:lineRule="auto"/>
        <w:tabs>
          <w:tab w:leader="none" w:pos="130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reducing the percentage of holders of debt securities whose consent is needed to modify or amend the indenture;</w:t>
      </w:r>
    </w:p>
    <w:p>
      <w:pPr>
        <w:spacing w:after="0" w:line="183" w:lineRule="exact"/>
        <w:rPr>
          <w:rFonts w:ascii="Courier New" w:cs="Courier New" w:eastAsia="Courier New" w:hAnsi="Courier New"/>
          <w:sz w:val="16"/>
          <w:szCs w:val="16"/>
          <w:color w:val="auto"/>
        </w:rPr>
      </w:pPr>
    </w:p>
    <w:p>
      <w:pPr>
        <w:ind w:left="1300" w:right="2959" w:hanging="467"/>
        <w:spacing w:after="0" w:line="235" w:lineRule="auto"/>
        <w:tabs>
          <w:tab w:leader="none" w:pos="130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reducing the percentage of holders of debt securities whose consent is needed to waive compliance with certain provisions of the indenture or to waive certain defaults;</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54" w:right="1440" w:bottom="1440" w:gutter="0" w:footer="0" w:header="0"/>
        </w:sectPr>
      </w:pPr>
    </w:p>
    <w:bookmarkStart w:id="20" w:name="page21"/>
    <w:bookmarkEnd w:id="20"/>
    <w:p>
      <w:pPr>
        <w:ind w:left="1300" w:right="2779" w:hanging="467"/>
        <w:spacing w:after="0" w:line="234" w:lineRule="auto"/>
        <w:tabs>
          <w:tab w:leader="none" w:pos="130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reducing the requirements for quorum or voting with respect to the debt securities;</w:t>
      </w:r>
    </w:p>
    <w:p>
      <w:pPr>
        <w:spacing w:after="0" w:line="183" w:lineRule="exact"/>
        <w:rPr>
          <w:rFonts w:ascii="Courier New" w:cs="Courier New" w:eastAsia="Courier New" w:hAnsi="Courier New"/>
          <w:sz w:val="16"/>
          <w:szCs w:val="16"/>
          <w:color w:val="auto"/>
        </w:rPr>
      </w:pPr>
    </w:p>
    <w:p>
      <w:pPr>
        <w:ind w:left="1300" w:right="2779" w:hanging="467"/>
        <w:spacing w:after="0" w:line="235" w:lineRule="auto"/>
        <w:tabs>
          <w:tab w:leader="none" w:pos="130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modifying any other aspect of the provisions of the indenture dealing with modification and waiver except to increase the voting requirements;</w:t>
      </w:r>
    </w:p>
    <w:p>
      <w:pPr>
        <w:spacing w:after="0" w:line="183" w:lineRule="exact"/>
        <w:rPr>
          <w:rFonts w:ascii="Courier New" w:cs="Courier New" w:eastAsia="Courier New" w:hAnsi="Courier New"/>
          <w:sz w:val="16"/>
          <w:szCs w:val="16"/>
          <w:color w:val="auto"/>
        </w:rPr>
      </w:pPr>
    </w:p>
    <w:p>
      <w:pPr>
        <w:jc w:val="both"/>
        <w:ind w:left="1300" w:right="2959" w:hanging="467"/>
        <w:spacing w:after="0" w:line="235" w:lineRule="auto"/>
        <w:tabs>
          <w:tab w:leader="none" w:pos="130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any of our obligations to pay additional amounts which are required to be paid to holders with respect to taxes imposed on such holders in certain circumstances; and</w:t>
      </w:r>
    </w:p>
    <w:p>
      <w:pPr>
        <w:spacing w:after="0" w:line="177" w:lineRule="exact"/>
        <w:rPr>
          <w:rFonts w:ascii="Courier New" w:cs="Courier New" w:eastAsia="Courier New" w:hAnsi="Courier New"/>
          <w:sz w:val="16"/>
          <w:szCs w:val="16"/>
          <w:color w:val="auto"/>
        </w:rPr>
      </w:pPr>
    </w:p>
    <w:p>
      <w:pPr>
        <w:ind w:left="1300" w:hanging="467"/>
        <w:spacing w:after="0"/>
        <w:tabs>
          <w:tab w:leader="none" w:pos="130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provisions specified in the prospectus supplement.</w:t>
      </w:r>
    </w:p>
    <w:p>
      <w:pPr>
        <w:spacing w:after="0" w:line="183" w:lineRule="exact"/>
        <w:rPr>
          <w:sz w:val="20"/>
          <w:szCs w:val="20"/>
          <w:color w:val="auto"/>
        </w:rPr>
      </w:pPr>
    </w:p>
    <w:p>
      <w:pPr>
        <w:ind w:right="2779" w:firstLine="837"/>
        <w:spacing w:after="0" w:line="273" w:lineRule="auto"/>
        <w:rPr>
          <w:sz w:val="20"/>
          <w:szCs w:val="20"/>
          <w:color w:val="auto"/>
        </w:rPr>
      </w:pPr>
      <w:r>
        <w:rPr>
          <w:rFonts w:ascii="Courier New" w:cs="Courier New" w:eastAsia="Courier New" w:hAnsi="Courier New"/>
          <w:sz w:val="14"/>
          <w:szCs w:val="14"/>
          <w:color w:val="auto"/>
        </w:rPr>
        <w:t>Changes Requiring a Majority Vote. The second type of change to the indenture and the outstanding debt securities is the kind that requires a vote in favor by holders of outstanding debt securities owning a majority of the principal amount of the particular series affected. Separate votes will be needed for each series even if they are affected in the same way. Most changes fall into this category, except for clarifying changes and certain other changes that would not adversely affect holders of the outstanding debt securities in any material respect. The same vote would be required for us to obtain a waiver of all or part of certain covenants in the applicable indenture, or a waiver of a past default. However, we cannot obtain a waiver of a payment default or any other aspect of the indentures or the outstanding debt securities listed in the first category described previously under "- Changes Requiring Approval of Each Holder" unless we obtain your individual consent to the waiver.</w:t>
      </w:r>
    </w:p>
    <w:p>
      <w:pPr>
        <w:spacing w:after="0" w:line="340"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Changes Not Requiring Approval. The third type of change does not require any vote by holders of outstanding debt securities. This type is limited to clarifications; curing ambiguities, defects or inconsistencies and certain other changes that would not adversely affect holders of the outstanding debt securities in any material respect. Qualifying or maintaining the qualification of the indentures under the Trust Indenture Act does not require any vote by holders of debt securities.</w:t>
      </w:r>
    </w:p>
    <w:p>
      <w:pPr>
        <w:spacing w:after="0" w:line="184" w:lineRule="exact"/>
        <w:rPr>
          <w:sz w:val="20"/>
          <w:szCs w:val="20"/>
          <w:color w:val="auto"/>
        </w:rPr>
      </w:pPr>
    </w:p>
    <w:p>
      <w:pPr>
        <w:ind w:right="2879" w:firstLine="837"/>
        <w:spacing w:after="0" w:line="235" w:lineRule="auto"/>
        <w:rPr>
          <w:sz w:val="20"/>
          <w:szCs w:val="20"/>
          <w:color w:val="auto"/>
        </w:rPr>
      </w:pPr>
      <w:r>
        <w:rPr>
          <w:rFonts w:ascii="Courier New" w:cs="Courier New" w:eastAsia="Courier New" w:hAnsi="Courier New"/>
          <w:sz w:val="16"/>
          <w:szCs w:val="16"/>
          <w:color w:val="auto"/>
        </w:rPr>
        <w:t>Further Details Concerning Voting. When taking a vote, we will use the following rules to decide how much principal amount to attribute to a debt security:</w:t>
      </w:r>
    </w:p>
    <w:p>
      <w:pPr>
        <w:spacing w:after="0" w:line="183" w:lineRule="exact"/>
        <w:rPr>
          <w:sz w:val="20"/>
          <w:szCs w:val="20"/>
          <w:color w:val="auto"/>
        </w:rPr>
      </w:pPr>
    </w:p>
    <w:p>
      <w:pPr>
        <w:ind w:left="1300" w:right="2879" w:hanging="467"/>
        <w:spacing w:after="0" w:line="235" w:lineRule="auto"/>
        <w:tabs>
          <w:tab w:leader="none" w:pos="130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original issue discount securities, we will use the principal amount that would be due and payable on the voting date if the maturity of the debt securities were accelerated to that date because of a default; and</w:t>
      </w:r>
    </w:p>
    <w:p>
      <w:pPr>
        <w:spacing w:after="0" w:line="184" w:lineRule="exact"/>
        <w:rPr>
          <w:rFonts w:ascii="Courier New" w:cs="Courier New" w:eastAsia="Courier New" w:hAnsi="Courier New"/>
          <w:sz w:val="16"/>
          <w:szCs w:val="16"/>
          <w:color w:val="auto"/>
        </w:rPr>
      </w:pPr>
    </w:p>
    <w:p>
      <w:pPr>
        <w:ind w:left="1300" w:right="2959" w:hanging="467"/>
        <w:spacing w:after="0" w:line="235" w:lineRule="auto"/>
        <w:tabs>
          <w:tab w:leader="none" w:pos="130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debt securities whose principal amount is not known (for example, because it is based on an index), we will use a special rule for that debt security described in the prospectus supplement.</w:t>
      </w:r>
    </w:p>
    <w:p>
      <w:pPr>
        <w:spacing w:after="0" w:line="185" w:lineRule="exact"/>
        <w:rPr>
          <w:sz w:val="20"/>
          <w:szCs w:val="20"/>
          <w:color w:val="auto"/>
        </w:rPr>
      </w:pPr>
    </w:p>
    <w:p>
      <w:pPr>
        <w:ind w:right="2959" w:firstLine="837"/>
        <w:spacing w:after="0" w:line="235" w:lineRule="auto"/>
        <w:rPr>
          <w:sz w:val="20"/>
          <w:szCs w:val="20"/>
          <w:color w:val="auto"/>
        </w:rPr>
      </w:pPr>
      <w:r>
        <w:rPr>
          <w:rFonts w:ascii="Courier New" w:cs="Courier New" w:eastAsia="Courier New" w:hAnsi="Courier New"/>
          <w:sz w:val="16"/>
          <w:szCs w:val="16"/>
          <w:color w:val="auto"/>
        </w:rPr>
        <w:t>Debt securities will not be considered outstanding, and therefore not eligible to vote, if we have deposited or set aside in trust for you money for their payment or redemption. Debt securities will also not be eligible to vote if they have been fully defeased as described later under "Defeasance - Full Defeasance."</w:t>
      </w:r>
    </w:p>
    <w:p>
      <w:pPr>
        <w:spacing w:after="0" w:line="186" w:lineRule="exact"/>
        <w:rPr>
          <w:sz w:val="20"/>
          <w:szCs w:val="20"/>
          <w:color w:val="auto"/>
        </w:rPr>
      </w:pPr>
    </w:p>
    <w:p>
      <w:pPr>
        <w:ind w:right="2879" w:firstLine="837"/>
        <w:spacing w:after="0" w:line="235" w:lineRule="auto"/>
        <w:rPr>
          <w:sz w:val="20"/>
          <w:szCs w:val="20"/>
          <w:color w:val="auto"/>
        </w:rPr>
      </w:pPr>
      <w:r>
        <w:rPr>
          <w:rFonts w:ascii="Courier New" w:cs="Courier New" w:eastAsia="Courier New" w:hAnsi="Courier New"/>
          <w:sz w:val="16"/>
          <w:szCs w:val="16"/>
          <w:color w:val="auto"/>
        </w:rPr>
        <w:t>We will generally be entitled to set any day as a record date for the purpose of determining the holders of outstanding indenture securities that are entitled to vote or take other action under the indentures.</w:t>
      </w:r>
    </w:p>
    <w:p>
      <w:pPr>
        <w:spacing w:after="0" w:line="183"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We are not required to set a record date. If we set a record date for a vote or other action to be taken by holders of a particular series, that vote or action may be taken only by persons who are holders of outstanding securities of that series on the record date and must be taken within 180 days following the record date or another period that we may specify. We may shorten or lengthen this period from time to time.</w:t>
      </w:r>
    </w:p>
    <w:p>
      <w:pPr>
        <w:spacing w:after="0" w:line="183" w:lineRule="exact"/>
        <w:rPr>
          <w:sz w:val="20"/>
          <w:szCs w:val="20"/>
          <w:color w:val="auto"/>
        </w:rPr>
      </w:pPr>
    </w:p>
    <w:p>
      <w:pPr>
        <w:ind w:right="2879" w:firstLine="837"/>
        <w:spacing w:after="0" w:line="235" w:lineRule="auto"/>
        <w:rPr>
          <w:sz w:val="20"/>
          <w:szCs w:val="20"/>
          <w:color w:val="auto"/>
        </w:rPr>
      </w:pPr>
      <w:r>
        <w:rPr>
          <w:rFonts w:ascii="Courier New" w:cs="Courier New" w:eastAsia="Courier New" w:hAnsi="Courier New"/>
          <w:sz w:val="16"/>
          <w:szCs w:val="16"/>
          <w:color w:val="auto"/>
        </w:rPr>
        <w:t>"Street name" and other indirect holders should consult their banks or brokers for information on how approval may be granted or denied if we seek to change the indenture or the debt securities or request a waiver.</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54"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6"/>
          <w:szCs w:val="16"/>
          <w:color w:val="auto"/>
        </w:rPr>
        <w:t>Satisfaction and Discharge</w:t>
      </w:r>
    </w:p>
    <w:p>
      <w:pPr>
        <w:spacing w:after="0" w:line="183" w:lineRule="exact"/>
        <w:rPr>
          <w:sz w:val="20"/>
          <w:szCs w:val="20"/>
          <w:color w:val="auto"/>
        </w:rPr>
      </w:pPr>
    </w:p>
    <w:p>
      <w:pPr>
        <w:ind w:right="2879" w:firstLine="837"/>
        <w:spacing w:after="0" w:line="235" w:lineRule="auto"/>
        <w:rPr>
          <w:sz w:val="20"/>
          <w:szCs w:val="20"/>
          <w:color w:val="auto"/>
        </w:rPr>
      </w:pPr>
      <w:r>
        <w:rPr>
          <w:rFonts w:ascii="Courier New" w:cs="Courier New" w:eastAsia="Courier New" w:hAnsi="Courier New"/>
          <w:sz w:val="16"/>
          <w:szCs w:val="16"/>
          <w:color w:val="auto"/>
        </w:rPr>
        <w:t>The indentures will cease to be of further effect, and we will be deemed to have satisfied and discharged the indentures with respect to a particular series of debt securities, when (1) all debt securities of that series have been delivered to the trustee for cancellation or (2) the following conditions have been satisfied:</w:t>
      </w:r>
    </w:p>
    <w:p>
      <w:pPr>
        <w:spacing w:after="0" w:line="186" w:lineRule="exact"/>
        <w:rPr>
          <w:sz w:val="20"/>
          <w:szCs w:val="20"/>
          <w:color w:val="auto"/>
        </w:rPr>
      </w:pPr>
    </w:p>
    <w:p>
      <w:pPr>
        <w:ind w:left="1300" w:right="2779" w:hanging="467"/>
        <w:spacing w:after="0" w:line="235" w:lineRule="auto"/>
        <w:tabs>
          <w:tab w:leader="none" w:pos="130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debt securities of that series not previously delivered to the trustee for cancellation have become due and payable or will become due and payable at their stated maturity or on a redemption date within one year;</w:t>
      </w:r>
    </w:p>
    <w:p>
      <w:pPr>
        <w:spacing w:after="0" w:line="184" w:lineRule="exact"/>
        <w:rPr>
          <w:rFonts w:ascii="Courier New" w:cs="Courier New" w:eastAsia="Courier New" w:hAnsi="Courier New"/>
          <w:sz w:val="16"/>
          <w:szCs w:val="16"/>
          <w:color w:val="auto"/>
        </w:rPr>
      </w:pPr>
    </w:p>
    <w:p>
      <w:pPr>
        <w:ind w:left="1300" w:right="2779" w:hanging="467"/>
        <w:spacing w:after="0" w:line="236" w:lineRule="auto"/>
        <w:tabs>
          <w:tab w:leader="none" w:pos="130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deposit with the trustee, in trust, funds sufficient to pay the entire indebtedness on the debt securities of that series that had not been previously delivered for cancellation, for the principal and interest to the date of the deposit (for debt securities that have become due and payable) or to the stated maturity or the redemption date, as the case may be (for debt securities that have not become due and payable);</w:t>
      </w:r>
    </w:p>
    <w:p>
      <w:pPr>
        <w:spacing w:after="0" w:line="183" w:lineRule="exact"/>
        <w:rPr>
          <w:rFonts w:ascii="Courier New" w:cs="Courier New" w:eastAsia="Courier New" w:hAnsi="Courier New"/>
          <w:sz w:val="16"/>
          <w:szCs w:val="16"/>
          <w:color w:val="auto"/>
        </w:rPr>
      </w:pPr>
    </w:p>
    <w:p>
      <w:pPr>
        <w:ind w:left="1300" w:right="2779" w:hanging="467"/>
        <w:spacing w:after="0" w:line="234" w:lineRule="auto"/>
        <w:tabs>
          <w:tab w:leader="none" w:pos="130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have paid or caused to be paid all other sums payable under the indentures in respect of that series; and</w:t>
      </w:r>
    </w:p>
    <w:p>
      <w:pPr>
        <w:spacing w:after="0" w:line="183" w:lineRule="exact"/>
        <w:rPr>
          <w:rFonts w:ascii="Courier New" w:cs="Courier New" w:eastAsia="Courier New" w:hAnsi="Courier New"/>
          <w:sz w:val="16"/>
          <w:szCs w:val="16"/>
          <w:color w:val="auto"/>
        </w:rPr>
      </w:pPr>
    </w:p>
    <w:p>
      <w:pPr>
        <w:ind w:left="1300" w:right="3059" w:hanging="467"/>
        <w:spacing w:after="0" w:line="235" w:lineRule="auto"/>
        <w:tabs>
          <w:tab w:leader="none" w:pos="130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have delivered to the trustee an officer's certificate and opinion of counsel, each stating that all these conditions have been complied with.</w:t>
      </w:r>
    </w:p>
    <w:p>
      <w:pPr>
        <w:spacing w:after="0" w:line="183" w:lineRule="exact"/>
        <w:rPr>
          <w:sz w:val="20"/>
          <w:szCs w:val="20"/>
          <w:color w:val="auto"/>
        </w:rPr>
      </w:pPr>
    </w:p>
    <w:p>
      <w:pPr>
        <w:ind w:right="3059" w:firstLine="837"/>
        <w:spacing w:after="0" w:line="234" w:lineRule="auto"/>
        <w:rPr>
          <w:sz w:val="20"/>
          <w:szCs w:val="20"/>
          <w:color w:val="auto"/>
        </w:rPr>
      </w:pPr>
      <w:r>
        <w:rPr>
          <w:rFonts w:ascii="Courier New" w:cs="Courier New" w:eastAsia="Courier New" w:hAnsi="Courier New"/>
          <w:sz w:val="16"/>
          <w:szCs w:val="16"/>
          <w:color w:val="auto"/>
        </w:rPr>
        <w:t>We will remain obligated to provide for registration of transfer and exchange and to provide notices of redemption.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Defeasance</w:t>
      </w:r>
    </w:p>
    <w:p>
      <w:pPr>
        <w:spacing w:after="0" w:line="183" w:lineRule="exact"/>
        <w:rPr>
          <w:sz w:val="20"/>
          <w:szCs w:val="20"/>
          <w:color w:val="auto"/>
        </w:rPr>
      </w:pPr>
    </w:p>
    <w:p>
      <w:pPr>
        <w:ind w:right="2959" w:firstLine="837"/>
        <w:spacing w:after="0" w:line="279" w:lineRule="auto"/>
        <w:rPr>
          <w:sz w:val="20"/>
          <w:szCs w:val="20"/>
          <w:color w:val="auto"/>
        </w:rPr>
      </w:pPr>
      <w:r>
        <w:rPr>
          <w:rFonts w:ascii="Courier New" w:cs="Courier New" w:eastAsia="Courier New" w:hAnsi="Courier New"/>
          <w:sz w:val="14"/>
          <w:szCs w:val="14"/>
          <w:color w:val="auto"/>
        </w:rPr>
        <w:t>The following discussion of full defeasance and covenant defeasance will be applicable to your series of debt securities only if we choose to have them apply to that series. If we choose to do so, we will state that in the applicable prospectus supplement and describe any changes to these provisions.</w:t>
      </w:r>
    </w:p>
    <w:p>
      <w:pPr>
        <w:spacing w:after="0" w:line="157" w:lineRule="exact"/>
        <w:rPr>
          <w:sz w:val="20"/>
          <w:szCs w:val="20"/>
          <w:color w:val="auto"/>
        </w:rPr>
      </w:pPr>
    </w:p>
    <w:p>
      <w:pPr>
        <w:jc w:val="both"/>
        <w:ind w:right="2779" w:firstLine="837"/>
        <w:spacing w:after="0" w:line="235" w:lineRule="auto"/>
        <w:rPr>
          <w:sz w:val="20"/>
          <w:szCs w:val="20"/>
          <w:color w:val="auto"/>
        </w:rPr>
      </w:pPr>
      <w:r>
        <w:rPr>
          <w:rFonts w:ascii="Courier New" w:cs="Courier New" w:eastAsia="Courier New" w:hAnsi="Courier New"/>
          <w:sz w:val="16"/>
          <w:szCs w:val="16"/>
          <w:color w:val="auto"/>
        </w:rPr>
        <w:t>Full Defeasance. If there is a change in federal tax law, as described below, we can legally release ourselves from any payment or other obligations on the debt securities, called "full defeasance", if we put in place the following other arrangements for you to be repaid:</w:t>
      </w:r>
    </w:p>
    <w:p>
      <w:pPr>
        <w:spacing w:after="0" w:line="185" w:lineRule="exact"/>
        <w:rPr>
          <w:sz w:val="20"/>
          <w:szCs w:val="20"/>
          <w:color w:val="auto"/>
        </w:rPr>
      </w:pPr>
    </w:p>
    <w:p>
      <w:pPr>
        <w:ind w:left="1300" w:right="2779" w:hanging="467"/>
        <w:spacing w:after="0" w:line="275" w:lineRule="auto"/>
        <w:tabs>
          <w:tab w:leader="none" w:pos="130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must deposit in trust for your benefit and the benefit of all other registered holders of the debt securities a combination of money and U.S. government or U.S. government agency notes or bonds that will generate enough cash to make interest, principal and any other payments on the debt securities on their various due dates including, possibly, their earliest redemption date.</w:t>
      </w:r>
    </w:p>
    <w:p>
      <w:pPr>
        <w:spacing w:after="0" w:line="161" w:lineRule="exact"/>
        <w:rPr>
          <w:rFonts w:ascii="Courier New" w:cs="Courier New" w:eastAsia="Courier New" w:hAnsi="Courier New"/>
          <w:sz w:val="14"/>
          <w:szCs w:val="14"/>
          <w:color w:val="auto"/>
        </w:rPr>
      </w:pPr>
    </w:p>
    <w:p>
      <w:pPr>
        <w:ind w:left="1300" w:right="2779" w:hanging="467"/>
        <w:spacing w:after="0" w:line="273" w:lineRule="auto"/>
        <w:tabs>
          <w:tab w:leader="none" w:pos="130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 current federal tax law, the deposit and our legal release from the debt securities would likely be treated as though you surrendered your debt securities in exchange for your share of the cash and notes or bonds deposited in trust. In that event, you could recognize income, gain or loss on the debt securities you surrendered. In order for us to effect a full defeasance we must deliver to the trustee a legal opinion confirming that you will not recognize income, gain or loss for federal income tax purposes as a result of the defeasance and that you will not be taxed on the debt securities any differently than if we did not make the deposit and just repaid the debt securities ourselves.</w:t>
      </w:r>
    </w:p>
    <w:p>
      <w:pPr>
        <w:spacing w:after="0" w:line="342" w:lineRule="exact"/>
        <w:rPr>
          <w:rFonts w:ascii="Courier New" w:cs="Courier New" w:eastAsia="Courier New" w:hAnsi="Courier New"/>
          <w:sz w:val="14"/>
          <w:szCs w:val="14"/>
          <w:color w:val="auto"/>
        </w:rPr>
      </w:pPr>
    </w:p>
    <w:p>
      <w:pPr>
        <w:ind w:left="1300" w:right="3159" w:hanging="467"/>
        <w:spacing w:after="0" w:line="234" w:lineRule="auto"/>
        <w:tabs>
          <w:tab w:leader="none" w:pos="130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must comply with any additional provisions set forth in the prospectus supplement.</w:t>
      </w:r>
    </w:p>
    <w:p>
      <w:pPr>
        <w:spacing w:after="0" w:line="183" w:lineRule="exact"/>
        <w:rPr>
          <w:sz w:val="20"/>
          <w:szCs w:val="20"/>
          <w:color w:val="auto"/>
        </w:rPr>
      </w:pPr>
    </w:p>
    <w:p>
      <w:pPr>
        <w:jc w:val="both"/>
        <w:ind w:right="2959" w:firstLine="837"/>
        <w:spacing w:after="0" w:line="270" w:lineRule="auto"/>
        <w:rPr>
          <w:sz w:val="20"/>
          <w:szCs w:val="20"/>
          <w:color w:val="auto"/>
        </w:rPr>
      </w:pPr>
      <w:r>
        <w:rPr>
          <w:rFonts w:ascii="Courier New" w:cs="Courier New" w:eastAsia="Courier New" w:hAnsi="Courier New"/>
          <w:sz w:val="14"/>
          <w:szCs w:val="14"/>
          <w:color w:val="auto"/>
        </w:rPr>
        <w:t>If we accomplish a full defeasance as described above, you would have to rely solely on the trust deposit for repayment on the debt securities. You could not look to us for repayment in the unlikely event of any shortfall.</w:t>
      </w:r>
    </w:p>
    <w:p>
      <w:pPr>
        <w:spacing w:after="0" w:line="1"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Conversely, the trust deposit would most likely be protected from claims of our lenders and other creditors if we ever become bankrupt or insolvent. You would also be released from any applicable subordination provisions on the subordinated debt securities described below under "- Subordination."</w:t>
      </w:r>
    </w:p>
    <w:p>
      <w:pPr>
        <w:spacing w:after="0" w:line="35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827" w:right="1440" w:bottom="1440" w:gutter="0" w:footer="0" w:header="0"/>
        </w:sectPr>
      </w:pPr>
    </w:p>
    <w:bookmarkStart w:id="22" w:name="page23"/>
    <w:bookmarkEnd w:id="22"/>
    <w:p>
      <w:pPr>
        <w:ind w:right="2879" w:firstLine="837"/>
        <w:spacing w:after="0" w:line="236" w:lineRule="auto"/>
        <w:rPr>
          <w:sz w:val="20"/>
          <w:szCs w:val="20"/>
          <w:color w:val="auto"/>
        </w:rPr>
      </w:pPr>
      <w:r>
        <w:rPr>
          <w:rFonts w:ascii="Courier New" w:cs="Courier New" w:eastAsia="Courier New" w:hAnsi="Courier New"/>
          <w:sz w:val="16"/>
          <w:szCs w:val="16"/>
          <w:color w:val="auto"/>
        </w:rPr>
        <w:t>Covenant Defeasance. Under current federal tax law, we can make the same type of deposit described above and be released from the restrictive covenants in the debt securities, if any. This is called "covenant defeasance." In that event, you would lose the protection of those restrictive covenants but would gain the protection of having money and securities set aside in trust to repay the debt securities, and you would be released from any applicable subordination provisions on the subordinated debt securities described later under " - Subordination." In order to achieve covenant defeasance, we must do the following:</w:t>
      </w:r>
    </w:p>
    <w:p>
      <w:pPr>
        <w:spacing w:after="0" w:line="185" w:lineRule="exact"/>
        <w:rPr>
          <w:sz w:val="20"/>
          <w:szCs w:val="20"/>
          <w:color w:val="auto"/>
        </w:rPr>
      </w:pPr>
    </w:p>
    <w:p>
      <w:pPr>
        <w:ind w:left="1300" w:right="2779" w:hanging="467"/>
        <w:spacing w:after="0" w:line="276" w:lineRule="auto"/>
        <w:tabs>
          <w:tab w:leader="none" w:pos="130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must deposit in trust for your benefit and the benefit of all other registered holders of the debt securities a combination of money and U.S. government or U.S. government agency notes or bonds that will generate enough cash to make interest, principal and any other payments on the debt securities on their various due dates.</w:t>
      </w:r>
    </w:p>
    <w:p>
      <w:pPr>
        <w:spacing w:after="0" w:line="161" w:lineRule="exact"/>
        <w:rPr>
          <w:rFonts w:ascii="Courier New" w:cs="Courier New" w:eastAsia="Courier New" w:hAnsi="Courier New"/>
          <w:sz w:val="14"/>
          <w:szCs w:val="14"/>
          <w:color w:val="auto"/>
        </w:rPr>
      </w:pPr>
    </w:p>
    <w:p>
      <w:pPr>
        <w:ind w:left="1300" w:right="2779" w:hanging="467"/>
        <w:spacing w:after="0" w:line="235" w:lineRule="auto"/>
        <w:tabs>
          <w:tab w:leader="none" w:pos="130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must deliver to the trustee a legal opinion confirming that under current federal income tax law we may make the above deposit without causing you to be taxed on the debt securities any differently than if we did not make the deposit and just repaid the debt securities ourselves.</w:t>
      </w:r>
    </w:p>
    <w:p>
      <w:pPr>
        <w:spacing w:after="0" w:line="185" w:lineRule="exact"/>
        <w:rPr>
          <w:rFonts w:ascii="Courier New" w:cs="Courier New" w:eastAsia="Courier New" w:hAnsi="Courier New"/>
          <w:sz w:val="16"/>
          <w:szCs w:val="16"/>
          <w:color w:val="auto"/>
        </w:rPr>
      </w:pPr>
    </w:p>
    <w:p>
      <w:pPr>
        <w:ind w:left="1300" w:right="3159" w:hanging="467"/>
        <w:spacing w:after="0" w:line="234" w:lineRule="auto"/>
        <w:tabs>
          <w:tab w:leader="none" w:pos="130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must comply with any additional provisions set forth in the prospectus supplement.</w:t>
      </w:r>
    </w:p>
    <w:p>
      <w:pPr>
        <w:spacing w:after="0" w:line="183" w:lineRule="exact"/>
        <w:rPr>
          <w:sz w:val="20"/>
          <w:szCs w:val="20"/>
          <w:color w:val="auto"/>
        </w:rPr>
      </w:pPr>
    </w:p>
    <w:p>
      <w:pPr>
        <w:ind w:right="2959" w:firstLine="837"/>
        <w:spacing w:after="0" w:line="235" w:lineRule="auto"/>
        <w:rPr>
          <w:sz w:val="20"/>
          <w:szCs w:val="20"/>
          <w:color w:val="auto"/>
        </w:rPr>
      </w:pPr>
      <w:r>
        <w:rPr>
          <w:rFonts w:ascii="Courier New" w:cs="Courier New" w:eastAsia="Courier New" w:hAnsi="Courier New"/>
          <w:sz w:val="16"/>
          <w:szCs w:val="16"/>
          <w:color w:val="auto"/>
        </w:rPr>
        <w:t>If we accomplish covenant defeasance, the following provisions of the indenture and the debt securities would no longer apply unless otherwise specified:</w:t>
      </w:r>
    </w:p>
    <w:p>
      <w:pPr>
        <w:spacing w:after="0" w:line="183" w:lineRule="exact"/>
        <w:rPr>
          <w:sz w:val="20"/>
          <w:szCs w:val="20"/>
          <w:color w:val="auto"/>
        </w:rPr>
      </w:pPr>
    </w:p>
    <w:p>
      <w:pPr>
        <w:ind w:left="1300" w:right="2959" w:hanging="467"/>
        <w:spacing w:after="0" w:line="235" w:lineRule="auto"/>
        <w:tabs>
          <w:tab w:leader="none" w:pos="130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promises regarding conduct of our business and other matters and any other covenants applicable to the series of debt securities that will be described in the prospectus supplement; and</w:t>
      </w:r>
    </w:p>
    <w:p>
      <w:pPr>
        <w:spacing w:after="0" w:line="184" w:lineRule="exact"/>
        <w:rPr>
          <w:rFonts w:ascii="Courier New" w:cs="Courier New" w:eastAsia="Courier New" w:hAnsi="Courier New"/>
          <w:sz w:val="16"/>
          <w:szCs w:val="16"/>
          <w:color w:val="auto"/>
        </w:rPr>
      </w:pPr>
    </w:p>
    <w:p>
      <w:pPr>
        <w:ind w:left="1300" w:right="3239" w:hanging="467"/>
        <w:spacing w:after="0" w:line="295" w:lineRule="auto"/>
        <w:tabs>
          <w:tab w:leader="none" w:pos="130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definition of an event of default as a breach of such covenants that may be specified in the prospectus supplement.</w:t>
      </w:r>
    </w:p>
    <w:p>
      <w:pPr>
        <w:spacing w:after="0" w:line="147"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If we accomplish covenant defeasance, you can still look to us for repayment of the debt securities if there were a shortfall in the trust deposit. In fact, if one of the remaining events of default occurs (such as our bankruptcy) and the debt securities become immediately due and payable, there may be such a shortfall. Depending on the event causing the default, of course, you may not be able to obtain payment of the shortfall.</w:t>
      </w:r>
    </w:p>
    <w:p>
      <w:pPr>
        <w:spacing w:after="0" w:line="183" w:lineRule="exact"/>
        <w:rPr>
          <w:sz w:val="20"/>
          <w:szCs w:val="20"/>
          <w:color w:val="auto"/>
        </w:rPr>
      </w:pPr>
    </w:p>
    <w:p>
      <w:pPr>
        <w:ind w:right="2879" w:firstLine="837"/>
        <w:spacing w:after="0" w:line="236" w:lineRule="auto"/>
        <w:rPr>
          <w:sz w:val="20"/>
          <w:szCs w:val="20"/>
          <w:color w:val="auto"/>
        </w:rPr>
      </w:pPr>
      <w:r>
        <w:rPr>
          <w:rFonts w:ascii="Courier New" w:cs="Courier New" w:eastAsia="Courier New" w:hAnsi="Courier New"/>
          <w:sz w:val="16"/>
          <w:szCs w:val="16"/>
          <w:color w:val="auto"/>
        </w:rPr>
        <w:t>In order to exercise either full defeasance or covenant defeasance, we must comply with certain conditions, and no event or condition can exist that would prevent us from making payments of principal, premium, and interest, if any, on the senior debt securities or subordinated debt securities of such series on the date the irrevocable deposit is made or at any time during the period ending on the 91st day after the deposit date.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Ranking</w:t>
      </w:r>
    </w:p>
    <w:p>
      <w:pPr>
        <w:spacing w:after="0" w:line="183" w:lineRule="exact"/>
        <w:rPr>
          <w:sz w:val="20"/>
          <w:szCs w:val="20"/>
          <w:color w:val="auto"/>
        </w:rPr>
      </w:pPr>
    </w:p>
    <w:p>
      <w:pPr>
        <w:ind w:right="2879" w:firstLine="837"/>
        <w:spacing w:after="0" w:line="236" w:lineRule="auto"/>
        <w:rPr>
          <w:sz w:val="20"/>
          <w:szCs w:val="20"/>
          <w:color w:val="auto"/>
        </w:rPr>
      </w:pPr>
      <w:r>
        <w:rPr>
          <w:rFonts w:ascii="Courier New" w:cs="Courier New" w:eastAsia="Courier New" w:hAnsi="Courier New"/>
          <w:sz w:val="16"/>
          <w:szCs w:val="16"/>
          <w:color w:val="auto"/>
        </w:rPr>
        <w:t>Unless provided otherwise in the applicable prospectus supplement, the debt securities are not secured by any of our property or assets. Accordingly, your ownership of debt securities means you are one of our unsecured creditors. The senior debt securities are not subordinated to any of our other debt obligations and therefore they rank equally with all our other unsecured and unsubordinated indebtedness. The subordinated debt securities are subordinated to some of our existing and future debt and other liabilities. See "-Subordination" for additional information on how subordination limits your ability to receive payment or pursue other rights if we default or have certain other financial difficulties.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Subordination</w:t>
      </w:r>
    </w:p>
    <w:p>
      <w:pPr>
        <w:spacing w:after="0" w:line="183" w:lineRule="exact"/>
        <w:rPr>
          <w:sz w:val="20"/>
          <w:szCs w:val="20"/>
          <w:color w:val="auto"/>
        </w:rPr>
      </w:pPr>
    </w:p>
    <w:p>
      <w:pPr>
        <w:ind w:right="3239" w:firstLine="837"/>
        <w:spacing w:after="0" w:line="234" w:lineRule="auto"/>
        <w:rPr>
          <w:sz w:val="20"/>
          <w:szCs w:val="20"/>
          <w:color w:val="auto"/>
        </w:rPr>
      </w:pPr>
      <w:r>
        <w:rPr>
          <w:rFonts w:ascii="Courier New" w:cs="Courier New" w:eastAsia="Courier New" w:hAnsi="Courier New"/>
          <w:sz w:val="16"/>
          <w:szCs w:val="16"/>
          <w:color w:val="auto"/>
        </w:rPr>
        <w:t>Unless the prospectus supplement provides otherwise, the following provisions will apply to the subordinated debt securities:</w:t>
      </w:r>
    </w:p>
    <w:p>
      <w:pPr>
        <w:spacing w:after="0" w:line="183" w:lineRule="exact"/>
        <w:rPr>
          <w:sz w:val="20"/>
          <w:szCs w:val="20"/>
          <w:color w:val="auto"/>
        </w:rPr>
      </w:pPr>
    </w:p>
    <w:p>
      <w:pPr>
        <w:ind w:right="2779" w:firstLine="837"/>
        <w:spacing w:after="0" w:line="279" w:lineRule="auto"/>
        <w:rPr>
          <w:sz w:val="20"/>
          <w:szCs w:val="20"/>
          <w:color w:val="auto"/>
        </w:rPr>
      </w:pPr>
      <w:r>
        <w:rPr>
          <w:rFonts w:ascii="Courier New" w:cs="Courier New" w:eastAsia="Courier New" w:hAnsi="Courier New"/>
          <w:sz w:val="14"/>
          <w:szCs w:val="14"/>
          <w:color w:val="auto"/>
        </w:rPr>
        <w:t>The payment of principal, any premium and interest on the subordinated debt securities is subordinated in right of payment to the prior payment in full of all of our Senior Indebtedness (as such term is defined in the subordinated indenture). This means that in certain circumstances where we may not be making</w:t>
      </w:r>
    </w:p>
    <w:p>
      <w:pPr>
        <w:spacing w:after="0" w:line="33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54" w:right="1440" w:bottom="1440" w:gutter="0" w:footer="0" w:header="0"/>
        </w:sectPr>
      </w:pPr>
    </w:p>
    <w:bookmarkStart w:id="23" w:name="page24"/>
    <w:bookmarkEnd w:id="23"/>
    <w:p>
      <w:pPr>
        <w:ind w:right="2779"/>
        <w:spacing w:after="0" w:line="236" w:lineRule="auto"/>
        <w:rPr>
          <w:sz w:val="20"/>
          <w:szCs w:val="20"/>
          <w:color w:val="auto"/>
        </w:rPr>
      </w:pPr>
      <w:r>
        <w:rPr>
          <w:rFonts w:ascii="Courier New" w:cs="Courier New" w:eastAsia="Courier New" w:hAnsi="Courier New"/>
          <w:sz w:val="16"/>
          <w:szCs w:val="16"/>
          <w:color w:val="auto"/>
        </w:rPr>
        <w:t>payments on all of our debt obligations as they become due, the holders of all of our Senior Indebtedness will be entitled to receive payment in full of all amounts that are due or will become due on the Senior Indebtedness before you and the other holders of subordinated debt securities will be entitled to receive any payment or distribution (other than in the form of subordinated securities) on the subordinated debt securities. These circumstances may include the following:</w:t>
      </w:r>
    </w:p>
    <w:p>
      <w:pPr>
        <w:spacing w:after="0" w:line="184" w:lineRule="exact"/>
        <w:rPr>
          <w:sz w:val="20"/>
          <w:szCs w:val="20"/>
          <w:color w:val="auto"/>
        </w:rPr>
      </w:pPr>
    </w:p>
    <w:p>
      <w:pPr>
        <w:ind w:left="1300" w:right="2779" w:hanging="467"/>
        <w:spacing w:after="0" w:line="235" w:lineRule="auto"/>
        <w:tabs>
          <w:tab w:leader="none" w:pos="130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make a payment or distribute assets to creditors upon any liquidation, dissolution, winding up or reorganization of ClearOne, or as part of an assignment or marshalling of our assets for the benefit of our creditors.</w:t>
      </w:r>
    </w:p>
    <w:p>
      <w:pPr>
        <w:spacing w:after="0" w:line="184" w:lineRule="exact"/>
        <w:rPr>
          <w:rFonts w:ascii="Courier New" w:cs="Courier New" w:eastAsia="Courier New" w:hAnsi="Courier New"/>
          <w:sz w:val="16"/>
          <w:szCs w:val="16"/>
          <w:color w:val="auto"/>
        </w:rPr>
      </w:pPr>
    </w:p>
    <w:p>
      <w:pPr>
        <w:ind w:left="1300" w:right="3239" w:hanging="467"/>
        <w:spacing w:after="0" w:line="234" w:lineRule="auto"/>
        <w:tabs>
          <w:tab w:leader="none" w:pos="130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file for bankruptcy or certain other events in bankruptcy, insolvency or similar proceedings occur.</w:t>
      </w:r>
    </w:p>
    <w:p>
      <w:pPr>
        <w:spacing w:after="0" w:line="183" w:lineRule="exact"/>
        <w:rPr>
          <w:rFonts w:ascii="Courier New" w:cs="Courier New" w:eastAsia="Courier New" w:hAnsi="Courier New"/>
          <w:sz w:val="16"/>
          <w:szCs w:val="16"/>
          <w:color w:val="auto"/>
        </w:rPr>
      </w:pPr>
    </w:p>
    <w:p>
      <w:pPr>
        <w:ind w:left="1300" w:right="2779" w:hanging="467"/>
        <w:spacing w:after="0" w:line="276" w:lineRule="auto"/>
        <w:tabs>
          <w:tab w:leader="none" w:pos="130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maturity of the subordinated debt securities is accelerated. For example, the entire principal amount of a series of subordinated debt securities may be declared to be due and payable and immediately payable or may be automatically accelerated due to an event of default as described under " - Events of Default."</w:t>
      </w:r>
    </w:p>
    <w:p>
      <w:pPr>
        <w:spacing w:after="0" w:line="161"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In addition, in general, we will not be permitted to make payments of principal, any premium or interest on the subordinated debt securities if we default in our obligation to make payments on our Senior Indebtedness and do not cure such default. We are also prohibited from making payments on subordinated debt securities if an event of default (other than a payment default) that permits the holders of Senior Indebtedness to accelerate the maturity of the Senior Indebtedness occurs and we and the trustee have received a notice of such event of default. However, unless the Senior Indebtedness has been accelerated because of that event of default, this payment blockage notice cannot last more than 179 days.</w:t>
      </w:r>
    </w:p>
    <w:p>
      <w:pPr>
        <w:spacing w:after="0" w:line="186" w:lineRule="exact"/>
        <w:rPr>
          <w:sz w:val="20"/>
          <w:szCs w:val="20"/>
          <w:color w:val="auto"/>
        </w:rPr>
      </w:pPr>
    </w:p>
    <w:p>
      <w:pPr>
        <w:ind w:right="2879" w:firstLine="837"/>
        <w:spacing w:after="0" w:line="236" w:lineRule="auto"/>
        <w:rPr>
          <w:sz w:val="20"/>
          <w:szCs w:val="20"/>
          <w:color w:val="auto"/>
        </w:rPr>
      </w:pPr>
      <w:r>
        <w:rPr>
          <w:rFonts w:ascii="Courier New" w:cs="Courier New" w:eastAsia="Courier New" w:hAnsi="Courier New"/>
          <w:sz w:val="16"/>
          <w:szCs w:val="16"/>
          <w:color w:val="auto"/>
        </w:rPr>
        <w:t>These subordination provisions mean that if we are insolvent, a holder of Senior Indebtedness is likely to ultimately receive out of our assets more than a holder of the same amount of our subordinated debt securities, and a creditor of ClearOne that is owed a specific amount but who owns neither our Senior Indebtedness nor our subordinated debt securities may ultimately receive less than a holder of the same amount of Senior Indebtedness and more than a holder of subordinated debt securities.</w:t>
      </w:r>
    </w:p>
    <w:p>
      <w:pPr>
        <w:spacing w:after="0" w:line="184" w:lineRule="exact"/>
        <w:rPr>
          <w:sz w:val="20"/>
          <w:szCs w:val="20"/>
          <w:color w:val="auto"/>
        </w:rPr>
      </w:pPr>
    </w:p>
    <w:p>
      <w:pPr>
        <w:ind w:right="2879" w:firstLine="837"/>
        <w:spacing w:after="0" w:line="235" w:lineRule="auto"/>
        <w:rPr>
          <w:sz w:val="20"/>
          <w:szCs w:val="20"/>
          <w:color w:val="auto"/>
        </w:rPr>
      </w:pPr>
      <w:r>
        <w:rPr>
          <w:rFonts w:ascii="Courier New" w:cs="Courier New" w:eastAsia="Courier New" w:hAnsi="Courier New"/>
          <w:sz w:val="16"/>
          <w:szCs w:val="16"/>
          <w:color w:val="auto"/>
        </w:rPr>
        <w:t>The subordinated indenture does not limit the amount of Senior Indebtedness we are permitted to have and we may in the future incur additional Senior Indebtedness.</w:t>
      </w:r>
    </w:p>
    <w:p>
      <w:pPr>
        <w:spacing w:after="0" w:line="183" w:lineRule="exact"/>
        <w:rPr>
          <w:sz w:val="20"/>
          <w:szCs w:val="20"/>
          <w:color w:val="auto"/>
        </w:rPr>
      </w:pPr>
    </w:p>
    <w:p>
      <w:pPr>
        <w:ind w:right="2959" w:firstLine="837"/>
        <w:spacing w:after="0" w:line="235" w:lineRule="auto"/>
        <w:rPr>
          <w:sz w:val="20"/>
          <w:szCs w:val="20"/>
          <w:color w:val="auto"/>
        </w:rPr>
      </w:pPr>
      <w:r>
        <w:rPr>
          <w:rFonts w:ascii="Courier New" w:cs="Courier New" w:eastAsia="Courier New" w:hAnsi="Courier New"/>
          <w:sz w:val="16"/>
          <w:szCs w:val="16"/>
          <w:color w:val="auto"/>
        </w:rPr>
        <w:t>If this prospectus is being delivered in connection with a series of subordinated securities, the accompanying prospectus supplement or the information incorporated by reference will set forth the approximate amount of Senior Indebtedness outstanding as of a recent date.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Trustee</w:t>
      </w:r>
    </w:p>
    <w:p>
      <w:pPr>
        <w:spacing w:after="0" w:line="183" w:lineRule="exact"/>
        <w:rPr>
          <w:sz w:val="20"/>
          <w:szCs w:val="20"/>
          <w:color w:val="auto"/>
        </w:rPr>
      </w:pPr>
    </w:p>
    <w:p>
      <w:pPr>
        <w:jc w:val="both"/>
        <w:ind w:right="2779" w:firstLine="837"/>
        <w:spacing w:after="0" w:line="235" w:lineRule="auto"/>
        <w:rPr>
          <w:sz w:val="20"/>
          <w:szCs w:val="20"/>
          <w:color w:val="auto"/>
        </w:rPr>
      </w:pPr>
      <w:r>
        <w:rPr>
          <w:rFonts w:ascii="Courier New" w:cs="Courier New" w:eastAsia="Courier New" w:hAnsi="Courier New"/>
          <w:sz w:val="16"/>
          <w:szCs w:val="16"/>
          <w:color w:val="auto"/>
        </w:rPr>
        <w:t>The initial trustee under each indenture will be The Bank of New York. The Bank of New York will also be the initial paying agent and registrar for the debt securities.</w:t>
      </w:r>
    </w:p>
    <w:p>
      <w:pPr>
        <w:spacing w:after="0" w:line="183"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Each indenture provides that, except during the continuance of an event of default under the indenture, the trustee under the indenture will perform only such duties as are specifically set forth in the indenture. Under the indenture, the holders of a majority in outstanding principal amount of the debt securities will have the right to direct the time, method and place of conducting any proceeding or exercising any remedy available to the trustee under the indenture, subject to certain exceptions. If an event of default has occurred and is continuing, the trustee under the indenture will exercise such rights and powers vested in it under the indenture and use the same degree of care and skill in its exercise as a prudent person would exercise under the circumstances in the conduct of such person's own affairs.</w:t>
      </w:r>
    </w:p>
    <w:p>
      <w:pPr>
        <w:spacing w:after="0" w:line="186" w:lineRule="exact"/>
        <w:rPr>
          <w:sz w:val="20"/>
          <w:szCs w:val="20"/>
          <w:color w:val="auto"/>
        </w:rPr>
      </w:pPr>
    </w:p>
    <w:p>
      <w:pPr>
        <w:ind w:right="2779" w:firstLine="837"/>
        <w:spacing w:after="0" w:line="279" w:lineRule="auto"/>
        <w:rPr>
          <w:sz w:val="20"/>
          <w:szCs w:val="20"/>
          <w:color w:val="auto"/>
        </w:rPr>
      </w:pPr>
      <w:r>
        <w:rPr>
          <w:rFonts w:ascii="Courier New" w:cs="Courier New" w:eastAsia="Courier New" w:hAnsi="Courier New"/>
          <w:sz w:val="14"/>
          <w:szCs w:val="14"/>
          <w:color w:val="auto"/>
        </w:rPr>
        <w:t>Each indenture and provisions of the Trust Indenture Act incorporated by reference in the indenture contain limitations on the rights of the trustee under such indenture, should it become a creditor of ClearOne, to obtain payment of claims in certain cases or to realize on certain property received by it in</w:t>
      </w:r>
    </w:p>
    <w:p>
      <w:pPr>
        <w:spacing w:after="0" w:line="33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54" w:right="1440" w:bottom="1440" w:gutter="0" w:footer="0" w:header="0"/>
        </w:sectPr>
      </w:pPr>
    </w:p>
    <w:bookmarkStart w:id="24" w:name="page25"/>
    <w:bookmarkEnd w:id="24"/>
    <w:p>
      <w:pPr>
        <w:ind w:right="2879"/>
        <w:spacing w:after="0" w:line="235" w:lineRule="auto"/>
        <w:rPr>
          <w:sz w:val="20"/>
          <w:szCs w:val="20"/>
          <w:color w:val="auto"/>
        </w:rPr>
      </w:pPr>
      <w:r>
        <w:rPr>
          <w:rFonts w:ascii="Courier New" w:cs="Courier New" w:eastAsia="Courier New" w:hAnsi="Courier New"/>
          <w:sz w:val="16"/>
          <w:szCs w:val="16"/>
          <w:color w:val="auto"/>
        </w:rPr>
        <w:t>respect of any such claims, as security or otherwise. The trustee under the indenture is permitted to engage in other transactions. However, if the trustee under the indenture acquires any prohibited conflicting interest, it must eliminate the conflict or resign.</w:t>
      </w:r>
    </w:p>
    <w:p>
      <w:pPr>
        <w:spacing w:after="0" w:line="185" w:lineRule="exact"/>
        <w:rPr>
          <w:sz w:val="20"/>
          <w:szCs w:val="20"/>
          <w:color w:val="auto"/>
        </w:rPr>
      </w:pPr>
    </w:p>
    <w:p>
      <w:pPr>
        <w:ind w:right="2879" w:firstLine="837"/>
        <w:spacing w:after="0" w:line="236" w:lineRule="auto"/>
        <w:rPr>
          <w:sz w:val="20"/>
          <w:szCs w:val="20"/>
          <w:color w:val="auto"/>
        </w:rPr>
      </w:pPr>
      <w:r>
        <w:rPr>
          <w:rFonts w:ascii="Courier New" w:cs="Courier New" w:eastAsia="Courier New" w:hAnsi="Courier New"/>
          <w:sz w:val="16"/>
          <w:szCs w:val="16"/>
          <w:color w:val="auto"/>
        </w:rPr>
        <w:t>Each trustee may resign or be removed with respect to one or more series of securities and a successor trustee may be appointed to act with respect to such series. In the event that two or more persons are acting as trustee with respect to different series of securities under one of the indentures, each such trustee shall be a trustee of a trust separate and apart from the trust administered by any other such trustee and any action described herein to be taken by the "trustee" may then be taken by each such trustee with respect to, and only with respect to, the one or more series of securities for which it is trustee.</w:t>
      </w:r>
    </w:p>
    <w:p>
      <w:pPr>
        <w:spacing w:after="0" w:line="185" w:lineRule="exact"/>
        <w:rPr>
          <w:sz w:val="20"/>
          <w:szCs w:val="20"/>
          <w:color w:val="auto"/>
        </w:rPr>
      </w:pPr>
    </w:p>
    <w:p>
      <w:pPr>
        <w:ind w:right="2779" w:firstLine="837"/>
        <w:spacing w:after="0" w:line="235" w:lineRule="auto"/>
        <w:rPr>
          <w:sz w:val="20"/>
          <w:szCs w:val="20"/>
          <w:color w:val="auto"/>
        </w:rPr>
      </w:pPr>
      <w:r>
        <w:rPr>
          <w:rFonts w:ascii="Courier New" w:cs="Courier New" w:eastAsia="Courier New" w:hAnsi="Courier New"/>
          <w:sz w:val="16"/>
          <w:szCs w:val="16"/>
          <w:color w:val="auto"/>
        </w:rPr>
        <w:t>In the event that an entity is the trustee under both the senior indenture and the subordinated indenture, and a conflict of interest arises as a result, the trustee must resign as trustee under (1) either of the indentures or, if this does not eliminate the conflict of interest, (2) both the indentures.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Governing Law</w:t>
      </w:r>
    </w:p>
    <w:p>
      <w:pPr>
        <w:spacing w:after="0" w:line="183" w:lineRule="exact"/>
        <w:rPr>
          <w:sz w:val="20"/>
          <w:szCs w:val="20"/>
          <w:color w:val="auto"/>
        </w:rPr>
      </w:pPr>
    </w:p>
    <w:p>
      <w:pPr>
        <w:ind w:right="3519" w:firstLine="837"/>
        <w:spacing w:after="0" w:line="234" w:lineRule="auto"/>
        <w:rPr>
          <w:sz w:val="20"/>
          <w:szCs w:val="20"/>
          <w:color w:val="auto"/>
        </w:rPr>
      </w:pPr>
      <w:r>
        <w:rPr>
          <w:rFonts w:ascii="Courier New" w:cs="Courier New" w:eastAsia="Courier New" w:hAnsi="Courier New"/>
          <w:sz w:val="16"/>
          <w:szCs w:val="16"/>
          <w:color w:val="auto"/>
        </w:rPr>
        <w:t>The indentures and the debt securities will be governed by, and construed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54" w:right="1440" w:bottom="1440" w:gutter="0" w:footer="0" w:header="0"/>
        </w:sectPr>
      </w:pPr>
    </w:p>
    <w:bookmarkStart w:id="25" w:name="page26"/>
    <w:bookmarkEnd w:id="25"/>
    <w:p>
      <w:pPr>
        <w:ind w:left="2700"/>
        <w:spacing w:after="0"/>
        <w:rPr>
          <w:sz w:val="20"/>
          <w:szCs w:val="20"/>
          <w:color w:val="auto"/>
        </w:rPr>
      </w:pPr>
      <w:r>
        <w:rPr>
          <w:rFonts w:ascii="Courier New" w:cs="Courier New" w:eastAsia="Courier New" w:hAnsi="Courier New"/>
          <w:sz w:val="16"/>
          <w:szCs w:val="16"/>
          <w:color w:val="auto"/>
        </w:rPr>
        <w:t>DESCRIPTION OF WARRANTS</w:t>
      </w:r>
    </w:p>
    <w:p>
      <w:pPr>
        <w:spacing w:after="0" w:line="362" w:lineRule="exact"/>
        <w:rPr>
          <w:sz w:val="20"/>
          <w:szCs w:val="20"/>
          <w:color w:val="auto"/>
        </w:rPr>
      </w:pPr>
    </w:p>
    <w:p>
      <w:pPr>
        <w:ind w:right="2779" w:firstLine="837"/>
        <w:spacing w:after="0" w:line="273" w:lineRule="auto"/>
        <w:rPr>
          <w:sz w:val="20"/>
          <w:szCs w:val="20"/>
          <w:color w:val="auto"/>
        </w:rPr>
      </w:pPr>
      <w:r>
        <w:rPr>
          <w:rFonts w:ascii="Courier New" w:cs="Courier New" w:eastAsia="Courier New" w:hAnsi="Courier New"/>
          <w:sz w:val="14"/>
          <w:szCs w:val="14"/>
          <w:color w:val="auto"/>
        </w:rPr>
        <w:t>We may issue warrants for the purchase of (1) debt securities or (2) common stock. Warrants may be issued independently or together with any debt securities or common stock offered by any prospectus supplement and may be attached to or separate from the debt securities or common stock. The warrants are to be issued under warrant agreements to be entered into between ClearOne and a bank or trust company named in the prospectus supplement as warrant agent relating to the particular issue of warrants. The warrant agent will act solely as an agent of ClearOne in connection with the warrants and will not assume any obligation or relationship of agency or trust for or with any holders of warrants or beneficial owners of warrants. This section is a summary of the material terms of the warrant agreement; it does not describe every aspect of the warrants. We urge you to read the warrant agreement because it, and not this description, defines your rights as a warrant holder.</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83" w:lineRule="exact"/>
        <w:rPr>
          <w:sz w:val="20"/>
          <w:szCs w:val="20"/>
          <w:color w:val="auto"/>
        </w:rPr>
      </w:pPr>
    </w:p>
    <w:p>
      <w:pPr>
        <w:ind w:right="3059" w:firstLine="837"/>
        <w:spacing w:after="0" w:line="234" w:lineRule="auto"/>
        <w:rPr>
          <w:sz w:val="20"/>
          <w:szCs w:val="20"/>
          <w:color w:val="auto"/>
        </w:rPr>
      </w:pPr>
      <w:r>
        <w:rPr>
          <w:rFonts w:ascii="Courier New" w:cs="Courier New" w:eastAsia="Courier New" w:hAnsi="Courier New"/>
          <w:sz w:val="16"/>
          <w:szCs w:val="16"/>
          <w:color w:val="auto"/>
        </w:rPr>
        <w:t>If warrants are offered, the prospectus supplement will describe the terms of the warrants, including the following:</w:t>
      </w:r>
    </w:p>
    <w:p>
      <w:pPr>
        <w:spacing w:after="0" w:line="177" w:lineRule="exact"/>
        <w:rPr>
          <w:sz w:val="20"/>
          <w:szCs w:val="20"/>
          <w:color w:val="auto"/>
        </w:rPr>
      </w:pPr>
    </w:p>
    <w:p>
      <w:pPr>
        <w:ind w:left="1300" w:hanging="467"/>
        <w:spacing w:after="0"/>
        <w:tabs>
          <w:tab w:leader="none" w:pos="130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offering price;</w:t>
      </w:r>
    </w:p>
    <w:p>
      <w:pPr>
        <w:spacing w:after="0" w:line="182" w:lineRule="exact"/>
        <w:rPr>
          <w:rFonts w:ascii="Courier New" w:cs="Courier New" w:eastAsia="Courier New" w:hAnsi="Courier New"/>
          <w:sz w:val="16"/>
          <w:szCs w:val="16"/>
          <w:color w:val="auto"/>
        </w:rPr>
      </w:pPr>
    </w:p>
    <w:p>
      <w:pPr>
        <w:ind w:left="1300" w:right="2879" w:hanging="467"/>
        <w:spacing w:after="0" w:line="235" w:lineRule="auto"/>
        <w:tabs>
          <w:tab w:leader="none" w:pos="130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designation, aggregate principal amount and terms of the debt securities purchasable upon exercise of the debt warrants and the price at which such debt securities may be purchased upon such exercise;</w:t>
      </w:r>
    </w:p>
    <w:p>
      <w:pPr>
        <w:spacing w:after="0" w:line="184" w:lineRule="exact"/>
        <w:rPr>
          <w:rFonts w:ascii="Courier New" w:cs="Courier New" w:eastAsia="Courier New" w:hAnsi="Courier New"/>
          <w:sz w:val="16"/>
          <w:szCs w:val="16"/>
          <w:color w:val="auto"/>
        </w:rPr>
      </w:pPr>
    </w:p>
    <w:p>
      <w:pPr>
        <w:ind w:left="1300" w:right="2959" w:hanging="467"/>
        <w:spacing w:after="0" w:line="235" w:lineRule="auto"/>
        <w:tabs>
          <w:tab w:leader="none" w:pos="130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designation, number of shares and terms of the common stock purchasable upon exercise of the common stock warrants and the price at which such shares of common stock may be purchased upon such exercise;</w:t>
      </w:r>
    </w:p>
    <w:p>
      <w:pPr>
        <w:spacing w:after="0" w:line="184" w:lineRule="exact"/>
        <w:rPr>
          <w:rFonts w:ascii="Courier New" w:cs="Courier New" w:eastAsia="Courier New" w:hAnsi="Courier New"/>
          <w:sz w:val="16"/>
          <w:szCs w:val="16"/>
          <w:color w:val="auto"/>
        </w:rPr>
      </w:pPr>
    </w:p>
    <w:p>
      <w:pPr>
        <w:ind w:left="1300" w:right="2779" w:hanging="467"/>
        <w:spacing w:after="0" w:line="283" w:lineRule="auto"/>
        <w:tabs>
          <w:tab w:leader="none" w:pos="130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applicable, the designation and terms of the debt securities or common stock with which the warrants are issued and the number of warrants issued with each such debt security or common stock;</w:t>
      </w:r>
    </w:p>
    <w:p>
      <w:pPr>
        <w:spacing w:after="0" w:line="154" w:lineRule="exact"/>
        <w:rPr>
          <w:rFonts w:ascii="Courier New" w:cs="Courier New" w:eastAsia="Courier New" w:hAnsi="Courier New"/>
          <w:sz w:val="14"/>
          <w:szCs w:val="14"/>
          <w:color w:val="auto"/>
        </w:rPr>
      </w:pPr>
    </w:p>
    <w:p>
      <w:pPr>
        <w:ind w:left="1300" w:right="3059" w:hanging="467"/>
        <w:spacing w:after="0" w:line="235" w:lineRule="auto"/>
        <w:tabs>
          <w:tab w:leader="none" w:pos="130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applicable, the date on and after which the warrants and the related debt securities or common stock will be separately transferable;</w:t>
      </w:r>
    </w:p>
    <w:p>
      <w:pPr>
        <w:spacing w:after="0" w:line="183" w:lineRule="exact"/>
        <w:rPr>
          <w:rFonts w:ascii="Courier New" w:cs="Courier New" w:eastAsia="Courier New" w:hAnsi="Courier New"/>
          <w:sz w:val="16"/>
          <w:szCs w:val="16"/>
          <w:color w:val="auto"/>
        </w:rPr>
      </w:pPr>
    </w:p>
    <w:p>
      <w:pPr>
        <w:ind w:left="1300" w:right="3519" w:hanging="467"/>
        <w:spacing w:after="0" w:line="295" w:lineRule="auto"/>
        <w:tabs>
          <w:tab w:leader="none" w:pos="130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on which the right to exercise the warrants shall commence and the date on which such right shall expire;</w:t>
      </w:r>
    </w:p>
    <w:p>
      <w:pPr>
        <w:spacing w:after="0" w:line="146" w:lineRule="exact"/>
        <w:rPr>
          <w:rFonts w:ascii="Courier New" w:cs="Courier New" w:eastAsia="Courier New" w:hAnsi="Courier New"/>
          <w:sz w:val="14"/>
          <w:szCs w:val="14"/>
          <w:color w:val="auto"/>
        </w:rPr>
      </w:pPr>
    </w:p>
    <w:p>
      <w:pPr>
        <w:ind w:left="1300" w:right="3519" w:hanging="467"/>
        <w:spacing w:after="0" w:line="235" w:lineRule="auto"/>
        <w:tabs>
          <w:tab w:leader="none" w:pos="130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the warrants will be sold with any other offered securities and, if so, the amount and terms of these other securities;</w:t>
      </w:r>
    </w:p>
    <w:p>
      <w:pPr>
        <w:spacing w:after="0" w:line="183" w:lineRule="exact"/>
        <w:rPr>
          <w:rFonts w:ascii="Courier New" w:cs="Courier New" w:eastAsia="Courier New" w:hAnsi="Courier New"/>
          <w:sz w:val="16"/>
          <w:szCs w:val="16"/>
          <w:color w:val="auto"/>
        </w:rPr>
      </w:pPr>
    </w:p>
    <w:p>
      <w:pPr>
        <w:ind w:left="1300" w:right="2779" w:hanging="467"/>
        <w:spacing w:after="0" w:line="235" w:lineRule="auto"/>
        <w:tabs>
          <w:tab w:leader="none" w:pos="130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discussion of certain federal income tax, accounting and other special considerations, procedures and limitations relating to the warrants; and</w:t>
      </w:r>
    </w:p>
    <w:p>
      <w:pPr>
        <w:spacing w:after="0" w:line="177" w:lineRule="exact"/>
        <w:rPr>
          <w:rFonts w:ascii="Courier New" w:cs="Courier New" w:eastAsia="Courier New" w:hAnsi="Courier New"/>
          <w:sz w:val="16"/>
          <w:szCs w:val="16"/>
          <w:color w:val="auto"/>
        </w:rPr>
      </w:pPr>
    </w:p>
    <w:p>
      <w:pPr>
        <w:ind w:left="1300" w:hanging="467"/>
        <w:spacing w:after="0"/>
        <w:tabs>
          <w:tab w:leader="none" w:pos="130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terms of the warrants.</w:t>
      </w:r>
    </w:p>
    <w:p>
      <w:pPr>
        <w:spacing w:after="0" w:line="183" w:lineRule="exact"/>
        <w:rPr>
          <w:sz w:val="20"/>
          <w:szCs w:val="20"/>
          <w:color w:val="auto"/>
        </w:rPr>
      </w:pPr>
    </w:p>
    <w:p>
      <w:pPr>
        <w:ind w:right="2779" w:firstLine="837"/>
        <w:spacing w:after="0" w:line="273" w:lineRule="auto"/>
        <w:rPr>
          <w:sz w:val="20"/>
          <w:szCs w:val="20"/>
          <w:color w:val="auto"/>
        </w:rPr>
      </w:pPr>
      <w:r>
        <w:rPr>
          <w:rFonts w:ascii="Courier New" w:cs="Courier New" w:eastAsia="Courier New" w:hAnsi="Courier New"/>
          <w:sz w:val="14"/>
          <w:szCs w:val="14"/>
          <w:color w:val="auto"/>
        </w:rPr>
        <w:t>Warrants may be exchanged for new warrants of different denominations. If in registered form, warrants may be presented for registration of transfer, and may be exercised at the corporate trust office of the warrant agent or any other office indicated in the prospectus supplement. Before the exercise of their warrants, holders of warrants will not have any of the rights of holders of the securities purchasable upon such exercise, including the right to receive payments of principal of, any premium on, or any interest on, the debt securities purchasable upon such exercise or to enforce the covenants in the indentures or to receive payments of dividends, if any, on the common stock purchasable upon such exercise or to exercise any applicable right to vote. If ClearOne maintains the ability to reduce the exercise price of any stock warrant and such right is triggered, ClearOne will comply with the federal securities laws, including Rule 14e-4 under the Exchange Act, to the extent applicable.</w:t>
      </w:r>
    </w:p>
    <w:p>
      <w:pPr>
        <w:spacing w:after="0" w:line="200" w:lineRule="exact"/>
        <w:rPr>
          <w:sz w:val="20"/>
          <w:szCs w:val="20"/>
          <w:color w:val="auto"/>
        </w:rPr>
      </w:pPr>
    </w:p>
    <w:p>
      <w:pPr>
        <w:spacing w:after="0" w:line="31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1006"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6"/>
          <w:szCs w:val="16"/>
          <w:color w:val="auto"/>
        </w:rPr>
        <w:t>Exercise of Warrants</w:t>
      </w:r>
    </w:p>
    <w:p>
      <w:pPr>
        <w:spacing w:after="0" w:line="183" w:lineRule="exact"/>
        <w:rPr>
          <w:sz w:val="20"/>
          <w:szCs w:val="20"/>
          <w:color w:val="auto"/>
        </w:rPr>
      </w:pPr>
    </w:p>
    <w:p>
      <w:pPr>
        <w:ind w:right="2879" w:firstLine="837"/>
        <w:spacing w:after="0" w:line="274" w:lineRule="auto"/>
        <w:rPr>
          <w:sz w:val="20"/>
          <w:szCs w:val="20"/>
          <w:color w:val="auto"/>
        </w:rPr>
      </w:pPr>
      <w:r>
        <w:rPr>
          <w:rFonts w:ascii="Courier New" w:cs="Courier New" w:eastAsia="Courier New" w:hAnsi="Courier New"/>
          <w:sz w:val="14"/>
          <w:szCs w:val="14"/>
          <w:color w:val="auto"/>
        </w:rPr>
        <w:t>Each warrant will entitle the holder to purchase such principal amount of debt securities or such number of shares of common stock at such exercise price as shall in each case be set forth in, or can be calculated according to information contained in, the prospectus supplement relating to the warrant. Warrants may be exercised at such times as are set forth in the prospectus supplement relating to such warrants. After the close of business on the expiration date of the warrants, or such later date to which such expiration date may be extended by ClearOne, unexercised warrants will become void.</w:t>
      </w:r>
    </w:p>
    <w:p>
      <w:pPr>
        <w:spacing w:after="0" w:line="162" w:lineRule="exact"/>
        <w:rPr>
          <w:sz w:val="20"/>
          <w:szCs w:val="20"/>
          <w:color w:val="auto"/>
        </w:rPr>
      </w:pPr>
    </w:p>
    <w:p>
      <w:pPr>
        <w:ind w:right="2779" w:firstLine="837"/>
        <w:spacing w:after="0" w:line="272" w:lineRule="auto"/>
        <w:rPr>
          <w:sz w:val="20"/>
          <w:szCs w:val="20"/>
          <w:color w:val="auto"/>
        </w:rPr>
      </w:pPr>
      <w:r>
        <w:rPr>
          <w:rFonts w:ascii="Courier New" w:cs="Courier New" w:eastAsia="Courier New" w:hAnsi="Courier New"/>
          <w:sz w:val="14"/>
          <w:szCs w:val="14"/>
          <w:color w:val="auto"/>
        </w:rPr>
        <w:t>Subject to any restrictions and additional requirements that may be set forth in the prospectus supplement, warrants may be exercised by delivery to the warrant agent of the certificate evidencing such warrants properly completed and duly executed and of payment as provided in the prospectus supplement of the amount required to purchase the debt securities or common stock purchasable upon such exercise. The exercise price will be the price applicable on the date of payment in full, as set forth in the prospectus supplement relating to the warrants. Upon receipt of such payment and the certificate representing the warrants to be exercised, properly completed and duly executed at the corporate trust office of the warrant agent or any other office indicated in the prospectus supplement, ClearOne will, as soon as practicable, issue and deliver the debt securities or common stock purchasable upon such exercise. If fewer than all of the warrants represented by such certificate are exercised, a new certificate will be issued for the remaining amount of warrants.</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Additional Provisions</w:t>
      </w:r>
    </w:p>
    <w:p>
      <w:pPr>
        <w:spacing w:after="0" w:line="183"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The exercise price payable and the number of shares of common stock purchasable upon the exercise of each stock warrant will be subject to adjustment in certain events, as described in the prospectus supplement, including the issuance of the stock dividend to holders of common stock, respectively, or a combination, subdivision or reclassification of common stock. In lieu of adjusting the number of shares of common stock purchasable upon exercise of each stock warrant, we may elect to adjust the number of stock warrants. No adjustment in the number of shares purchasable upon exercise of the stock warrants will be required until cumulative adjustments require an adjustment of at least 1% thereof. We may, at our option, reduce the exercise price at any time. No fractional shares will be issued upon exercise of stock warrants, but we will pay the cash value of any fractional shares otherwise issuable. Notwithstanding the foregoing, in case of any consolidation, merger, or sale or conveyance of the property of ClearOne as an entirety or substantially as an entirety, the holder of each outstanding stock warrant shall have the right upon the exercise thereof to the kind and amount of shares of stock and other securities and property, including cash, receivable by a holder of the number of shares of common stock into which such stock warrants were exercisable immediately prior thereto.</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Rights as Holders of Securities</w:t>
      </w:r>
    </w:p>
    <w:p>
      <w:pPr>
        <w:spacing w:after="0" w:line="183" w:lineRule="exact"/>
        <w:rPr>
          <w:sz w:val="20"/>
          <w:szCs w:val="20"/>
          <w:color w:val="auto"/>
        </w:rPr>
      </w:pPr>
    </w:p>
    <w:p>
      <w:pPr>
        <w:ind w:right="2779" w:firstLine="837"/>
        <w:spacing w:after="0" w:line="235" w:lineRule="auto"/>
        <w:rPr>
          <w:sz w:val="20"/>
          <w:szCs w:val="20"/>
          <w:color w:val="auto"/>
        </w:rPr>
      </w:pPr>
      <w:r>
        <w:rPr>
          <w:rFonts w:ascii="Courier New" w:cs="Courier New" w:eastAsia="Courier New" w:hAnsi="Courier New"/>
          <w:sz w:val="16"/>
          <w:szCs w:val="16"/>
          <w:color w:val="auto"/>
        </w:rPr>
        <w:t>Holders of stock warrants will not be entitled, by virtue of being such holders, to vote, to consent, to receive dividends, to receive notice as stockholders with respect to any meeting of stockholders for the election of directors of ClearOne or any other matter, or to exercise any rights whatsoever as stockholders of ClearOne.</w:t>
      </w:r>
    </w:p>
    <w:p>
      <w:pPr>
        <w:spacing w:after="0" w:line="186" w:lineRule="exact"/>
        <w:rPr>
          <w:sz w:val="20"/>
          <w:szCs w:val="20"/>
          <w:color w:val="auto"/>
        </w:rPr>
      </w:pPr>
    </w:p>
    <w:p>
      <w:pPr>
        <w:ind w:right="2879" w:firstLine="837"/>
        <w:spacing w:after="0" w:line="235" w:lineRule="auto"/>
        <w:rPr>
          <w:sz w:val="20"/>
          <w:szCs w:val="20"/>
          <w:color w:val="auto"/>
        </w:rPr>
      </w:pPr>
      <w:r>
        <w:rPr>
          <w:rFonts w:ascii="Courier New" w:cs="Courier New" w:eastAsia="Courier New" w:hAnsi="Courier New"/>
          <w:sz w:val="16"/>
          <w:szCs w:val="16"/>
          <w:color w:val="auto"/>
        </w:rPr>
        <w:t>Holders of debt warrants will not be entitled, by virtue of being such holders, to vote, to consent, to receive payment of principal, interest, or premium if any, on the underlying securities or to exercise any rights whatsoever as holders of the underlying securities.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Modifications to Warrants</w:t>
      </w:r>
    </w:p>
    <w:p>
      <w:pPr>
        <w:spacing w:after="0" w:line="183" w:lineRule="exact"/>
        <w:rPr>
          <w:sz w:val="20"/>
          <w:szCs w:val="20"/>
          <w:color w:val="auto"/>
        </w:rPr>
      </w:pPr>
    </w:p>
    <w:p>
      <w:pPr>
        <w:ind w:right="2779" w:firstLine="837"/>
        <w:spacing w:after="0" w:line="234" w:lineRule="auto"/>
        <w:rPr>
          <w:sz w:val="20"/>
          <w:szCs w:val="20"/>
          <w:color w:val="auto"/>
        </w:rPr>
      </w:pPr>
      <w:r>
        <w:rPr>
          <w:rFonts w:ascii="Courier New" w:cs="Courier New" w:eastAsia="Courier New" w:hAnsi="Courier New"/>
          <w:sz w:val="16"/>
          <w:szCs w:val="16"/>
          <w:color w:val="auto"/>
        </w:rPr>
        <w:t>There are three types of changes we can make to a warrant agreement and the warrants issued thereunder.</w:t>
      </w:r>
    </w:p>
    <w:p>
      <w:pPr>
        <w:spacing w:after="0" w:line="183" w:lineRule="exact"/>
        <w:rPr>
          <w:sz w:val="20"/>
          <w:szCs w:val="20"/>
          <w:color w:val="auto"/>
        </w:rPr>
      </w:pPr>
    </w:p>
    <w:p>
      <w:pPr>
        <w:ind w:right="3159" w:firstLine="837"/>
        <w:spacing w:after="0" w:line="235" w:lineRule="auto"/>
        <w:rPr>
          <w:sz w:val="20"/>
          <w:szCs w:val="20"/>
          <w:color w:val="auto"/>
        </w:rPr>
      </w:pPr>
      <w:r>
        <w:rPr>
          <w:rFonts w:ascii="Courier New" w:cs="Courier New" w:eastAsia="Courier New" w:hAnsi="Courier New"/>
          <w:sz w:val="16"/>
          <w:szCs w:val="16"/>
          <w:color w:val="auto"/>
        </w:rPr>
        <w:t>Changes Requiring Approval of Each Holder. First, with respect to a specific title of warrants, there are changes that cannot be made to the warrants without the approval of each holder of the warrants of such title. Those types of changes include modifications and amendments that:</w:t>
      </w:r>
    </w:p>
    <w:p>
      <w:pPr>
        <w:spacing w:after="0" w:line="185" w:lineRule="exact"/>
        <w:rPr>
          <w:sz w:val="20"/>
          <w:szCs w:val="20"/>
          <w:color w:val="auto"/>
        </w:rPr>
      </w:pPr>
    </w:p>
    <w:p>
      <w:pPr>
        <w:ind w:left="3620" w:right="6039" w:hanging="2787"/>
        <w:spacing w:after="0" w:line="538" w:lineRule="auto"/>
        <w:tabs>
          <w:tab w:leader="none" w:pos="1294"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accelerate the expiration date; 22</w:t>
      </w:r>
    </w:p>
    <w:p>
      <w:pPr>
        <w:sectPr>
          <w:pgSz w:w="11900" w:h="16838" w:orient="portrait"/>
          <w:cols w:equalWidth="0" w:num="1">
            <w:col w:w="10219"/>
          </w:cols>
          <w:pgMar w:left="240" w:top="648" w:right="1440" w:bottom="1440" w:gutter="0" w:footer="0" w:header="0"/>
        </w:sectPr>
      </w:pPr>
    </w:p>
    <w:bookmarkStart w:id="27" w:name="page28"/>
    <w:bookmarkEnd w:id="27"/>
    <w:p>
      <w:pPr>
        <w:jc w:val="both"/>
        <w:ind w:left="1300" w:right="3239" w:hanging="467"/>
        <w:spacing w:after="0" w:line="295" w:lineRule="auto"/>
        <w:tabs>
          <w:tab w:leader="none" w:pos="130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percentage of holders of outstanding debt warrants whose consent is required for a modification or amendment; or</w:t>
      </w:r>
    </w:p>
    <w:p>
      <w:pPr>
        <w:spacing w:after="0" w:line="146" w:lineRule="exact"/>
        <w:rPr>
          <w:rFonts w:ascii="Courier New" w:cs="Courier New" w:eastAsia="Courier New" w:hAnsi="Courier New"/>
          <w:sz w:val="14"/>
          <w:szCs w:val="14"/>
          <w:color w:val="auto"/>
        </w:rPr>
      </w:pPr>
    </w:p>
    <w:p>
      <w:pPr>
        <w:ind w:left="1300" w:right="2879" w:hanging="467"/>
        <w:spacing w:after="0" w:line="234" w:lineRule="auto"/>
        <w:tabs>
          <w:tab w:leader="none" w:pos="130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otherwise materially and adversely affect other terms that may be set forth in the prospectus supplement.</w:t>
      </w:r>
    </w:p>
    <w:p>
      <w:pPr>
        <w:spacing w:after="0" w:line="183" w:lineRule="exact"/>
        <w:rPr>
          <w:sz w:val="20"/>
          <w:szCs w:val="20"/>
          <w:color w:val="auto"/>
        </w:rPr>
      </w:pPr>
    </w:p>
    <w:p>
      <w:pPr>
        <w:ind w:right="2879" w:firstLine="837"/>
        <w:spacing w:after="0" w:line="235" w:lineRule="auto"/>
        <w:rPr>
          <w:sz w:val="20"/>
          <w:szCs w:val="20"/>
          <w:color w:val="auto"/>
        </w:rPr>
      </w:pPr>
      <w:r>
        <w:rPr>
          <w:rFonts w:ascii="Courier New" w:cs="Courier New" w:eastAsia="Courier New" w:hAnsi="Courier New"/>
          <w:sz w:val="16"/>
          <w:szCs w:val="16"/>
          <w:color w:val="auto"/>
        </w:rPr>
        <w:t>Changes Not Requiring Approval. The second type of change does not require any vote by holders of the warrants. This type of change is limited to clarifications and other changes that would not materially adversely affect the interests of holders of the warrants.</w:t>
      </w:r>
    </w:p>
    <w:p>
      <w:pPr>
        <w:spacing w:after="0" w:line="185" w:lineRule="exact"/>
        <w:rPr>
          <w:sz w:val="20"/>
          <w:szCs w:val="20"/>
          <w:color w:val="auto"/>
        </w:rPr>
      </w:pPr>
    </w:p>
    <w:p>
      <w:pPr>
        <w:ind w:right="2779" w:firstLine="837"/>
        <w:spacing w:after="0" w:line="235" w:lineRule="auto"/>
        <w:rPr>
          <w:sz w:val="20"/>
          <w:szCs w:val="20"/>
          <w:color w:val="auto"/>
        </w:rPr>
      </w:pPr>
      <w:r>
        <w:rPr>
          <w:rFonts w:ascii="Courier New" w:cs="Courier New" w:eastAsia="Courier New" w:hAnsi="Courier New"/>
          <w:sz w:val="16"/>
          <w:szCs w:val="16"/>
          <w:color w:val="auto"/>
        </w:rPr>
        <w:t>Changes Requiring a Majority Vote. Any other change to a warrant agreement and the warrants requires a vote in favor by holders of not fewer than a majority in number of the then outstanding unexercised warrants affected thereby. Most changes fall into this category.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833" w:right="1440" w:bottom="1440" w:gutter="0" w:footer="0" w:header="0"/>
        </w:sectPr>
      </w:pPr>
    </w:p>
    <w:bookmarkStart w:id="28" w:name="page29"/>
    <w:bookmarkEnd w:id="28"/>
    <w:p>
      <w:pPr>
        <w:ind w:left="2505"/>
        <w:spacing w:after="0"/>
        <w:rPr>
          <w:sz w:val="20"/>
          <w:szCs w:val="20"/>
          <w:color w:val="auto"/>
        </w:rPr>
      </w:pPr>
      <w:r>
        <w:rPr>
          <w:rFonts w:ascii="Courier New" w:cs="Courier New" w:eastAsia="Courier New" w:hAnsi="Courier New"/>
          <w:sz w:val="16"/>
          <w:szCs w:val="16"/>
          <w:color w:val="auto"/>
        </w:rPr>
        <w:t>DESCRIPTION OF COMMON STOCK</w:t>
      </w:r>
    </w:p>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General</w:t>
      </w:r>
    </w:p>
    <w:p>
      <w:pPr>
        <w:spacing w:after="0" w:line="183" w:lineRule="exact"/>
        <w:rPr>
          <w:sz w:val="20"/>
          <w:szCs w:val="20"/>
          <w:color w:val="auto"/>
        </w:rPr>
      </w:pPr>
    </w:p>
    <w:p>
      <w:pPr>
        <w:ind w:left="5" w:right="2779" w:firstLine="837"/>
        <w:spacing w:after="0" w:line="236" w:lineRule="auto"/>
        <w:rPr>
          <w:sz w:val="20"/>
          <w:szCs w:val="20"/>
          <w:color w:val="auto"/>
        </w:rPr>
      </w:pPr>
      <w:r>
        <w:rPr>
          <w:rFonts w:ascii="Courier New" w:cs="Courier New" w:eastAsia="Courier New" w:hAnsi="Courier New"/>
          <w:sz w:val="16"/>
          <w:szCs w:val="16"/>
          <w:color w:val="auto"/>
        </w:rPr>
        <w:t>We are authorized to issue 50,000,000 shares of common stock, par value of $0.001 per share. As of September 30, 2002, there were 11,197,134 shares of common stock outstanding held by approximately 455 stockholders of record. The following discussion describes provisions of ClearOne's articles of incorporation and bylaws and the Utah Revised Business Corporation Act (the "URBCA").</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Voting Rights of Common Stock</w:t>
      </w:r>
    </w:p>
    <w:p>
      <w:pPr>
        <w:spacing w:after="0" w:line="183" w:lineRule="exact"/>
        <w:rPr>
          <w:sz w:val="20"/>
          <w:szCs w:val="20"/>
          <w:color w:val="auto"/>
        </w:rPr>
      </w:pPr>
    </w:p>
    <w:p>
      <w:pPr>
        <w:ind w:left="5" w:right="2779" w:firstLine="837"/>
        <w:spacing w:after="0" w:line="274" w:lineRule="auto"/>
        <w:rPr>
          <w:sz w:val="20"/>
          <w:szCs w:val="20"/>
          <w:color w:val="auto"/>
        </w:rPr>
      </w:pPr>
      <w:r>
        <w:rPr>
          <w:rFonts w:ascii="Courier New" w:cs="Courier New" w:eastAsia="Courier New" w:hAnsi="Courier New"/>
          <w:sz w:val="14"/>
          <w:szCs w:val="14"/>
          <w:color w:val="auto"/>
        </w:rPr>
        <w:t>Holders of the common stock are entitled to one vote per share on all matters submitted to a vote of stockholders generally. The rights of holders of common stock may be modified otherwise than by a vote of the majority or more of the shares of common stock outstanding. The rights of holders may be modified at a meeting of common stockholders if a quorum exists and the votes cast for such modification exceed the votes cast against such modification. A majority of the votes entitled to be cast upon a matter constitutes a quorum.</w:t>
      </w:r>
    </w:p>
    <w:p>
      <w:pPr>
        <w:spacing w:after="0" w:line="158"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Dividends on Common Stock</w:t>
      </w:r>
    </w:p>
    <w:p>
      <w:pPr>
        <w:spacing w:after="0" w:line="183" w:lineRule="exact"/>
        <w:rPr>
          <w:sz w:val="20"/>
          <w:szCs w:val="20"/>
          <w:color w:val="auto"/>
        </w:rPr>
      </w:pPr>
    </w:p>
    <w:p>
      <w:pPr>
        <w:ind w:left="5" w:right="2879" w:firstLine="837"/>
        <w:spacing w:after="0" w:line="236" w:lineRule="auto"/>
        <w:rPr>
          <w:sz w:val="20"/>
          <w:szCs w:val="20"/>
          <w:color w:val="auto"/>
        </w:rPr>
      </w:pPr>
      <w:r>
        <w:rPr>
          <w:rFonts w:ascii="Courier New" w:cs="Courier New" w:eastAsia="Courier New" w:hAnsi="Courier New"/>
          <w:sz w:val="16"/>
          <w:szCs w:val="16"/>
          <w:color w:val="auto"/>
        </w:rPr>
        <w:t>The holders of the common stock are entitled to receive, pro rata, dividends as may be declared by our Board of Directors out of funds legally available for the payment of dividends. However, we are prohibited by the terms of our revolving credit loan from paying a dividend on our common stock. As of the date of this prospectus we have not, nor do we intend to, make dividend payments of common stock.</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Other Provisions and Information Applicable to the Common Stock</w:t>
      </w:r>
    </w:p>
    <w:p>
      <w:pPr>
        <w:spacing w:after="0" w:line="183" w:lineRule="exact"/>
        <w:rPr>
          <w:sz w:val="20"/>
          <w:szCs w:val="20"/>
          <w:color w:val="auto"/>
        </w:rPr>
      </w:pPr>
    </w:p>
    <w:p>
      <w:pPr>
        <w:ind w:left="5" w:right="2779" w:firstLine="837"/>
        <w:spacing w:after="0" w:line="235" w:lineRule="auto"/>
        <w:rPr>
          <w:sz w:val="20"/>
          <w:szCs w:val="20"/>
          <w:color w:val="auto"/>
        </w:rPr>
      </w:pPr>
      <w:r>
        <w:rPr>
          <w:rFonts w:ascii="Courier New" w:cs="Courier New" w:eastAsia="Courier New" w:hAnsi="Courier New"/>
          <w:sz w:val="16"/>
          <w:szCs w:val="16"/>
          <w:color w:val="auto"/>
        </w:rPr>
        <w:t>There are no preemptive rights to subscribe for any additional securities that we may issue. There are no redemption provisions or sinking fund provisions applicable to the common stock, nor is the common stock subject to calls or assessments by ClearOne.</w:t>
      </w:r>
    </w:p>
    <w:p>
      <w:pPr>
        <w:spacing w:after="0" w:line="185" w:lineRule="exact"/>
        <w:rPr>
          <w:sz w:val="20"/>
          <w:szCs w:val="20"/>
          <w:color w:val="auto"/>
        </w:rPr>
      </w:pPr>
    </w:p>
    <w:p>
      <w:pPr>
        <w:ind w:left="5" w:right="2959" w:firstLine="837"/>
        <w:spacing w:after="0" w:line="235" w:lineRule="auto"/>
        <w:rPr>
          <w:sz w:val="20"/>
          <w:szCs w:val="20"/>
          <w:color w:val="auto"/>
        </w:rPr>
      </w:pPr>
      <w:r>
        <w:rPr>
          <w:rFonts w:ascii="Courier New" w:cs="Courier New" w:eastAsia="Courier New" w:hAnsi="Courier New"/>
          <w:sz w:val="16"/>
          <w:szCs w:val="16"/>
          <w:color w:val="auto"/>
        </w:rPr>
        <w:t>In the event of any liquidation, dissolution or winding-up of the affairs of ClearOne, holders of common stock will be entitled to share ratably in the assets of ClearOne remaining after payment or provision for payment of all of ClearOne's debts and obligations.</w:t>
      </w:r>
    </w:p>
    <w:p>
      <w:pPr>
        <w:spacing w:after="0" w:line="185" w:lineRule="exact"/>
        <w:rPr>
          <w:sz w:val="20"/>
          <w:szCs w:val="20"/>
          <w:color w:val="auto"/>
        </w:rPr>
      </w:pPr>
    </w:p>
    <w:p>
      <w:pPr>
        <w:ind w:left="5" w:right="2779" w:firstLine="837"/>
        <w:spacing w:after="0" w:line="272" w:lineRule="auto"/>
        <w:rPr>
          <w:sz w:val="20"/>
          <w:szCs w:val="20"/>
          <w:color w:val="auto"/>
        </w:rPr>
      </w:pPr>
      <w:r>
        <w:rPr>
          <w:rFonts w:ascii="Courier New" w:cs="Courier New" w:eastAsia="Courier New" w:hAnsi="Courier New"/>
          <w:sz w:val="14"/>
          <w:szCs w:val="14"/>
          <w:color w:val="auto"/>
        </w:rPr>
        <w:t>Under the URBCA, in connection with a merger, share exchange or sale, lease, exchange or other disposition of all or substantially all of the assets of a corporation (other than in the ordinary course of the corporation's business), a dissenting stockholder, after complying with certain procedures, is entitled to payment from the corporation of the fair value of the stockholder's shares. The fair value is estimated by the corporation. However, if the stockholder is unwilling to accept the corporation's estimate, the stockholder may provide the corporation with an estimate of the fair value and demand payment of that amount. If the corporation is unwilling to pay that amount, the corporation shall apply for a judicial determination of the fair value. Unless the articles of incorporation, bylaws or a resolution of the board of directors provide otherwise, stockholders are not entitled to dissenters' rights when the shares are listed on a national securities exchange or the National Market System of NASDAQ, or are held of record by more than 2,000 holders. However, this exception does not apply if, pursuant to the corporate action, the stockholder will receive anything other than: (i) shares of the surviving corporation; (ii) shares of a corporation that is or will be listed on a national securities exchange, the National Market System of NASDAQ, or held of record by more than 2,000 holders; (iii) cash in lieu of fractional shares; or</w:t>
      </w:r>
    </w:p>
    <w:p>
      <w:pPr>
        <w:spacing w:after="0" w:line="343" w:lineRule="exact"/>
        <w:rPr>
          <w:sz w:val="20"/>
          <w:szCs w:val="20"/>
          <w:color w:val="auto"/>
        </w:rPr>
      </w:pPr>
    </w:p>
    <w:p>
      <w:pPr>
        <w:ind w:left="5" w:right="6679" w:hanging="5"/>
        <w:spacing w:after="0" w:line="541" w:lineRule="auto"/>
        <w:tabs>
          <w:tab w:leader="none" w:pos="47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combination of the foregoing. Certain Anti-Takeover Provisions</w:t>
      </w:r>
    </w:p>
    <w:p>
      <w:pPr>
        <w:spacing w:after="0" w:line="1" w:lineRule="exact"/>
        <w:rPr>
          <w:sz w:val="20"/>
          <w:szCs w:val="20"/>
          <w:color w:val="auto"/>
        </w:rPr>
      </w:pPr>
    </w:p>
    <w:p>
      <w:pPr>
        <w:ind w:left="5" w:right="3059" w:firstLine="837"/>
        <w:spacing w:after="0" w:line="276" w:lineRule="auto"/>
        <w:rPr>
          <w:sz w:val="20"/>
          <w:szCs w:val="20"/>
          <w:color w:val="auto"/>
        </w:rPr>
      </w:pPr>
      <w:r>
        <w:rPr>
          <w:rFonts w:ascii="Courier New" w:cs="Courier New" w:eastAsia="Courier New" w:hAnsi="Courier New"/>
          <w:sz w:val="14"/>
          <w:szCs w:val="14"/>
          <w:color w:val="auto"/>
        </w:rPr>
        <w:t>The provisions of ClearOne's articles of incorporation and bylaws do not contain anti-takeover provisions. ClearOne's articles of incorporation provide that the number of directors shall not exceed nine and shall be fixed from time to time by resolution by the board of directors. ClearOne's bylaws provide that directors may be removed with or without cause. Removal of a</w:t>
      </w:r>
    </w:p>
    <w:p>
      <w:pPr>
        <w:spacing w:after="0" w:line="334"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24"/>
          </w:cols>
          <w:pgMar w:left="235" w:top="827" w:right="1440" w:bottom="1440" w:gutter="0" w:footer="0" w:header="0"/>
        </w:sectPr>
      </w:pPr>
    </w:p>
    <w:bookmarkStart w:id="29" w:name="page30"/>
    <w:bookmarkEnd w:id="29"/>
    <w:p>
      <w:pPr>
        <w:ind w:left="5" w:right="2779"/>
        <w:spacing w:after="0" w:line="234" w:lineRule="auto"/>
        <w:rPr>
          <w:sz w:val="20"/>
          <w:szCs w:val="20"/>
          <w:color w:val="auto"/>
        </w:rPr>
      </w:pPr>
      <w:r>
        <w:rPr>
          <w:rFonts w:ascii="Courier New" w:cs="Courier New" w:eastAsia="Courier New" w:hAnsi="Courier New"/>
          <w:sz w:val="16"/>
          <w:szCs w:val="16"/>
          <w:color w:val="auto"/>
        </w:rPr>
        <w:t>director requires that the votes cast by the stockholders to remove the director exceed the number of votes cast not to remove the director.</w:t>
      </w:r>
    </w:p>
    <w:p>
      <w:pPr>
        <w:spacing w:after="0" w:line="183" w:lineRule="exact"/>
        <w:rPr>
          <w:sz w:val="20"/>
          <w:szCs w:val="20"/>
          <w:color w:val="auto"/>
        </w:rPr>
      </w:pPr>
    </w:p>
    <w:p>
      <w:pPr>
        <w:ind w:left="5" w:right="2779" w:firstLine="837"/>
        <w:spacing w:after="0" w:line="271" w:lineRule="auto"/>
        <w:rPr>
          <w:sz w:val="20"/>
          <w:szCs w:val="20"/>
          <w:color w:val="auto"/>
        </w:rPr>
      </w:pPr>
      <w:r>
        <w:rPr>
          <w:rFonts w:ascii="Courier New" w:cs="Courier New" w:eastAsia="Courier New" w:hAnsi="Courier New"/>
          <w:sz w:val="14"/>
          <w:szCs w:val="14"/>
          <w:color w:val="auto"/>
        </w:rPr>
        <w:t>The Utah Control Share Acquisition Act (the "Share Acquisition Act"), set forth in Sections 61-6-1 through 61-6-12 of the Utah Code Annotated, generally provides that, when any person obtains shares (or the power to direct the voting of shares) of "an issuing public corporation" such that the person's voting power equals or exceeds any of three levels (20%, 331/3% or 50%), the ability to vote (or to direct the voting of) the "control shares" is conditioned on the approval by a majority of the corporation's shares (voting in voting groups, if applicable), excluding the "interested shares." Stockholder approval may occur at the next annual or special meeting of the stockholders, or, if the acquiring person requests and agrees to pay the associated costs of the corporation, at a special meeting of the stockholders to be held within 50 days of the corporation's receipt of the request by an acquiring person. If authorized by the articles of incorporation or the bylaws, the corporation may redeem "control shares" at the fair market value if the acquiring person fails to file an "acquiring person statement" or if the stockholders do not grant voting rights to control shares. The ClearOne articles of incorporation and bylaws make no reference to the Share Acquisition Act. If the stockholders grant voting rights to the control shares, and if the acquiring person obtained a majority of the voting power, stockholders may be entitled to dissenters' rights under the URBCA. An acquisition of shares does not constitute a control share acquisition within the meaning of the Share Acquisition Act if (1) the corporation's article of incorporation of bylaws provide that the Share Acquisition Act does not apply; (2) the acquisition is consummated pursuant to a merger in accordance with the URBCA; or (3) under certain other specified circumstances.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Limitation of Liability of Directors</w:t>
      </w:r>
    </w:p>
    <w:p>
      <w:pPr>
        <w:spacing w:after="0" w:line="183" w:lineRule="exact"/>
        <w:rPr>
          <w:sz w:val="20"/>
          <w:szCs w:val="20"/>
          <w:color w:val="auto"/>
        </w:rPr>
      </w:pPr>
    </w:p>
    <w:p>
      <w:pPr>
        <w:ind w:left="5" w:right="2779" w:firstLine="837"/>
        <w:spacing w:after="0" w:line="272" w:lineRule="auto"/>
        <w:rPr>
          <w:sz w:val="20"/>
          <w:szCs w:val="20"/>
          <w:color w:val="auto"/>
        </w:rPr>
      </w:pPr>
      <w:r>
        <w:rPr>
          <w:rFonts w:ascii="Courier New" w:cs="Courier New" w:eastAsia="Courier New" w:hAnsi="Courier New"/>
          <w:sz w:val="14"/>
          <w:szCs w:val="14"/>
          <w:color w:val="auto"/>
        </w:rPr>
        <w:t>The URBCA provides that a director or officer of a Utah corporation is not liable to the corporation or its stockholders for any action taken, or any failure to take any action, as an officer or director, unless (1) the director or officer has breached or failed to perform the duties of the office (which requires that the director or officer acted (A) in good faith, (B) with the care an ordinary prudent person in like position would exercise under similar circumstances and (C) in a manner that the director or officer reasonably believes to be in the best interest of the corporation), and (2) the breach or failure to perform constitutes gross negligence, willful misconduct or intentional infliction of harm on the corporation or the stockholders. The URBCA permits a corporation to eliminate or limit the liability of a director to the corporation or its stockholders for monetary damages for any action taken or failure to take any action, as a director, except liability for (1) the amount of a financial benefit received by a director to which he is not entitled; (2) an intentional infliction of harm on the corporation or its stockholders; (3) voting for or assenting to an unlawful distribution of assets as defined under the URBCA, or (4) an intentional violation of criminal law. ClearOne has not limited such liability for its directors.</w:t>
      </w:r>
    </w:p>
    <w:p>
      <w:pPr>
        <w:spacing w:after="0" w:line="200" w:lineRule="exact"/>
        <w:rPr>
          <w:sz w:val="20"/>
          <w:szCs w:val="20"/>
          <w:color w:val="auto"/>
        </w:rPr>
      </w:pPr>
    </w:p>
    <w:p>
      <w:pPr>
        <w:spacing w:after="0" w:line="31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Indemnification of Directors and Officers</w:t>
      </w:r>
    </w:p>
    <w:p>
      <w:pPr>
        <w:spacing w:after="0" w:line="183" w:lineRule="exact"/>
        <w:rPr>
          <w:sz w:val="20"/>
          <w:szCs w:val="20"/>
          <w:color w:val="auto"/>
        </w:rPr>
      </w:pPr>
    </w:p>
    <w:p>
      <w:pPr>
        <w:ind w:left="5" w:right="2879" w:firstLine="837"/>
        <w:spacing w:after="0" w:line="270" w:lineRule="auto"/>
        <w:rPr>
          <w:sz w:val="20"/>
          <w:szCs w:val="20"/>
          <w:color w:val="auto"/>
        </w:rPr>
      </w:pPr>
      <w:r>
        <w:rPr>
          <w:rFonts w:ascii="Courier New" w:cs="Courier New" w:eastAsia="Courier New" w:hAnsi="Courier New"/>
          <w:sz w:val="14"/>
          <w:szCs w:val="14"/>
          <w:color w:val="auto"/>
        </w:rPr>
        <w:t>The ClearOne bylaws provide that it shall indemnify an individual made a party to a proceeding because he is or was a director, against any liability incurred in the proceeding if (1) the individual's conduct was in good faith;</w:t>
      </w:r>
    </w:p>
    <w:p>
      <w:pPr>
        <w:spacing w:after="0" w:line="1" w:lineRule="exact"/>
        <w:rPr>
          <w:sz w:val="20"/>
          <w:szCs w:val="20"/>
          <w:color w:val="auto"/>
        </w:rPr>
      </w:pPr>
    </w:p>
    <w:p>
      <w:pPr>
        <w:ind w:left="5" w:right="2779" w:hanging="5"/>
        <w:spacing w:after="0" w:line="272" w:lineRule="auto"/>
        <w:tabs>
          <w:tab w:leader="none" w:pos="377"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individual reasonably believed that his conduct was in, or not opposed to, the corporation's best interests; and (3) in the case of a criminal proceeding he had no reasonable cause to believe his conduct was unlawful; provided, however, that (x) in the case of an action by or in the right of the corporation, indemnification is limited to reasonable expenses incurred in connection with the proceeding and (y) the corporation may not, unless authorized by a court of competent jurisdiction, indemnify an individual (A) in connection with a proceeding by or in the right of the corporation in which the individual was adjudged liable to the corporation or (B) in connection with any other proceeding in which the individual is adjudged liable on the basis that he derived an improper personal benefit. In a judicial proceeding under the foregoing clause (y), in order to authorize indemnification, the court must determine that the individual is fairly and reasonably entitled to indemnification in view of all the relevant circumstances. A director is entitled to mandatory indemnification if he was successful, on the merits or otherwise, in the defense of any proceeding, or in the defense of any claim, issue or matter in the proceeding to which he was a party because he is or was a director of ClearOne, against the reasonable expenses incurred by him in connection with the proceeding or claim with respect to which he was successful. ClearOne must also advance a director expenses under certain circumstances. ClearOne may also indemnify and advance expenses to an officer, employee or agent to any extent consistent with public policy.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24"/>
          </w:cols>
          <w:pgMar w:left="235" w:top="654" w:right="1440" w:bottom="1440" w:gutter="0" w:footer="0" w:header="0"/>
        </w:sectPr>
      </w:pPr>
    </w:p>
    <w:bookmarkStart w:id="30" w:name="page31"/>
    <w:bookmarkEnd w:id="30"/>
    <w:p>
      <w:pPr>
        <w:ind w:right="2879" w:firstLine="837"/>
        <w:spacing w:after="0" w:line="235" w:lineRule="auto"/>
        <w:rPr>
          <w:sz w:val="20"/>
          <w:szCs w:val="20"/>
          <w:color w:val="auto"/>
        </w:rPr>
      </w:pPr>
      <w:r>
        <w:rPr>
          <w:rFonts w:ascii="Courier New" w:cs="Courier New" w:eastAsia="Courier New" w:hAnsi="Courier New"/>
          <w:sz w:val="16"/>
          <w:szCs w:val="16"/>
          <w:color w:val="auto"/>
        </w:rPr>
        <w:t>The ClearOne articles of incorporation provide that ClearOne will indemnify a director against any liability that may arise as a result of such director contracting with ClearOne for the benefit of himself or any firm, association or corporation in which such director may be interested in any way, provided such director acts in good faith.</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Transfer Agent and Registrar</w:t>
      </w:r>
    </w:p>
    <w:p>
      <w:pPr>
        <w:spacing w:after="0" w:line="183" w:lineRule="exact"/>
        <w:rPr>
          <w:sz w:val="20"/>
          <w:szCs w:val="20"/>
          <w:color w:val="auto"/>
        </w:rPr>
      </w:pPr>
    </w:p>
    <w:p>
      <w:pPr>
        <w:ind w:right="3339" w:firstLine="837"/>
        <w:spacing w:after="0" w:line="234" w:lineRule="auto"/>
        <w:rPr>
          <w:sz w:val="20"/>
          <w:szCs w:val="20"/>
          <w:color w:val="auto"/>
        </w:rPr>
      </w:pPr>
      <w:r>
        <w:rPr>
          <w:rFonts w:ascii="Courier New" w:cs="Courier New" w:eastAsia="Courier New" w:hAnsi="Courier New"/>
          <w:sz w:val="16"/>
          <w:szCs w:val="16"/>
          <w:color w:val="auto"/>
        </w:rPr>
        <w:t>American Stock Transfer &amp; Trust Company is the transfer agent and registrar for ClearOne's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654" w:right="1440" w:bottom="1440" w:gutter="0" w:footer="0" w:header="0"/>
        </w:sectPr>
      </w:pPr>
    </w:p>
    <w:bookmarkStart w:id="31" w:name="page32"/>
    <w:bookmarkEnd w:id="31"/>
    <w:p>
      <w:pPr>
        <w:ind w:left="2780"/>
        <w:spacing w:after="0"/>
        <w:rPr>
          <w:sz w:val="20"/>
          <w:szCs w:val="20"/>
          <w:color w:val="auto"/>
        </w:rPr>
      </w:pPr>
      <w:r>
        <w:rPr>
          <w:rFonts w:ascii="Courier New" w:cs="Courier New" w:eastAsia="Courier New" w:hAnsi="Courier New"/>
          <w:sz w:val="16"/>
          <w:szCs w:val="16"/>
          <w:color w:val="auto"/>
        </w:rPr>
        <w:t>PLAN OF DISTRIBUTION</w:t>
      </w:r>
    </w:p>
    <w:p>
      <w:pPr>
        <w:spacing w:after="0" w:line="362"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We may sell the securities to one or more underwriters for public offering or to investors directly or through agents. The name of any such underwriter or agent involved in the offer and sale of the securities, the amounts underwritten and the nature of its obligation to take the securities will be named in the applicable prospectus supplement. We have reserved the right to sell the securities directly to investors on our own behalf in those jurisdictions where we are authorized to do so. The sale of the securities may be effected in transactions (a) on any national or international securities exchange or quotation service on which the securities may be listed or quoted at the time of sale, (b) in the over-the-counter market, (c) in transactions otherwise than on such exchanges or in the over-the-counter market or (d) through the writing of options.</w:t>
      </w:r>
    </w:p>
    <w:p>
      <w:pPr>
        <w:spacing w:after="0" w:line="187" w:lineRule="exact"/>
        <w:rPr>
          <w:sz w:val="20"/>
          <w:szCs w:val="20"/>
          <w:color w:val="auto"/>
        </w:rPr>
      </w:pPr>
    </w:p>
    <w:p>
      <w:pPr>
        <w:ind w:right="2779" w:firstLine="837"/>
        <w:spacing w:after="0" w:line="272" w:lineRule="auto"/>
        <w:rPr>
          <w:sz w:val="20"/>
          <w:szCs w:val="20"/>
          <w:color w:val="auto"/>
        </w:rPr>
      </w:pPr>
      <w:r>
        <w:rPr>
          <w:rFonts w:ascii="Courier New" w:cs="Courier New" w:eastAsia="Courier New" w:hAnsi="Courier New"/>
          <w:sz w:val="14"/>
          <w:szCs w:val="14"/>
          <w:color w:val="auto"/>
        </w:rPr>
        <w:t>Underwriters may offer and sell the securities at a fixed price or prices that may be changed, at market prices prevailing at the time of sale, at prices related to such prevailing market prices or at negotiated prices. They may offer the securities on an exchange, which will be disclosed in the applicable prospectus supplement. We may, from time to time, authorize dealers, acting as our agents, to offer and sell the securities, upon such terms and conditions as set forth in the applicable prospectus supplement. In connection with the sale of the securities, underwriters may receive compensation from us in the form of underwriting discounts or commissions and also may receive commissions from purchasers of the securities for whom they may act as agent. Underwriters may sell the securities to or through dealers, and such dealers may receive compensation in the form of discounts, concessions or commissions from the underwriters or commissions (which may be changed from time to time) from the purchasers for whom they may act as agents.</w:t>
      </w:r>
    </w:p>
    <w:p>
      <w:pPr>
        <w:spacing w:after="0" w:line="347" w:lineRule="exact"/>
        <w:rPr>
          <w:sz w:val="20"/>
          <w:szCs w:val="20"/>
          <w:color w:val="auto"/>
        </w:rPr>
      </w:pPr>
    </w:p>
    <w:p>
      <w:pPr>
        <w:ind w:right="2879" w:firstLine="837"/>
        <w:spacing w:after="0" w:line="273" w:lineRule="auto"/>
        <w:rPr>
          <w:sz w:val="20"/>
          <w:szCs w:val="20"/>
          <w:color w:val="auto"/>
        </w:rPr>
      </w:pPr>
      <w:r>
        <w:rPr>
          <w:rFonts w:ascii="Courier New" w:cs="Courier New" w:eastAsia="Courier New" w:hAnsi="Courier New"/>
          <w:sz w:val="14"/>
          <w:szCs w:val="14"/>
          <w:color w:val="auto"/>
        </w:rPr>
        <w:t>Any underwriting compensation paid by ClearOne to underwriters or agents in connection with the offering of the securities, and any discounts, concessions or commissions allowed by underwriters to participating dealers, will be set forth in the applicable prospectus supplement. Dealers and agents participating in the distribution of the securities may be deemed to be underwriters, and any discounts and commissions received by them and any profit realized by them on resale of the securities may be deemed to be underwriting discounts and commissions under the Securities Act. Underwriters, dealers and agents may be entitled, under agreements entered into with ClearOne, to indemnification against and contribution towards certain civil liabilities, including any liabilities under the Securities Act.</w:t>
      </w:r>
    </w:p>
    <w:p>
      <w:pPr>
        <w:spacing w:after="0" w:line="343" w:lineRule="exact"/>
        <w:rPr>
          <w:sz w:val="20"/>
          <w:szCs w:val="20"/>
          <w:color w:val="auto"/>
        </w:rPr>
      </w:pPr>
    </w:p>
    <w:p>
      <w:pPr>
        <w:ind w:right="2779" w:firstLine="837"/>
        <w:spacing w:after="0" w:line="272" w:lineRule="auto"/>
        <w:rPr>
          <w:sz w:val="20"/>
          <w:szCs w:val="20"/>
          <w:color w:val="auto"/>
        </w:rPr>
      </w:pPr>
      <w:r>
        <w:rPr>
          <w:rFonts w:ascii="Courier New" w:cs="Courier New" w:eastAsia="Courier New" w:hAnsi="Courier New"/>
          <w:sz w:val="14"/>
          <w:szCs w:val="14"/>
          <w:color w:val="auto"/>
        </w:rPr>
        <w:t>Until the distribution of the securities is completed, rules of the SEC may limit the ability of the underwriters to bid for and purchase the securities. As an exception to these rules, the underwriters are permitted to engage in certain transactions that stabilize the price of the securities. Such transactions consist of bids or purchases for the purpose of pegging, fixing or maintaining the price of the securities. If the underwriters create a short position in the securities in connection with the offering, i.e., if they sell more securities than are set forth on the cover page of the applicable prospectus supplement, the underwriters may reduce that short position by purchasing securities in the open market. The underwriters also may impose a penalty bid on certain underwriters. This means that if the underwriters purchase the securities in the open market to reduce the underwriters' short position or to stabilize the price of the securities, they may reclaim the amount of the selling concession from the underwriters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 might also have an effect on the price of a security to the extent that it were to discourage resales of the security.</w:t>
      </w:r>
    </w:p>
    <w:p>
      <w:pPr>
        <w:spacing w:after="0" w:line="200" w:lineRule="exact"/>
        <w:rPr>
          <w:sz w:val="20"/>
          <w:szCs w:val="20"/>
          <w:color w:val="auto"/>
        </w:rPr>
      </w:pPr>
    </w:p>
    <w:p>
      <w:pPr>
        <w:spacing w:after="0" w:line="322" w:lineRule="exact"/>
        <w:rPr>
          <w:sz w:val="20"/>
          <w:szCs w:val="20"/>
          <w:color w:val="auto"/>
        </w:rPr>
      </w:pPr>
    </w:p>
    <w:p>
      <w:pPr>
        <w:ind w:right="2779" w:firstLine="837"/>
        <w:spacing w:after="0" w:line="273" w:lineRule="auto"/>
        <w:rPr>
          <w:sz w:val="20"/>
          <w:szCs w:val="20"/>
          <w:color w:val="auto"/>
        </w:rPr>
      </w:pPr>
      <w:r>
        <w:rPr>
          <w:rFonts w:ascii="Courier New" w:cs="Courier New" w:eastAsia="Courier New" w:hAnsi="Courier New"/>
          <w:sz w:val="14"/>
          <w:szCs w:val="14"/>
          <w:color w:val="auto"/>
        </w:rPr>
        <w:t>Other than the common stock, the securities issued hereunder may be new issues of securities with no established trading market. Any underwriters or agents to or through whom such securities are sold for public offering and sale may make a market in such securities, but such underwriters or agents will not be obligated to do so and may discontinue any market making at any time without notice. No assurance can be given as to the liquidity of the trading market for any such securities. The amount of expenses expected to be incurred by us in connection with any issuance of securities will be set forth in the prospectus supplement. Certain of the underwriters, dealers or agents and their associates may engage in transactions with, and perform services for, ClearOne and certain of our affiliates and in the ordinary course.</w:t>
      </w:r>
    </w:p>
    <w:p>
      <w:pPr>
        <w:spacing w:after="0" w:line="200" w:lineRule="exact"/>
        <w:rPr>
          <w:sz w:val="20"/>
          <w:szCs w:val="20"/>
          <w:color w:val="auto"/>
        </w:rPr>
      </w:pPr>
    </w:p>
    <w:p>
      <w:pPr>
        <w:spacing w:after="0" w:line="31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827" w:right="1440" w:bottom="1440" w:gutter="0" w:footer="0" w:header="0"/>
        </w:sectPr>
      </w:pPr>
    </w:p>
    <w:bookmarkStart w:id="32" w:name="page33"/>
    <w:bookmarkEnd w:id="32"/>
    <w:p>
      <w:pPr>
        <w:ind w:left="2500"/>
        <w:spacing w:after="0"/>
        <w:rPr>
          <w:sz w:val="20"/>
          <w:szCs w:val="20"/>
          <w:color w:val="auto"/>
        </w:rPr>
      </w:pPr>
      <w:r>
        <w:rPr>
          <w:rFonts w:ascii="Courier New" w:cs="Courier New" w:eastAsia="Courier New" w:hAnsi="Courier New"/>
          <w:sz w:val="16"/>
          <w:szCs w:val="16"/>
          <w:color w:val="auto"/>
        </w:rPr>
        <w:t>VALIDITY OF THE SECURITIES</w:t>
      </w:r>
    </w:p>
    <w:p>
      <w:pPr>
        <w:spacing w:after="0" w:line="362" w:lineRule="exact"/>
        <w:rPr>
          <w:sz w:val="20"/>
          <w:szCs w:val="20"/>
          <w:color w:val="auto"/>
        </w:rPr>
      </w:pPr>
    </w:p>
    <w:p>
      <w:pPr>
        <w:ind w:right="2959" w:firstLine="837"/>
        <w:spacing w:after="0" w:line="235" w:lineRule="auto"/>
        <w:rPr>
          <w:sz w:val="20"/>
          <w:szCs w:val="20"/>
          <w:color w:val="auto"/>
        </w:rPr>
      </w:pPr>
      <w:r>
        <w:rPr>
          <w:rFonts w:ascii="Courier New" w:cs="Courier New" w:eastAsia="Courier New" w:hAnsi="Courier New"/>
          <w:sz w:val="16"/>
          <w:szCs w:val="16"/>
          <w:color w:val="auto"/>
        </w:rPr>
        <w:t>The validity of our common stock issued hereunder will be passed upon for ClearOne by Clyde Snow Sessions &amp; Swenson, PC. The validity of other securities issued hereunder will be passed upon for ClearOne by Shearman &amp; Sterling, Menlo Park, California.</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EXPERTS</w:t>
      </w:r>
    </w:p>
    <w:p>
      <w:pPr>
        <w:spacing w:after="0" w:line="183" w:lineRule="exact"/>
        <w:rPr>
          <w:sz w:val="20"/>
          <w:szCs w:val="20"/>
          <w:color w:val="auto"/>
        </w:rPr>
      </w:pPr>
    </w:p>
    <w:p>
      <w:pPr>
        <w:ind w:right="2879" w:firstLine="837"/>
        <w:spacing w:after="0" w:line="236" w:lineRule="auto"/>
        <w:rPr>
          <w:sz w:val="20"/>
          <w:szCs w:val="20"/>
          <w:color w:val="auto"/>
        </w:rPr>
      </w:pPr>
      <w:r>
        <w:rPr>
          <w:rFonts w:ascii="Courier New" w:cs="Courier New" w:eastAsia="Courier New" w:hAnsi="Courier New"/>
          <w:sz w:val="16"/>
          <w:szCs w:val="16"/>
          <w:color w:val="auto"/>
        </w:rPr>
        <w:t>Ernst &amp; Young LLP, independent auditors, have audited our consolidated financial statements included in our annual report on Form 10-K for the year ended June 30, 2002, as set forth in their report, which is incorporated by reference in this prospectus. Our consolidated financial statements are incorporated by reference in reliance on Ernst &amp; Young LLP's report, given on their authority as experts in accounting and auditing.</w:t>
      </w:r>
    </w:p>
    <w:p>
      <w:pPr>
        <w:spacing w:after="0" w:line="183"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The financial statements of E.mergent, Inc., incorporated in this prospectus by reference from our current report on Form 8-K/A filed with the SEC on August 14, 2002, have been audited by Deloitte &amp; Touche LLP, independent auditors, as stated in their report, which is incorporated herein by reference, and has been so incorporated in reliance upon the report of such firm given upon their authority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648"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6"/>
          <w:szCs w:val="16"/>
          <w:color w:val="auto"/>
        </w:rPr>
        <w:t>PROSPECTUS</w:t>
      </w:r>
    </w:p>
    <w:p>
      <w:pPr>
        <w:spacing w:after="0" w:line="177"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CLEARONE COMMUNICATIONS, INC.</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[LOGO]</w:t>
      </w:r>
    </w:p>
    <w:p>
      <w:pPr>
        <w:spacing w:after="0" w:line="183"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We may offer and sell, from time to time, in one or more offerings, the common stock described in this prospectus, for an aggregate offering price of up to $100,000,000. Certain selling stockholders may also offer and sell up to 1,000,000 shares of our common stock from time to time, in one or more offerings, pursuant to this prospectus. We will not receive any proceeds from the sale of our common stock by the selling stockholders.</w:t>
      </w:r>
    </w:p>
    <w:p>
      <w:pPr>
        <w:spacing w:after="0" w:line="183" w:lineRule="exact"/>
        <w:rPr>
          <w:sz w:val="20"/>
          <w:szCs w:val="20"/>
          <w:color w:val="auto"/>
        </w:rPr>
      </w:pPr>
    </w:p>
    <w:p>
      <w:pPr>
        <w:ind w:right="3339" w:firstLine="837"/>
        <w:spacing w:after="0" w:line="235" w:lineRule="auto"/>
        <w:rPr>
          <w:sz w:val="20"/>
          <w:szCs w:val="20"/>
          <w:color w:val="auto"/>
        </w:rPr>
      </w:pPr>
      <w:r>
        <w:rPr>
          <w:rFonts w:ascii="Courier New" w:cs="Courier New" w:eastAsia="Courier New" w:hAnsi="Courier New"/>
          <w:sz w:val="16"/>
          <w:szCs w:val="16"/>
          <w:color w:val="auto"/>
        </w:rPr>
        <w:t>This prospectus may not be used to sell our common stock unless accompanied by a prospectus supplement. We urge you to read carefully this prospectus and the accompanying prospectus supplement before you make your investment decision.</w:t>
      </w:r>
    </w:p>
    <w:p>
      <w:pPr>
        <w:spacing w:after="0" w:line="185"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Our common stock trades on the Nasdaq National Market under the symbol</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"CLRO".</w:t>
      </w:r>
    </w:p>
    <w:p>
      <w:pPr>
        <w:spacing w:after="0" w:line="183" w:lineRule="exact"/>
        <w:rPr>
          <w:sz w:val="20"/>
          <w:szCs w:val="20"/>
          <w:color w:val="auto"/>
        </w:rPr>
      </w:pPr>
    </w:p>
    <w:p>
      <w:pPr>
        <w:ind w:right="3159" w:firstLine="837"/>
        <w:spacing w:after="0" w:line="235" w:lineRule="auto"/>
        <w:rPr>
          <w:sz w:val="20"/>
          <w:szCs w:val="20"/>
          <w:color w:val="auto"/>
        </w:rPr>
      </w:pPr>
      <w:r>
        <w:rPr>
          <w:rFonts w:ascii="Courier New" w:cs="Courier New" w:eastAsia="Courier New" w:hAnsi="Courier New"/>
          <w:sz w:val="16"/>
          <w:szCs w:val="16"/>
          <w:color w:val="auto"/>
        </w:rPr>
        <w:t>Investing in our common stock involves risks. You should carefully consider the risk factors set forth in the applicable supplement to this prospectus before investing in any securities that may be offered. See "Risk Factors" on page 4.</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jc w:val="both"/>
        <w:ind w:right="2779" w:firstLine="837"/>
        <w:spacing w:after="0" w:line="235" w:lineRule="auto"/>
        <w:rPr>
          <w:sz w:val="20"/>
          <w:szCs w:val="20"/>
          <w:color w:val="auto"/>
        </w:rPr>
      </w:pPr>
      <w:r>
        <w:rPr>
          <w:rFonts w:ascii="Courier New" w:cs="Courier New" w:eastAsia="Courier New" w:hAnsi="Courier New"/>
          <w:sz w:val="16"/>
          <w:szCs w:val="16"/>
          <w:color w:val="auto"/>
        </w:rPr>
        <w:t>Neither the Securities and Exchange Commission nor any other regulatory body has approved or disapproved of these securities or passed upon the adequacy or accuracy of this prospectus. Any representation to the contrary is a criminal offense.</w:t>
      </w:r>
    </w:p>
    <w:p>
      <w:pPr>
        <w:spacing w:after="0" w:line="17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The date of this prospectus is November 1, 2002</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1006" w:right="1440"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81"/>
        </w:trPr>
        <w:tc>
          <w:tcPr>
            <w:tcW w:w="7060" w:type="dxa"/>
            <w:vAlign w:val="bottom"/>
          </w:tcPr>
          <w:p>
            <w:pPr>
              <w:jc w:val="right"/>
              <w:ind w:right="2422"/>
              <w:spacing w:after="0"/>
              <w:rPr>
                <w:sz w:val="20"/>
                <w:szCs w:val="20"/>
                <w:color w:val="auto"/>
              </w:rPr>
            </w:pPr>
            <w:r>
              <w:rPr>
                <w:rFonts w:ascii="Courier New" w:cs="Courier New" w:eastAsia="Courier New" w:hAnsi="Courier New"/>
                <w:sz w:val="16"/>
                <w:szCs w:val="16"/>
                <w:color w:val="auto"/>
              </w:rPr>
              <w:t>TABLE OF CONTENTS</w:t>
            </w:r>
          </w:p>
        </w:tc>
        <w:tc>
          <w:tcPr>
            <w:tcW w:w="380" w:type="dxa"/>
            <w:vAlign w:val="bottom"/>
          </w:tcPr>
          <w:p>
            <w:pPr>
              <w:spacing w:after="0"/>
              <w:rPr>
                <w:sz w:val="15"/>
                <w:szCs w:val="15"/>
                <w:color w:val="auto"/>
              </w:rPr>
            </w:pPr>
          </w:p>
        </w:tc>
      </w:tr>
      <w:tr>
        <w:trPr>
          <w:trHeight w:val="358"/>
        </w:trPr>
        <w:tc>
          <w:tcPr>
            <w:tcW w:w="706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Courier New" w:cs="Courier New" w:eastAsia="Courier New" w:hAnsi="Courier New"/>
                <w:sz w:val="16"/>
                <w:szCs w:val="16"/>
                <w:color w:val="auto"/>
                <w:w w:val="93"/>
              </w:rPr>
              <w:t>Page</w:t>
            </w:r>
          </w:p>
        </w:tc>
      </w:tr>
      <w:tr>
        <w:trPr>
          <w:trHeight w:val="358"/>
        </w:trPr>
        <w:tc>
          <w:tcPr>
            <w:tcW w:w="7060" w:type="dxa"/>
            <w:vAlign w:val="bottom"/>
          </w:tcPr>
          <w:p>
            <w:pPr>
              <w:spacing w:after="0"/>
              <w:rPr>
                <w:sz w:val="20"/>
                <w:szCs w:val="20"/>
                <w:color w:val="auto"/>
              </w:rPr>
            </w:pPr>
            <w:r>
              <w:rPr>
                <w:rFonts w:ascii="Courier New" w:cs="Courier New" w:eastAsia="Courier New" w:hAnsi="Courier New"/>
                <w:sz w:val="16"/>
                <w:szCs w:val="16"/>
                <w:color w:val="auto"/>
                <w:w w:val="95"/>
              </w:rPr>
              <w:t>About This Prospectus........................................................</w:t>
            </w:r>
          </w:p>
        </w:tc>
        <w:tc>
          <w:tcPr>
            <w:tcW w:w="380" w:type="dxa"/>
            <w:vAlign w:val="bottom"/>
          </w:tcPr>
          <w:p>
            <w:pPr>
              <w:ind w:left="100"/>
              <w:spacing w:after="0"/>
              <w:rPr>
                <w:sz w:val="20"/>
                <w:szCs w:val="20"/>
                <w:color w:val="auto"/>
              </w:rPr>
            </w:pPr>
            <w:r>
              <w:rPr>
                <w:rFonts w:ascii="Courier New" w:cs="Courier New" w:eastAsia="Courier New" w:hAnsi="Courier New"/>
                <w:sz w:val="16"/>
                <w:szCs w:val="16"/>
                <w:color w:val="auto"/>
              </w:rPr>
              <w:t>1</w:t>
            </w:r>
          </w:p>
        </w:tc>
      </w:tr>
      <w:tr>
        <w:trPr>
          <w:trHeight w:val="358"/>
        </w:trPr>
        <w:tc>
          <w:tcPr>
            <w:tcW w:w="7060" w:type="dxa"/>
            <w:vAlign w:val="bottom"/>
          </w:tcPr>
          <w:p>
            <w:pPr>
              <w:spacing w:after="0"/>
              <w:rPr>
                <w:sz w:val="20"/>
                <w:szCs w:val="20"/>
                <w:color w:val="auto"/>
              </w:rPr>
            </w:pPr>
            <w:r>
              <w:rPr>
                <w:rFonts w:ascii="Courier New" w:cs="Courier New" w:eastAsia="Courier New" w:hAnsi="Courier New"/>
                <w:sz w:val="16"/>
                <w:szCs w:val="16"/>
                <w:color w:val="auto"/>
                <w:w w:val="95"/>
              </w:rPr>
              <w:t>Where You Can Find More Information..........................................</w:t>
            </w:r>
          </w:p>
        </w:tc>
        <w:tc>
          <w:tcPr>
            <w:tcW w:w="380" w:type="dxa"/>
            <w:vAlign w:val="bottom"/>
          </w:tcPr>
          <w:p>
            <w:pPr>
              <w:ind w:left="100"/>
              <w:spacing w:after="0"/>
              <w:rPr>
                <w:sz w:val="20"/>
                <w:szCs w:val="20"/>
                <w:color w:val="auto"/>
              </w:rPr>
            </w:pPr>
            <w:r>
              <w:rPr>
                <w:rFonts w:ascii="Courier New" w:cs="Courier New" w:eastAsia="Courier New" w:hAnsi="Courier New"/>
                <w:sz w:val="16"/>
                <w:szCs w:val="16"/>
                <w:color w:val="auto"/>
              </w:rPr>
              <w:t>1</w:t>
            </w:r>
          </w:p>
        </w:tc>
      </w:tr>
      <w:tr>
        <w:trPr>
          <w:trHeight w:val="358"/>
        </w:trPr>
        <w:tc>
          <w:tcPr>
            <w:tcW w:w="7060" w:type="dxa"/>
            <w:vAlign w:val="bottom"/>
          </w:tcPr>
          <w:p>
            <w:pPr>
              <w:spacing w:after="0"/>
              <w:rPr>
                <w:sz w:val="20"/>
                <w:szCs w:val="20"/>
                <w:color w:val="auto"/>
              </w:rPr>
            </w:pPr>
            <w:r>
              <w:rPr>
                <w:rFonts w:ascii="Courier New" w:cs="Courier New" w:eastAsia="Courier New" w:hAnsi="Courier New"/>
                <w:sz w:val="16"/>
                <w:szCs w:val="16"/>
                <w:color w:val="auto"/>
                <w:w w:val="95"/>
              </w:rPr>
              <w:t>Forward-Looking Statements...................................................</w:t>
            </w:r>
          </w:p>
        </w:tc>
        <w:tc>
          <w:tcPr>
            <w:tcW w:w="380" w:type="dxa"/>
            <w:vAlign w:val="bottom"/>
          </w:tcPr>
          <w:p>
            <w:pPr>
              <w:ind w:left="100"/>
              <w:spacing w:after="0"/>
              <w:rPr>
                <w:sz w:val="20"/>
                <w:szCs w:val="20"/>
                <w:color w:val="auto"/>
              </w:rPr>
            </w:pPr>
            <w:r>
              <w:rPr>
                <w:rFonts w:ascii="Courier New" w:cs="Courier New" w:eastAsia="Courier New" w:hAnsi="Courier New"/>
                <w:sz w:val="16"/>
                <w:szCs w:val="16"/>
                <w:color w:val="auto"/>
              </w:rPr>
              <w:t>2</w:t>
            </w:r>
          </w:p>
        </w:tc>
      </w:tr>
      <w:tr>
        <w:trPr>
          <w:trHeight w:val="358"/>
        </w:trPr>
        <w:tc>
          <w:tcPr>
            <w:tcW w:w="7060" w:type="dxa"/>
            <w:vAlign w:val="bottom"/>
          </w:tcPr>
          <w:p>
            <w:pPr>
              <w:spacing w:after="0"/>
              <w:rPr>
                <w:sz w:val="20"/>
                <w:szCs w:val="20"/>
                <w:color w:val="auto"/>
              </w:rPr>
            </w:pPr>
            <w:r>
              <w:rPr>
                <w:rFonts w:ascii="Courier New" w:cs="Courier New" w:eastAsia="Courier New" w:hAnsi="Courier New"/>
                <w:sz w:val="16"/>
                <w:szCs w:val="16"/>
                <w:color w:val="auto"/>
                <w:w w:val="95"/>
              </w:rPr>
              <w:t>ClearOne Communications, Inc.................................................</w:t>
            </w:r>
          </w:p>
        </w:tc>
        <w:tc>
          <w:tcPr>
            <w:tcW w:w="380" w:type="dxa"/>
            <w:vAlign w:val="bottom"/>
          </w:tcPr>
          <w:p>
            <w:pPr>
              <w:ind w:left="100"/>
              <w:spacing w:after="0"/>
              <w:rPr>
                <w:sz w:val="20"/>
                <w:szCs w:val="20"/>
                <w:color w:val="auto"/>
              </w:rPr>
            </w:pPr>
            <w:r>
              <w:rPr>
                <w:rFonts w:ascii="Courier New" w:cs="Courier New" w:eastAsia="Courier New" w:hAnsi="Courier New"/>
                <w:sz w:val="16"/>
                <w:szCs w:val="16"/>
                <w:color w:val="auto"/>
              </w:rPr>
              <w:t>3</w:t>
            </w:r>
          </w:p>
        </w:tc>
      </w:tr>
      <w:tr>
        <w:trPr>
          <w:trHeight w:val="358"/>
        </w:trPr>
        <w:tc>
          <w:tcPr>
            <w:tcW w:w="7060" w:type="dxa"/>
            <w:vAlign w:val="bottom"/>
          </w:tcPr>
          <w:p>
            <w:pPr>
              <w:spacing w:after="0"/>
              <w:rPr>
                <w:sz w:val="20"/>
                <w:szCs w:val="20"/>
                <w:color w:val="auto"/>
              </w:rPr>
            </w:pPr>
            <w:r>
              <w:rPr>
                <w:rFonts w:ascii="Courier New" w:cs="Courier New" w:eastAsia="Courier New" w:hAnsi="Courier New"/>
                <w:sz w:val="16"/>
                <w:szCs w:val="16"/>
                <w:color w:val="auto"/>
                <w:w w:val="95"/>
              </w:rPr>
              <w:t>Risk Factors.................................................................</w:t>
            </w:r>
          </w:p>
        </w:tc>
        <w:tc>
          <w:tcPr>
            <w:tcW w:w="380" w:type="dxa"/>
            <w:vAlign w:val="bottom"/>
          </w:tcPr>
          <w:p>
            <w:pPr>
              <w:ind w:left="100"/>
              <w:spacing w:after="0"/>
              <w:rPr>
                <w:sz w:val="20"/>
                <w:szCs w:val="20"/>
                <w:color w:val="auto"/>
              </w:rPr>
            </w:pPr>
            <w:r>
              <w:rPr>
                <w:rFonts w:ascii="Courier New" w:cs="Courier New" w:eastAsia="Courier New" w:hAnsi="Courier New"/>
                <w:sz w:val="16"/>
                <w:szCs w:val="16"/>
                <w:color w:val="auto"/>
              </w:rPr>
              <w:t>4</w:t>
            </w:r>
          </w:p>
        </w:tc>
      </w:tr>
      <w:tr>
        <w:trPr>
          <w:trHeight w:val="358"/>
        </w:trPr>
        <w:tc>
          <w:tcPr>
            <w:tcW w:w="7060" w:type="dxa"/>
            <w:vAlign w:val="bottom"/>
          </w:tcPr>
          <w:p>
            <w:pPr>
              <w:spacing w:after="0"/>
              <w:rPr>
                <w:sz w:val="20"/>
                <w:szCs w:val="20"/>
                <w:color w:val="auto"/>
              </w:rPr>
            </w:pPr>
            <w:r>
              <w:rPr>
                <w:rFonts w:ascii="Courier New" w:cs="Courier New" w:eastAsia="Courier New" w:hAnsi="Courier New"/>
                <w:sz w:val="16"/>
                <w:szCs w:val="16"/>
                <w:color w:val="auto"/>
                <w:w w:val="95"/>
              </w:rPr>
              <w:t>Use Of Proceeds..............................................................</w:t>
            </w:r>
          </w:p>
        </w:tc>
        <w:tc>
          <w:tcPr>
            <w:tcW w:w="380" w:type="dxa"/>
            <w:vAlign w:val="bottom"/>
          </w:tcPr>
          <w:p>
            <w:pPr>
              <w:ind w:left="100"/>
              <w:spacing w:after="0"/>
              <w:rPr>
                <w:sz w:val="20"/>
                <w:szCs w:val="20"/>
                <w:color w:val="auto"/>
              </w:rPr>
            </w:pPr>
            <w:r>
              <w:rPr>
                <w:rFonts w:ascii="Courier New" w:cs="Courier New" w:eastAsia="Courier New" w:hAnsi="Courier New"/>
                <w:sz w:val="16"/>
                <w:szCs w:val="16"/>
                <w:color w:val="auto"/>
              </w:rPr>
              <w:t>4</w:t>
            </w:r>
          </w:p>
        </w:tc>
      </w:tr>
      <w:tr>
        <w:trPr>
          <w:trHeight w:val="358"/>
        </w:trPr>
        <w:tc>
          <w:tcPr>
            <w:tcW w:w="7060" w:type="dxa"/>
            <w:vAlign w:val="bottom"/>
          </w:tcPr>
          <w:p>
            <w:pPr>
              <w:spacing w:after="0"/>
              <w:rPr>
                <w:sz w:val="20"/>
                <w:szCs w:val="20"/>
                <w:color w:val="auto"/>
              </w:rPr>
            </w:pPr>
            <w:r>
              <w:rPr>
                <w:rFonts w:ascii="Courier New" w:cs="Courier New" w:eastAsia="Courier New" w:hAnsi="Courier New"/>
                <w:sz w:val="16"/>
                <w:szCs w:val="16"/>
                <w:color w:val="auto"/>
                <w:w w:val="95"/>
              </w:rPr>
              <w:t>Description Of Our Common Stock..............................................</w:t>
            </w:r>
          </w:p>
        </w:tc>
        <w:tc>
          <w:tcPr>
            <w:tcW w:w="380" w:type="dxa"/>
            <w:vAlign w:val="bottom"/>
          </w:tcPr>
          <w:p>
            <w:pPr>
              <w:ind w:left="100"/>
              <w:spacing w:after="0"/>
              <w:rPr>
                <w:sz w:val="20"/>
                <w:szCs w:val="20"/>
                <w:color w:val="auto"/>
              </w:rPr>
            </w:pPr>
            <w:r>
              <w:rPr>
                <w:rFonts w:ascii="Courier New" w:cs="Courier New" w:eastAsia="Courier New" w:hAnsi="Courier New"/>
                <w:sz w:val="16"/>
                <w:szCs w:val="16"/>
                <w:color w:val="auto"/>
              </w:rPr>
              <w:t>5</w:t>
            </w:r>
          </w:p>
        </w:tc>
      </w:tr>
      <w:tr>
        <w:trPr>
          <w:trHeight w:val="358"/>
        </w:trPr>
        <w:tc>
          <w:tcPr>
            <w:tcW w:w="7060" w:type="dxa"/>
            <w:vAlign w:val="bottom"/>
          </w:tcPr>
          <w:p>
            <w:pPr>
              <w:spacing w:after="0"/>
              <w:rPr>
                <w:sz w:val="20"/>
                <w:szCs w:val="20"/>
                <w:color w:val="auto"/>
              </w:rPr>
            </w:pPr>
            <w:r>
              <w:rPr>
                <w:rFonts w:ascii="Courier New" w:cs="Courier New" w:eastAsia="Courier New" w:hAnsi="Courier New"/>
                <w:sz w:val="16"/>
                <w:szCs w:val="16"/>
                <w:color w:val="auto"/>
                <w:w w:val="95"/>
              </w:rPr>
              <w:t>Selling Stockholders.........................................................</w:t>
            </w:r>
          </w:p>
        </w:tc>
        <w:tc>
          <w:tcPr>
            <w:tcW w:w="380" w:type="dxa"/>
            <w:vAlign w:val="bottom"/>
          </w:tcPr>
          <w:p>
            <w:pPr>
              <w:ind w:left="100"/>
              <w:spacing w:after="0"/>
              <w:rPr>
                <w:sz w:val="20"/>
                <w:szCs w:val="20"/>
                <w:color w:val="auto"/>
              </w:rPr>
            </w:pPr>
            <w:r>
              <w:rPr>
                <w:rFonts w:ascii="Courier New" w:cs="Courier New" w:eastAsia="Courier New" w:hAnsi="Courier New"/>
                <w:sz w:val="16"/>
                <w:szCs w:val="16"/>
                <w:color w:val="auto"/>
              </w:rPr>
              <w:t>8</w:t>
            </w:r>
          </w:p>
        </w:tc>
      </w:tr>
      <w:tr>
        <w:trPr>
          <w:trHeight w:val="358"/>
        </w:trPr>
        <w:tc>
          <w:tcPr>
            <w:tcW w:w="7060" w:type="dxa"/>
            <w:vAlign w:val="bottom"/>
          </w:tcPr>
          <w:p>
            <w:pPr>
              <w:spacing w:after="0"/>
              <w:rPr>
                <w:sz w:val="20"/>
                <w:szCs w:val="20"/>
                <w:color w:val="auto"/>
              </w:rPr>
            </w:pPr>
            <w:r>
              <w:rPr>
                <w:rFonts w:ascii="Courier New" w:cs="Courier New" w:eastAsia="Courier New" w:hAnsi="Courier New"/>
                <w:sz w:val="16"/>
                <w:szCs w:val="16"/>
                <w:color w:val="auto"/>
                <w:w w:val="95"/>
              </w:rPr>
              <w:t>Plan Of Distribution.........................................................</w:t>
            </w:r>
          </w:p>
        </w:tc>
        <w:tc>
          <w:tcPr>
            <w:tcW w:w="380" w:type="dxa"/>
            <w:vAlign w:val="bottom"/>
          </w:tcPr>
          <w:p>
            <w:pPr>
              <w:ind w:left="100"/>
              <w:spacing w:after="0"/>
              <w:rPr>
                <w:sz w:val="20"/>
                <w:szCs w:val="20"/>
                <w:color w:val="auto"/>
              </w:rPr>
            </w:pPr>
            <w:r>
              <w:rPr>
                <w:rFonts w:ascii="Courier New" w:cs="Courier New" w:eastAsia="Courier New" w:hAnsi="Courier New"/>
                <w:sz w:val="16"/>
                <w:szCs w:val="16"/>
                <w:color w:val="auto"/>
              </w:rPr>
              <w:t>9</w:t>
            </w:r>
          </w:p>
        </w:tc>
      </w:tr>
      <w:tr>
        <w:trPr>
          <w:trHeight w:val="358"/>
        </w:trPr>
        <w:tc>
          <w:tcPr>
            <w:tcW w:w="7060" w:type="dxa"/>
            <w:vAlign w:val="bottom"/>
          </w:tcPr>
          <w:p>
            <w:pPr>
              <w:spacing w:after="0"/>
              <w:rPr>
                <w:sz w:val="20"/>
                <w:szCs w:val="20"/>
                <w:color w:val="auto"/>
              </w:rPr>
            </w:pPr>
            <w:r>
              <w:rPr>
                <w:rFonts w:ascii="Courier New" w:cs="Courier New" w:eastAsia="Courier New" w:hAnsi="Courier New"/>
                <w:sz w:val="16"/>
                <w:szCs w:val="16"/>
                <w:color w:val="auto"/>
                <w:w w:val="95"/>
              </w:rPr>
              <w:t>Validity Of The Securities...................................................</w:t>
            </w:r>
          </w:p>
        </w:tc>
        <w:tc>
          <w:tcPr>
            <w:tcW w:w="380" w:type="dxa"/>
            <w:vAlign w:val="bottom"/>
          </w:tcPr>
          <w:p>
            <w:pPr>
              <w:ind w:left="100"/>
              <w:spacing w:after="0"/>
              <w:rPr>
                <w:sz w:val="20"/>
                <w:szCs w:val="20"/>
                <w:color w:val="auto"/>
              </w:rPr>
            </w:pPr>
            <w:r>
              <w:rPr>
                <w:rFonts w:ascii="Courier New" w:cs="Courier New" w:eastAsia="Courier New" w:hAnsi="Courier New"/>
                <w:sz w:val="16"/>
                <w:szCs w:val="16"/>
                <w:color w:val="auto"/>
              </w:rPr>
              <w:t>10</w:t>
            </w:r>
          </w:p>
        </w:tc>
      </w:tr>
      <w:tr>
        <w:trPr>
          <w:trHeight w:val="358"/>
        </w:trPr>
        <w:tc>
          <w:tcPr>
            <w:tcW w:w="7060" w:type="dxa"/>
            <w:vAlign w:val="bottom"/>
          </w:tcPr>
          <w:p>
            <w:pPr>
              <w:spacing w:after="0"/>
              <w:rPr>
                <w:sz w:val="20"/>
                <w:szCs w:val="20"/>
                <w:color w:val="auto"/>
              </w:rPr>
            </w:pPr>
            <w:r>
              <w:rPr>
                <w:rFonts w:ascii="Courier New" w:cs="Courier New" w:eastAsia="Courier New" w:hAnsi="Courier New"/>
                <w:sz w:val="16"/>
                <w:szCs w:val="16"/>
                <w:color w:val="auto"/>
                <w:w w:val="95"/>
              </w:rPr>
              <w:t>Experts......................................................................</w:t>
            </w:r>
          </w:p>
        </w:tc>
        <w:tc>
          <w:tcPr>
            <w:tcW w:w="380" w:type="dxa"/>
            <w:vAlign w:val="bottom"/>
          </w:tcPr>
          <w:p>
            <w:pPr>
              <w:ind w:left="100"/>
              <w:spacing w:after="0"/>
              <w:rPr>
                <w:sz w:val="20"/>
                <w:szCs w:val="20"/>
                <w:color w:val="auto"/>
              </w:rPr>
            </w:pPr>
            <w:r>
              <w:rPr>
                <w:rFonts w:ascii="Courier New" w:cs="Courier New" w:eastAsia="Courier New" w:hAnsi="Courier New"/>
                <w:sz w:val="16"/>
                <w:szCs w:val="16"/>
                <w:color w:val="auto"/>
              </w:rPr>
              <w:t>10</w:t>
            </w:r>
          </w:p>
        </w:tc>
      </w:tr>
      <w:tr>
        <w:trPr>
          <w:trHeight w:val="358"/>
        </w:trPr>
        <w:tc>
          <w:tcPr>
            <w:tcW w:w="7060" w:type="dxa"/>
            <w:vAlign w:val="bottom"/>
          </w:tcPr>
          <w:p>
            <w:pPr>
              <w:jc w:val="right"/>
              <w:ind w:right="2422"/>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24"/>
                <w:szCs w:val="24"/>
                <w:color w:val="auto"/>
              </w:rPr>
            </w:pPr>
          </w:p>
        </w:tc>
      </w:tr>
    </w:tbl>
    <w:p>
      <w:pPr>
        <w:spacing w:after="0" w:line="183" w:lineRule="exact"/>
        <w:rPr>
          <w:sz w:val="20"/>
          <w:szCs w:val="20"/>
          <w:color w:val="auto"/>
        </w:rPr>
      </w:pPr>
    </w:p>
    <w:p>
      <w:pPr>
        <w:ind w:right="2879" w:firstLine="837"/>
        <w:spacing w:after="0" w:line="236" w:lineRule="auto"/>
        <w:rPr>
          <w:sz w:val="20"/>
          <w:szCs w:val="20"/>
          <w:color w:val="auto"/>
        </w:rPr>
      </w:pPr>
      <w:r>
        <w:rPr>
          <w:rFonts w:ascii="Courier New" w:cs="Courier New" w:eastAsia="Courier New" w:hAnsi="Courier New"/>
          <w:sz w:val="16"/>
          <w:szCs w:val="16"/>
          <w:color w:val="auto"/>
        </w:rPr>
        <w:t>You should rely only on the information contained or incorporated by reference in this prospectus and any prospectus supplement. We have not authorized anyone else to provide you with different information. If anyone provides you with different or inconsistent information, you should not rely on it. We are offering to sell securities and soliciting offers to buy securities only in jurisdictions where offers and sales are permitted. You should assume that the information appearing in this prospectus and information incorporated by reference into this prospectus, is accurate only as of the date of the documents containing the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219"/>
          </w:cols>
          <w:pgMar w:left="240" w:top="1185" w:right="1440" w:bottom="1440" w:gutter="0" w:footer="0" w:header="0"/>
        </w:sectPr>
      </w:pPr>
    </w:p>
    <w:bookmarkStart w:id="35" w:name="page36"/>
    <w:bookmarkEnd w:id="35"/>
    <w:p>
      <w:pPr>
        <w:ind w:left="2780"/>
        <w:spacing w:after="0"/>
        <w:rPr>
          <w:sz w:val="20"/>
          <w:szCs w:val="20"/>
          <w:color w:val="auto"/>
        </w:rPr>
      </w:pPr>
      <w:r>
        <w:rPr>
          <w:rFonts w:ascii="Courier New" w:cs="Courier New" w:eastAsia="Courier New" w:hAnsi="Courier New"/>
          <w:sz w:val="16"/>
          <w:szCs w:val="16"/>
          <w:color w:val="auto"/>
        </w:rPr>
        <w:t>ABOUT THIS PROSPECTUS</w:t>
      </w:r>
    </w:p>
    <w:p>
      <w:pPr>
        <w:spacing w:after="0" w:line="362"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This prospectus is part of a registration statement that we filed with the Securities and Exchange Commission, or the SEC, using the SEC's shelf registration rules. Under the shelf registration rules, using this prospectus, together with a prospectus supplement, we may sell from time to time, in one or more offerings, up to $100,000,000 of our common stock. The selling stockholders may sell up to 1,000,000 shares of our common stock.</w:t>
      </w:r>
    </w:p>
    <w:p>
      <w:pPr>
        <w:spacing w:after="0" w:line="183"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In this Prospectus we use the terms "ClearOne", "we", "us", and "our"</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refer to ClearOne Communications, Inc., a Utah Corporation.</w:t>
      </w:r>
    </w:p>
    <w:p>
      <w:pPr>
        <w:spacing w:after="0" w:line="183" w:lineRule="exact"/>
        <w:rPr>
          <w:sz w:val="20"/>
          <w:szCs w:val="20"/>
          <w:color w:val="auto"/>
        </w:rPr>
      </w:pPr>
    </w:p>
    <w:p>
      <w:pPr>
        <w:ind w:right="2879" w:firstLine="837"/>
        <w:spacing w:after="0" w:line="236" w:lineRule="auto"/>
        <w:rPr>
          <w:sz w:val="20"/>
          <w:szCs w:val="20"/>
          <w:color w:val="auto"/>
        </w:rPr>
      </w:pPr>
      <w:r>
        <w:rPr>
          <w:rFonts w:ascii="Courier New" w:cs="Courier New" w:eastAsia="Courier New" w:hAnsi="Courier New"/>
          <w:sz w:val="16"/>
          <w:szCs w:val="16"/>
          <w:color w:val="auto"/>
        </w:rPr>
        <w:t>This prospectus provides you with a general description of the common stock that we and the selling stockholders may sell. Each time we sell common stock under this prospectus, we will provide a prospectus supplement that will contain specific information about the terms of that offering. The prospectus supplement may also add, update or change information contained in this prospectus. If so, the prospectus supplement should be read as superseding this prospectus. You should read this prospectus, the applicable prospectus supplement and the additional information described below under "Where You Can Find More Information."</w:t>
      </w:r>
    </w:p>
    <w:p>
      <w:pPr>
        <w:spacing w:after="0" w:line="358"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WHERE YOU CAN FIND MORE INFORMATION</w:t>
      </w:r>
    </w:p>
    <w:p>
      <w:pPr>
        <w:spacing w:after="0" w:line="362"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We file annual, quarterly and special reports, proxy statements and other information with the SEC. You may read and copy any reports, statements or other information we file with the SEC at its public reference room at 450 Fifth Street, N.W., Washington, D.C. 20549. Please call the SEC at 1-800-SEC-0330 for further information on the public reference room. Our filings are also available to the public on the Internet, through a database maintained by the SEC at http://www.sec.gov.</w:t>
      </w:r>
    </w:p>
    <w:p>
      <w:pPr>
        <w:spacing w:after="0" w:line="184" w:lineRule="exact"/>
        <w:rPr>
          <w:sz w:val="20"/>
          <w:szCs w:val="20"/>
          <w:color w:val="auto"/>
        </w:rPr>
      </w:pPr>
    </w:p>
    <w:p>
      <w:pPr>
        <w:ind w:right="2879" w:firstLine="837"/>
        <w:spacing w:after="0" w:line="236" w:lineRule="auto"/>
        <w:rPr>
          <w:sz w:val="20"/>
          <w:szCs w:val="20"/>
          <w:color w:val="auto"/>
        </w:rPr>
      </w:pPr>
      <w:r>
        <w:rPr>
          <w:rFonts w:ascii="Courier New" w:cs="Courier New" w:eastAsia="Courier New" w:hAnsi="Courier New"/>
          <w:sz w:val="16"/>
          <w:szCs w:val="16"/>
          <w:color w:val="auto"/>
        </w:rPr>
        <w:t>We filed a registration statement on Form S-3 to register with the SEC the securities described in this prospectus. This prospectus is part of that registration statement. As permitted by SEC rules, this prospectus does not contain all the information contained in the registration statement or the exhibits to the registration statement. You may refer to the registration statement and accompanying exhibits for more information about us and our securities.</w:t>
      </w:r>
    </w:p>
    <w:p>
      <w:pPr>
        <w:spacing w:after="0" w:line="184"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The SEC allows us to incorporate by reference into this document the information we or other persons have filed, or will file, with the SEC. This means that we can disclose important business, financial and other information to you by referring you to other documents separately filed with the SEC. All information incorporated by reference is part of this document, unless and until that information is updated and superseded by the information contained in this document or any information incorporated later.</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We incorporate by reference the documents listed below:</w:t>
      </w:r>
    </w:p>
    <w:p>
      <w:pPr>
        <w:spacing w:after="0" w:line="177" w:lineRule="exact"/>
        <w:rPr>
          <w:sz w:val="20"/>
          <w:szCs w:val="20"/>
          <w:color w:val="auto"/>
        </w:rPr>
      </w:pPr>
    </w:p>
    <w:p>
      <w:pPr>
        <w:ind w:left="1300" w:hanging="467"/>
        <w:spacing w:after="0"/>
        <w:tabs>
          <w:tab w:leader="none" w:pos="130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current report on Form 8-K/A filed on August 14, 2002;</w:t>
      </w:r>
    </w:p>
    <w:p>
      <w:pPr>
        <w:spacing w:after="0" w:line="182" w:lineRule="exact"/>
        <w:rPr>
          <w:rFonts w:ascii="Courier New" w:cs="Courier New" w:eastAsia="Courier New" w:hAnsi="Courier New"/>
          <w:sz w:val="16"/>
          <w:szCs w:val="16"/>
          <w:color w:val="auto"/>
        </w:rPr>
      </w:pPr>
    </w:p>
    <w:p>
      <w:pPr>
        <w:ind w:left="1300" w:right="3519" w:hanging="467"/>
        <w:spacing w:after="0" w:line="234" w:lineRule="auto"/>
        <w:tabs>
          <w:tab w:leader="none" w:pos="130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current report filed pursuant to Item 5 of Form 8-K on September 27, 2002;</w:t>
      </w:r>
    </w:p>
    <w:p>
      <w:pPr>
        <w:spacing w:after="0" w:line="183" w:lineRule="exact"/>
        <w:rPr>
          <w:rFonts w:ascii="Courier New" w:cs="Courier New" w:eastAsia="Courier New" w:hAnsi="Courier New"/>
          <w:sz w:val="16"/>
          <w:szCs w:val="16"/>
          <w:color w:val="auto"/>
        </w:rPr>
      </w:pPr>
    </w:p>
    <w:p>
      <w:pPr>
        <w:ind w:left="1300" w:right="2879" w:hanging="467"/>
        <w:spacing w:after="0" w:line="234" w:lineRule="auto"/>
        <w:tabs>
          <w:tab w:leader="none" w:pos="130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annual report on Form 10-K for the fiscal year ended June 30, 2002, filed September 25, 2002; and</w:t>
      </w:r>
    </w:p>
    <w:p>
      <w:pPr>
        <w:spacing w:after="0" w:line="183" w:lineRule="exact"/>
        <w:rPr>
          <w:rFonts w:ascii="Courier New" w:cs="Courier New" w:eastAsia="Courier New" w:hAnsi="Courier New"/>
          <w:sz w:val="16"/>
          <w:szCs w:val="16"/>
          <w:color w:val="auto"/>
        </w:rPr>
      </w:pPr>
    </w:p>
    <w:p>
      <w:pPr>
        <w:ind w:left="1300" w:right="2879" w:hanging="467"/>
        <w:spacing w:after="0" w:line="235" w:lineRule="auto"/>
        <w:tabs>
          <w:tab w:leader="none" w:pos="130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description of our common stock contained in our registration statement on Form 10 filed pursuant to Section 12 of the Securities Exchange Act of 1934 on October 4, 1988 as amended on Form 8 on January 5, 1989 and February 15, 1989.</w:t>
      </w:r>
    </w:p>
    <w:p>
      <w:pPr>
        <w:spacing w:after="0" w:line="200" w:lineRule="exact"/>
        <w:rPr>
          <w:sz w:val="20"/>
          <w:szCs w:val="20"/>
          <w:color w:val="auto"/>
        </w:rPr>
      </w:pPr>
    </w:p>
    <w:p>
      <w:pPr>
        <w:spacing w:after="0" w:line="33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648" w:right="1440" w:bottom="1440" w:gutter="0" w:footer="0" w:header="0"/>
        </w:sectPr>
      </w:pPr>
    </w:p>
    <w:bookmarkStart w:id="36" w:name="page37"/>
    <w:bookmarkEnd w:id="36"/>
    <w:p>
      <w:pPr>
        <w:ind w:right="2779" w:firstLine="837"/>
        <w:spacing w:after="0" w:line="236" w:lineRule="auto"/>
        <w:rPr>
          <w:sz w:val="20"/>
          <w:szCs w:val="20"/>
          <w:color w:val="auto"/>
        </w:rPr>
      </w:pPr>
      <w:r>
        <w:rPr>
          <w:rFonts w:ascii="Courier New" w:cs="Courier New" w:eastAsia="Courier New" w:hAnsi="Courier New"/>
          <w:sz w:val="16"/>
          <w:szCs w:val="16"/>
          <w:color w:val="auto"/>
        </w:rPr>
        <w:t>We also incorporate by reference all future filings we make with the SEC under Sections 13(a), 13(c), 14 or 15(d) of the Securities and Exchange Act of 1934 on or (1) after the date of the filing of the registration statement containing this prospectus and prior to the effectiveness of such registration statement and (2) after the date of this prospectus and prior to the termination of the offering made hereby.</w:t>
      </w:r>
    </w:p>
    <w:p>
      <w:pPr>
        <w:spacing w:after="0" w:line="183" w:lineRule="exact"/>
        <w:rPr>
          <w:sz w:val="20"/>
          <w:szCs w:val="20"/>
          <w:color w:val="auto"/>
        </w:rPr>
      </w:pPr>
    </w:p>
    <w:p>
      <w:pPr>
        <w:ind w:right="3239" w:firstLine="837"/>
        <w:spacing w:after="0" w:line="295" w:lineRule="auto"/>
        <w:rPr>
          <w:sz w:val="20"/>
          <w:szCs w:val="20"/>
          <w:color w:val="auto"/>
        </w:rPr>
      </w:pPr>
      <w:r>
        <w:rPr>
          <w:rFonts w:ascii="Courier New" w:cs="Courier New" w:eastAsia="Courier New" w:hAnsi="Courier New"/>
          <w:sz w:val="14"/>
          <w:szCs w:val="14"/>
          <w:color w:val="auto"/>
        </w:rPr>
        <w:t>You may request a copy of these filings, at no cost, by writing or telephoning our Investor Relations Department at the following address:</w:t>
      </w:r>
    </w:p>
    <w:p>
      <w:pPr>
        <w:spacing w:after="0" w:line="141"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ClearOne Communications, Inc.</w:t>
      </w:r>
    </w:p>
    <w:p>
      <w:pPr>
        <w:ind w:left="840"/>
        <w:spacing w:after="0" w:line="236" w:lineRule="auto"/>
        <w:rPr>
          <w:sz w:val="20"/>
          <w:szCs w:val="20"/>
          <w:color w:val="auto"/>
        </w:rPr>
      </w:pPr>
      <w:r>
        <w:rPr>
          <w:rFonts w:ascii="Courier New" w:cs="Courier New" w:eastAsia="Courier New" w:hAnsi="Courier New"/>
          <w:sz w:val="16"/>
          <w:szCs w:val="16"/>
          <w:color w:val="auto"/>
        </w:rPr>
        <w:t>1825 Research Way</w:t>
      </w:r>
    </w:p>
    <w:p>
      <w:pPr>
        <w:ind w:left="840"/>
        <w:spacing w:after="0" w:line="237" w:lineRule="auto"/>
        <w:rPr>
          <w:sz w:val="20"/>
          <w:szCs w:val="20"/>
          <w:color w:val="auto"/>
        </w:rPr>
      </w:pPr>
      <w:r>
        <w:rPr>
          <w:rFonts w:ascii="Courier New" w:cs="Courier New" w:eastAsia="Courier New" w:hAnsi="Courier New"/>
          <w:sz w:val="16"/>
          <w:szCs w:val="16"/>
          <w:color w:val="auto"/>
        </w:rPr>
        <w:t>Salt Lake City, Utah 84119</w:t>
      </w:r>
    </w:p>
    <w:p>
      <w:pPr>
        <w:ind w:left="840"/>
        <w:spacing w:after="0" w:line="237" w:lineRule="auto"/>
        <w:rPr>
          <w:sz w:val="20"/>
          <w:szCs w:val="20"/>
          <w:color w:val="auto"/>
        </w:rPr>
      </w:pPr>
      <w:r>
        <w:rPr>
          <w:rFonts w:ascii="Courier New" w:cs="Courier New" w:eastAsia="Courier New" w:hAnsi="Courier New"/>
          <w:sz w:val="16"/>
          <w:szCs w:val="16"/>
          <w:color w:val="auto"/>
        </w:rPr>
        <w:t>Attention: Investor Relations</w:t>
      </w:r>
    </w:p>
    <w:p>
      <w:pPr>
        <w:ind w:left="840"/>
        <w:spacing w:after="0" w:line="237" w:lineRule="auto"/>
        <w:rPr>
          <w:sz w:val="20"/>
          <w:szCs w:val="20"/>
          <w:color w:val="auto"/>
        </w:rPr>
      </w:pPr>
      <w:r>
        <w:rPr>
          <w:rFonts w:ascii="Courier New" w:cs="Courier New" w:eastAsia="Courier New" w:hAnsi="Courier New"/>
          <w:sz w:val="16"/>
          <w:szCs w:val="16"/>
          <w:color w:val="auto"/>
        </w:rPr>
        <w:t>(801) 975-7200</w:t>
      </w:r>
    </w:p>
    <w:p>
      <w:pPr>
        <w:spacing w:after="0" w:line="183" w:lineRule="exact"/>
        <w:rPr>
          <w:sz w:val="20"/>
          <w:szCs w:val="20"/>
          <w:color w:val="auto"/>
        </w:rPr>
      </w:pPr>
    </w:p>
    <w:p>
      <w:pPr>
        <w:ind w:right="2779" w:firstLine="837"/>
        <w:spacing w:after="0" w:line="273" w:lineRule="auto"/>
        <w:rPr>
          <w:sz w:val="20"/>
          <w:szCs w:val="20"/>
          <w:color w:val="auto"/>
        </w:rPr>
      </w:pPr>
      <w:r>
        <w:rPr>
          <w:rFonts w:ascii="Courier New" w:cs="Courier New" w:eastAsia="Courier New" w:hAnsi="Courier New"/>
          <w:sz w:val="14"/>
          <w:szCs w:val="14"/>
          <w:color w:val="auto"/>
        </w:rPr>
        <w:t>You should only rely on the information contained or incorporated by reference in this prospectus and any prospectus supplement. We have not authorized any other person to provide you with different information. If anyone provides you with different or inconsistent information you should not rely on it. We are not making an offer to sell these securities in any jurisdiction where the offer and sale is not permitted. You should assume that the information appearing in this prospectus and information incorporated by reference into this prospectus is accurate only as of the date of the documents containing the information. Our business, financial condition, results of operation and prospects may have changed since that date.</w:t>
      </w:r>
    </w:p>
    <w:p>
      <w:pPr>
        <w:spacing w:after="0" w:line="200" w:lineRule="exact"/>
        <w:rPr>
          <w:sz w:val="20"/>
          <w:szCs w:val="20"/>
          <w:color w:val="auto"/>
        </w:rPr>
      </w:pPr>
    </w:p>
    <w:p>
      <w:pPr>
        <w:spacing w:after="0" w:line="317"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FORWARD-LOOKING STATEMENTS</w:t>
      </w:r>
    </w:p>
    <w:p>
      <w:pPr>
        <w:spacing w:after="0" w:line="362" w:lineRule="exact"/>
        <w:rPr>
          <w:sz w:val="20"/>
          <w:szCs w:val="20"/>
          <w:color w:val="auto"/>
        </w:rPr>
      </w:pPr>
    </w:p>
    <w:p>
      <w:pPr>
        <w:ind w:right="2779" w:firstLine="837"/>
        <w:spacing w:after="0" w:line="273" w:lineRule="auto"/>
        <w:rPr>
          <w:sz w:val="20"/>
          <w:szCs w:val="20"/>
          <w:color w:val="auto"/>
        </w:rPr>
      </w:pPr>
      <w:r>
        <w:rPr>
          <w:rFonts w:ascii="Courier New" w:cs="Courier New" w:eastAsia="Courier New" w:hAnsi="Courier New"/>
          <w:sz w:val="14"/>
          <w:szCs w:val="14"/>
          <w:color w:val="auto"/>
        </w:rPr>
        <w:t>Some statements and disclosures in this prospectus, including the documents incorporated by reference, are forward-looking statements. Forward-looking statements include all statements that do not relate solely to historical or current facts and can often be identified by the use of words such as "may," "believe," "will," "expect," "project," "estimate," "anticipate," "plan" or "continue." These forward-looking statements are based on our current plans and expectations and are subject to a number of risks and uncertainties that could significantly cause our plans and expectations, including actual results, to differ materially from the forward-looking statements. The Private Securities Litigation Reform Act of 1995 provides a "safe harbor" for forward-looking statements to encourage companies to provide prospective information about their companies without fear of litigation.</w:t>
      </w:r>
    </w:p>
    <w:p>
      <w:pPr>
        <w:spacing w:after="0" w:line="341"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We wish to take advantage of the "safe harbor" provisions of the Litigation Reform Act in connection with the forward-looking statements included in this prospectus, including the documents incorporated by reference. Investors are cautioned not to unduly rely on such forward-looking statements when evaluating the information presented in these documents. The factors that could cause our actual financial results to differ materially from those projected, forecasted or estimated by us in forward-looking statements are contained in the Forms 8-K, 10-K and 10-Q that we filed. In addition, they will also be contained in the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833" w:right="1440" w:bottom="1440" w:gutter="0" w:footer="0" w:header="0"/>
        </w:sectPr>
      </w:pPr>
    </w:p>
    <w:bookmarkStart w:id="37" w:name="page38"/>
    <w:bookmarkEnd w:id="37"/>
    <w:p>
      <w:pPr>
        <w:ind w:left="2420"/>
        <w:spacing w:after="0"/>
        <w:rPr>
          <w:sz w:val="20"/>
          <w:szCs w:val="20"/>
          <w:color w:val="auto"/>
        </w:rPr>
      </w:pPr>
      <w:r>
        <w:rPr>
          <w:rFonts w:ascii="Courier New" w:cs="Courier New" w:eastAsia="Courier New" w:hAnsi="Courier New"/>
          <w:sz w:val="16"/>
          <w:szCs w:val="16"/>
          <w:color w:val="auto"/>
        </w:rPr>
        <w:t>CLEARONE COMMUNICATIONS, INC.</w:t>
      </w:r>
    </w:p>
    <w:p>
      <w:pPr>
        <w:spacing w:after="0" w:line="362" w:lineRule="exact"/>
        <w:rPr>
          <w:sz w:val="20"/>
          <w:szCs w:val="20"/>
          <w:color w:val="auto"/>
        </w:rPr>
      </w:pPr>
    </w:p>
    <w:p>
      <w:pPr>
        <w:ind w:right="2779" w:firstLine="837"/>
        <w:spacing w:after="0" w:line="283" w:lineRule="auto"/>
        <w:rPr>
          <w:sz w:val="20"/>
          <w:szCs w:val="20"/>
          <w:color w:val="auto"/>
        </w:rPr>
      </w:pPr>
      <w:r>
        <w:rPr>
          <w:rFonts w:ascii="Courier New" w:cs="Courier New" w:eastAsia="Courier New" w:hAnsi="Courier New"/>
          <w:sz w:val="14"/>
          <w:szCs w:val="14"/>
          <w:color w:val="auto"/>
        </w:rPr>
        <w:t>We are a provider of end-to-end conferencing solutions. Our products and services enable businesses, employees, customers and partners to communicate effectively from disparate locations, while decreasing travel time and costs.</w:t>
      </w:r>
    </w:p>
    <w:p>
      <w:pPr>
        <w:spacing w:after="0" w:line="155" w:lineRule="exact"/>
        <w:rPr>
          <w:sz w:val="20"/>
          <w:szCs w:val="20"/>
          <w:color w:val="auto"/>
        </w:rPr>
      </w:pPr>
    </w:p>
    <w:p>
      <w:pPr>
        <w:ind w:right="2879" w:firstLine="837"/>
        <w:spacing w:after="0" w:line="234" w:lineRule="auto"/>
        <w:rPr>
          <w:sz w:val="20"/>
          <w:szCs w:val="20"/>
          <w:color w:val="auto"/>
        </w:rPr>
      </w:pPr>
      <w:r>
        <w:rPr>
          <w:rFonts w:ascii="Courier New" w:cs="Courier New" w:eastAsia="Courier New" w:hAnsi="Courier New"/>
          <w:sz w:val="16"/>
          <w:szCs w:val="16"/>
          <w:color w:val="auto"/>
        </w:rPr>
        <w:t>We operate in three business segments: products, conferencing services and business services.</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Products</w:t>
      </w:r>
    </w:p>
    <w:p>
      <w:pPr>
        <w:spacing w:after="0" w:line="183" w:lineRule="exact"/>
        <w:rPr>
          <w:sz w:val="20"/>
          <w:szCs w:val="20"/>
          <w:color w:val="auto"/>
        </w:rPr>
      </w:pPr>
    </w:p>
    <w:p>
      <w:pPr>
        <w:ind w:right="3239" w:firstLine="837"/>
        <w:spacing w:after="0" w:line="234" w:lineRule="auto"/>
        <w:rPr>
          <w:sz w:val="20"/>
          <w:szCs w:val="20"/>
          <w:color w:val="auto"/>
        </w:rPr>
      </w:pPr>
      <w:r>
        <w:rPr>
          <w:rFonts w:ascii="Courier New" w:cs="Courier New" w:eastAsia="Courier New" w:hAnsi="Courier New"/>
          <w:sz w:val="16"/>
          <w:szCs w:val="16"/>
          <w:color w:val="auto"/>
        </w:rPr>
        <w:t>Our products segment primarily manufactures and sells high quality products such as:</w:t>
      </w:r>
    </w:p>
    <w:p>
      <w:pPr>
        <w:spacing w:after="0" w:line="177" w:lineRule="exact"/>
        <w:rPr>
          <w:sz w:val="20"/>
          <w:szCs w:val="20"/>
          <w:color w:val="auto"/>
        </w:rPr>
      </w:pPr>
    </w:p>
    <w:p>
      <w:pPr>
        <w:ind w:left="1300" w:hanging="467"/>
        <w:spacing w:after="0"/>
        <w:tabs>
          <w:tab w:leader="none" w:pos="130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audio conferencing products;</w:t>
      </w:r>
    </w:p>
    <w:p>
      <w:pPr>
        <w:spacing w:after="0" w:line="176" w:lineRule="exact"/>
        <w:rPr>
          <w:rFonts w:ascii="Courier New" w:cs="Courier New" w:eastAsia="Courier New" w:hAnsi="Courier New"/>
          <w:sz w:val="16"/>
          <w:szCs w:val="16"/>
          <w:color w:val="auto"/>
        </w:rPr>
      </w:pPr>
    </w:p>
    <w:p>
      <w:pPr>
        <w:ind w:left="1300" w:hanging="467"/>
        <w:spacing w:after="0"/>
        <w:tabs>
          <w:tab w:leader="none" w:pos="130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video conferencing products;</w:t>
      </w:r>
    </w:p>
    <w:p>
      <w:pPr>
        <w:spacing w:after="0" w:line="176" w:lineRule="exact"/>
        <w:rPr>
          <w:rFonts w:ascii="Courier New" w:cs="Courier New" w:eastAsia="Courier New" w:hAnsi="Courier New"/>
          <w:sz w:val="16"/>
          <w:szCs w:val="16"/>
          <w:color w:val="auto"/>
        </w:rPr>
      </w:pPr>
    </w:p>
    <w:p>
      <w:pPr>
        <w:ind w:left="1300" w:hanging="467"/>
        <w:spacing w:after="0"/>
        <w:tabs>
          <w:tab w:leader="none" w:pos="130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sound reinforcement products; and</w:t>
      </w:r>
    </w:p>
    <w:p>
      <w:pPr>
        <w:spacing w:after="0" w:line="182" w:lineRule="exact"/>
        <w:rPr>
          <w:rFonts w:ascii="Courier New" w:cs="Courier New" w:eastAsia="Courier New" w:hAnsi="Courier New"/>
          <w:sz w:val="16"/>
          <w:szCs w:val="16"/>
          <w:color w:val="auto"/>
        </w:rPr>
      </w:pPr>
    </w:p>
    <w:p>
      <w:pPr>
        <w:ind w:left="840" w:right="3159" w:hanging="7"/>
        <w:spacing w:after="0" w:line="465" w:lineRule="auto"/>
        <w:tabs>
          <w:tab w:leader="none" w:pos="1305"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video conferencing peripherals, such as cameras and furniture. Conferencing Services</w:t>
      </w:r>
    </w:p>
    <w:p>
      <w:pPr>
        <w:spacing w:after="0" w:line="7" w:lineRule="exact"/>
        <w:rPr>
          <w:rFonts w:ascii="Courier New" w:cs="Courier New" w:eastAsia="Courier New" w:hAnsi="Courier New"/>
          <w:sz w:val="16"/>
          <w:szCs w:val="16"/>
          <w:color w:val="auto"/>
        </w:rPr>
      </w:pPr>
    </w:p>
    <w:p>
      <w:pPr>
        <w:ind w:left="8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Our conferencing services segment provides:</w:t>
      </w:r>
    </w:p>
    <w:p>
      <w:pPr>
        <w:spacing w:after="0" w:line="176" w:lineRule="exact"/>
        <w:rPr>
          <w:rFonts w:ascii="Courier New" w:cs="Courier New" w:eastAsia="Courier New" w:hAnsi="Courier New"/>
          <w:sz w:val="16"/>
          <w:szCs w:val="16"/>
          <w:color w:val="auto"/>
        </w:rPr>
      </w:pPr>
    </w:p>
    <w:p>
      <w:pPr>
        <w:ind w:left="1300" w:hanging="467"/>
        <w:spacing w:after="0"/>
        <w:tabs>
          <w:tab w:leader="none" w:pos="130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full-service conference calling;</w:t>
      </w:r>
    </w:p>
    <w:p>
      <w:pPr>
        <w:spacing w:after="0" w:line="176" w:lineRule="exact"/>
        <w:rPr>
          <w:rFonts w:ascii="Courier New" w:cs="Courier New" w:eastAsia="Courier New" w:hAnsi="Courier New"/>
          <w:sz w:val="16"/>
          <w:szCs w:val="16"/>
          <w:color w:val="auto"/>
        </w:rPr>
      </w:pPr>
    </w:p>
    <w:p>
      <w:pPr>
        <w:ind w:left="1300" w:hanging="467"/>
        <w:spacing w:after="0"/>
        <w:tabs>
          <w:tab w:leader="none" w:pos="130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on-demand, reservationless conference calling;</w:t>
      </w:r>
    </w:p>
    <w:p>
      <w:pPr>
        <w:spacing w:after="0" w:line="176" w:lineRule="exact"/>
        <w:rPr>
          <w:rFonts w:ascii="Courier New" w:cs="Courier New" w:eastAsia="Courier New" w:hAnsi="Courier New"/>
          <w:sz w:val="16"/>
          <w:szCs w:val="16"/>
          <w:color w:val="auto"/>
        </w:rPr>
      </w:pPr>
    </w:p>
    <w:p>
      <w:pPr>
        <w:ind w:left="1300" w:hanging="467"/>
        <w:spacing w:after="0"/>
        <w:tabs>
          <w:tab w:leader="none" w:pos="130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web conferencing;</w:t>
      </w:r>
    </w:p>
    <w:p>
      <w:pPr>
        <w:spacing w:after="0" w:line="176" w:lineRule="exact"/>
        <w:rPr>
          <w:rFonts w:ascii="Courier New" w:cs="Courier New" w:eastAsia="Courier New" w:hAnsi="Courier New"/>
          <w:sz w:val="16"/>
          <w:szCs w:val="16"/>
          <w:color w:val="auto"/>
        </w:rPr>
      </w:pPr>
    </w:p>
    <w:p>
      <w:pPr>
        <w:ind w:left="1300" w:hanging="467"/>
        <w:spacing w:after="0"/>
        <w:tabs>
          <w:tab w:leader="none" w:pos="130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audio and video streaming; and</w:t>
      </w:r>
    </w:p>
    <w:p>
      <w:pPr>
        <w:spacing w:after="0" w:line="176" w:lineRule="exact"/>
        <w:rPr>
          <w:rFonts w:ascii="Courier New" w:cs="Courier New" w:eastAsia="Courier New" w:hAnsi="Courier New"/>
          <w:sz w:val="16"/>
          <w:szCs w:val="16"/>
          <w:color w:val="auto"/>
        </w:rPr>
      </w:pPr>
    </w:p>
    <w:p>
      <w:pPr>
        <w:ind w:left="1300" w:hanging="467"/>
        <w:spacing w:after="0"/>
        <w:tabs>
          <w:tab w:leader="none" w:pos="130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customer training and education.</w:t>
      </w:r>
    </w:p>
    <w:p>
      <w:pPr>
        <w:spacing w:after="0" w:line="183" w:lineRule="exact"/>
        <w:rPr>
          <w:sz w:val="20"/>
          <w:szCs w:val="20"/>
          <w:color w:val="auto"/>
        </w:rPr>
      </w:pPr>
    </w:p>
    <w:p>
      <w:pPr>
        <w:ind w:right="2779" w:firstLine="837"/>
        <w:spacing w:after="0" w:line="295" w:lineRule="auto"/>
        <w:rPr>
          <w:sz w:val="20"/>
          <w:szCs w:val="20"/>
          <w:color w:val="auto"/>
        </w:rPr>
      </w:pPr>
      <w:r>
        <w:rPr>
          <w:rFonts w:ascii="Courier New" w:cs="Courier New" w:eastAsia="Courier New" w:hAnsi="Courier New"/>
          <w:sz w:val="14"/>
          <w:szCs w:val="14"/>
          <w:color w:val="auto"/>
        </w:rPr>
        <w:t>Our single point of contact, 1-800 LETS MEET(R), allows our customers easy and cost-effective access to our complete breadth of conferencing services.</w:t>
      </w:r>
    </w:p>
    <w:p>
      <w:pPr>
        <w:spacing w:after="0" w:line="141"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Business Services</w:t>
      </w:r>
    </w:p>
    <w:p>
      <w:pPr>
        <w:spacing w:after="0" w:line="183" w:lineRule="exact"/>
        <w:rPr>
          <w:sz w:val="20"/>
          <w:szCs w:val="20"/>
          <w:color w:val="auto"/>
        </w:rPr>
      </w:pPr>
    </w:p>
    <w:p>
      <w:pPr>
        <w:ind w:right="2879" w:firstLine="837"/>
        <w:spacing w:after="0" w:line="234" w:lineRule="auto"/>
        <w:rPr>
          <w:sz w:val="20"/>
          <w:szCs w:val="20"/>
          <w:color w:val="auto"/>
        </w:rPr>
      </w:pPr>
      <w:r>
        <w:rPr>
          <w:rFonts w:ascii="Courier New" w:cs="Courier New" w:eastAsia="Courier New" w:hAnsi="Courier New"/>
          <w:sz w:val="16"/>
          <w:szCs w:val="16"/>
          <w:color w:val="auto"/>
        </w:rPr>
        <w:t>Our business services segment provides customers with a broad range of services on a local and national basis including:</w:t>
      </w:r>
    </w:p>
    <w:p>
      <w:pPr>
        <w:spacing w:after="0" w:line="183" w:lineRule="exact"/>
        <w:rPr>
          <w:sz w:val="20"/>
          <w:szCs w:val="20"/>
          <w:color w:val="auto"/>
        </w:rPr>
      </w:pPr>
    </w:p>
    <w:p>
      <w:pPr>
        <w:ind w:left="1300" w:right="2879" w:hanging="467"/>
        <w:spacing w:after="0" w:line="234" w:lineRule="auto"/>
        <w:tabs>
          <w:tab w:leader="none" w:pos="130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technical services such as the design, installation and servicing of systems; and</w:t>
      </w:r>
    </w:p>
    <w:p>
      <w:pPr>
        <w:spacing w:after="0" w:line="183" w:lineRule="exact"/>
        <w:rPr>
          <w:rFonts w:ascii="Courier New" w:cs="Courier New" w:eastAsia="Courier New" w:hAnsi="Courier New"/>
          <w:sz w:val="16"/>
          <w:szCs w:val="16"/>
          <w:color w:val="auto"/>
        </w:rPr>
      </w:pPr>
    </w:p>
    <w:p>
      <w:pPr>
        <w:ind w:left="1300" w:right="3059" w:hanging="467"/>
        <w:spacing w:after="0" w:line="234" w:lineRule="auto"/>
        <w:tabs>
          <w:tab w:leader="none" w:pos="130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value added services such as proactive field support, training, system consulting and help desk.</w:t>
      </w:r>
    </w:p>
    <w:p>
      <w:pPr>
        <w:spacing w:after="0" w:line="183" w:lineRule="exact"/>
        <w:rPr>
          <w:sz w:val="20"/>
          <w:szCs w:val="20"/>
          <w:color w:val="auto"/>
        </w:rPr>
      </w:pPr>
    </w:p>
    <w:p>
      <w:pPr>
        <w:ind w:right="2779" w:firstLine="837"/>
        <w:spacing w:after="0" w:line="274" w:lineRule="auto"/>
        <w:rPr>
          <w:sz w:val="20"/>
          <w:szCs w:val="20"/>
          <w:color w:val="auto"/>
        </w:rPr>
      </w:pPr>
      <w:r>
        <w:rPr>
          <w:rFonts w:ascii="Courier New" w:cs="Courier New" w:eastAsia="Courier New" w:hAnsi="Courier New"/>
          <w:sz w:val="14"/>
          <w:szCs w:val="14"/>
          <w:color w:val="auto"/>
        </w:rPr>
        <w:t>Our conferencing systems are designed for use in board and conference rooms, lecture halls, classrooms, courtrooms, theaters, museums, churches, professional broadcast facilities and streaming network facilities. Our major customers include large technology and telecommunications distributors and major conferencing services vendors. We sell our products and services through our direct sales force and a network of independent dealers, distributors, value-added resellers and retailers. We manufacture most of our audio and video conferencing equipment in-house using modern, modular assembly workstations that</w:t>
      </w:r>
    </w:p>
    <w:p>
      <w:pPr>
        <w:spacing w:after="0" w:line="33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827" w:right="1440" w:bottom="1440" w:gutter="0" w:footer="0" w:header="0"/>
        </w:sectPr>
      </w:pPr>
    </w:p>
    <w:bookmarkStart w:id="38" w:name="page39"/>
    <w:bookmarkEnd w:id="38"/>
    <w:p>
      <w:pPr>
        <w:jc w:val="both"/>
        <w:ind w:right="2779"/>
        <w:spacing w:after="0" w:line="235" w:lineRule="auto"/>
        <w:rPr>
          <w:sz w:val="20"/>
          <w:szCs w:val="20"/>
          <w:color w:val="auto"/>
        </w:rPr>
      </w:pPr>
      <w:r>
        <w:rPr>
          <w:rFonts w:ascii="Courier New" w:cs="Courier New" w:eastAsia="Courier New" w:hAnsi="Courier New"/>
          <w:sz w:val="16"/>
          <w:szCs w:val="16"/>
          <w:color w:val="auto"/>
        </w:rPr>
        <w:t>are designed to enhance the efficiency and quality of the manufacturing process. Our cameras are manufactured through a contract manufacturing facility. We also build our own custom conferencing furniture.</w:t>
      </w:r>
    </w:p>
    <w:p>
      <w:pPr>
        <w:spacing w:after="0" w:line="183" w:lineRule="exact"/>
        <w:rPr>
          <w:sz w:val="20"/>
          <w:szCs w:val="20"/>
          <w:color w:val="auto"/>
        </w:rPr>
      </w:pPr>
    </w:p>
    <w:p>
      <w:pPr>
        <w:ind w:right="2959" w:firstLine="837"/>
        <w:spacing w:after="0" w:line="234" w:lineRule="auto"/>
        <w:rPr>
          <w:sz w:val="20"/>
          <w:szCs w:val="20"/>
          <w:color w:val="auto"/>
        </w:rPr>
      </w:pPr>
      <w:r>
        <w:rPr>
          <w:rFonts w:ascii="Courier New" w:cs="Courier New" w:eastAsia="Courier New" w:hAnsi="Courier New"/>
          <w:sz w:val="16"/>
          <w:szCs w:val="16"/>
          <w:color w:val="auto"/>
        </w:rPr>
        <w:t>Our principal office is located at 1825 Research Way, Salt lake City, UT 84119, our telephone number is (801) 975-7200.</w:t>
      </w:r>
    </w:p>
    <w:p>
      <w:pPr>
        <w:spacing w:after="0" w:line="356"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RISK FACTORS</w:t>
      </w:r>
    </w:p>
    <w:p>
      <w:pPr>
        <w:spacing w:after="0" w:line="362"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Investing in our common stock may involve a high degree of risk. These risks will be set forth in a prospectus supplement relating to the securities to be offered by that prospectus supplement. You should carefully consider the important factors set forth under the heading "Risk Factors" in the applicable supplement to this prospectus before investing in any securities that may be offered.</w:t>
      </w:r>
    </w:p>
    <w:p>
      <w:pPr>
        <w:spacing w:after="0" w:line="356"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USE OF PROCEEDS</w:t>
      </w:r>
    </w:p>
    <w:p>
      <w:pPr>
        <w:spacing w:after="0" w:line="362" w:lineRule="exact"/>
        <w:rPr>
          <w:sz w:val="20"/>
          <w:szCs w:val="20"/>
          <w:color w:val="auto"/>
        </w:rPr>
      </w:pPr>
    </w:p>
    <w:p>
      <w:pPr>
        <w:ind w:right="2879" w:firstLine="837"/>
        <w:spacing w:after="0" w:line="236" w:lineRule="auto"/>
        <w:rPr>
          <w:sz w:val="20"/>
          <w:szCs w:val="20"/>
          <w:color w:val="auto"/>
        </w:rPr>
      </w:pPr>
      <w:r>
        <w:rPr>
          <w:rFonts w:ascii="Courier New" w:cs="Courier New" w:eastAsia="Courier New" w:hAnsi="Courier New"/>
          <w:sz w:val="16"/>
          <w:szCs w:val="16"/>
          <w:color w:val="auto"/>
        </w:rPr>
        <w:t>Unless indicated otherwise in the applicable prospectus supplement, we expect to use the net proceeds from the sale of our common stock for general corporate purposes, including, but not limited to, acquisitions, repayment or refinancing of borrowings, working capital or capital expenditures. Additional information on the use of net proceeds from the sale of common stock offered by this prospectus may be set forth in the prospectus supplement relating to such offering. We will not receive any proceeds from the sale of our common stock by the selling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54" w:right="1440" w:bottom="1440" w:gutter="0" w:footer="0" w:header="0"/>
        </w:sectPr>
      </w:pPr>
    </w:p>
    <w:bookmarkStart w:id="39" w:name="page40"/>
    <w:bookmarkEnd w:id="39"/>
    <w:p>
      <w:pPr>
        <w:ind w:left="2325"/>
        <w:spacing w:after="0"/>
        <w:rPr>
          <w:sz w:val="20"/>
          <w:szCs w:val="20"/>
          <w:color w:val="auto"/>
        </w:rPr>
      </w:pPr>
      <w:r>
        <w:rPr>
          <w:rFonts w:ascii="Courier New" w:cs="Courier New" w:eastAsia="Courier New" w:hAnsi="Courier New"/>
          <w:sz w:val="16"/>
          <w:szCs w:val="16"/>
          <w:color w:val="auto"/>
        </w:rPr>
        <w:t>DESCRIPTION OF OUR COMMON STOCK</w:t>
      </w:r>
    </w:p>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General</w:t>
      </w:r>
    </w:p>
    <w:p>
      <w:pPr>
        <w:spacing w:after="0" w:line="183" w:lineRule="exact"/>
        <w:rPr>
          <w:sz w:val="20"/>
          <w:szCs w:val="20"/>
          <w:color w:val="auto"/>
        </w:rPr>
      </w:pPr>
    </w:p>
    <w:p>
      <w:pPr>
        <w:ind w:left="5" w:right="2779" w:firstLine="837"/>
        <w:spacing w:after="0" w:line="236" w:lineRule="auto"/>
        <w:rPr>
          <w:sz w:val="20"/>
          <w:szCs w:val="20"/>
          <w:color w:val="auto"/>
        </w:rPr>
      </w:pPr>
      <w:r>
        <w:rPr>
          <w:rFonts w:ascii="Courier New" w:cs="Courier New" w:eastAsia="Courier New" w:hAnsi="Courier New"/>
          <w:sz w:val="16"/>
          <w:szCs w:val="16"/>
          <w:color w:val="auto"/>
        </w:rPr>
        <w:t>We are authorized to issue 50,000,000 shares of common stock, par value of $0.001 per share. As of September 30, 2002, there were 11,197,134 shares of common stock outstanding held by approximately 455 stockholders of record. The following discussion describes provisions of ClearOne's articles of incorporation and bylaws and the Utah Revised Business Corporation Act (the "URBCA").</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Voting Rights of Common Stock</w:t>
      </w:r>
    </w:p>
    <w:p>
      <w:pPr>
        <w:spacing w:after="0" w:line="183" w:lineRule="exact"/>
        <w:rPr>
          <w:sz w:val="20"/>
          <w:szCs w:val="20"/>
          <w:color w:val="auto"/>
        </w:rPr>
      </w:pPr>
    </w:p>
    <w:p>
      <w:pPr>
        <w:ind w:left="5" w:right="2779" w:firstLine="837"/>
        <w:spacing w:after="0" w:line="274" w:lineRule="auto"/>
        <w:rPr>
          <w:sz w:val="20"/>
          <w:szCs w:val="20"/>
          <w:color w:val="auto"/>
        </w:rPr>
      </w:pPr>
      <w:r>
        <w:rPr>
          <w:rFonts w:ascii="Courier New" w:cs="Courier New" w:eastAsia="Courier New" w:hAnsi="Courier New"/>
          <w:sz w:val="14"/>
          <w:szCs w:val="14"/>
          <w:color w:val="auto"/>
        </w:rPr>
        <w:t>Holders of the common stock are entitled to one vote per share on all matters submitted to a vote of stockholders generally. The rights of holders of common stock may be modified otherwise than by a vote of the majority or more of the shares of common stock outstanding. The rights of holders may be modified at a meeting of common stockholders if a quorum exists and the votes cast for such modification exceed the votes cast against such modification. A majority of the votes entitled to be cast upon a matter constitutes a quorum.</w:t>
      </w:r>
    </w:p>
    <w:p>
      <w:pPr>
        <w:spacing w:after="0" w:line="158"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Dividends on Common Stock</w:t>
      </w:r>
    </w:p>
    <w:p>
      <w:pPr>
        <w:spacing w:after="0" w:line="183" w:lineRule="exact"/>
        <w:rPr>
          <w:sz w:val="20"/>
          <w:szCs w:val="20"/>
          <w:color w:val="auto"/>
        </w:rPr>
      </w:pPr>
    </w:p>
    <w:p>
      <w:pPr>
        <w:ind w:left="5" w:right="2879" w:firstLine="837"/>
        <w:spacing w:after="0" w:line="236" w:lineRule="auto"/>
        <w:rPr>
          <w:sz w:val="20"/>
          <w:szCs w:val="20"/>
          <w:color w:val="auto"/>
        </w:rPr>
      </w:pPr>
      <w:r>
        <w:rPr>
          <w:rFonts w:ascii="Courier New" w:cs="Courier New" w:eastAsia="Courier New" w:hAnsi="Courier New"/>
          <w:sz w:val="16"/>
          <w:szCs w:val="16"/>
          <w:color w:val="auto"/>
        </w:rPr>
        <w:t>The holders of the common stock are entitled to receive, pro rata, dividends as may be declared by our Board of Directors out of funds legally available for the payment of dividends. However, we are prohibited by the terms of our revolving credit loan from paying a dividend on our common stock. As of the date of this prospectus we have not, nor do we intend to, make dividend payments of common stock.</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Other Provisions and Information Applicable to the Common Stock</w:t>
      </w:r>
    </w:p>
    <w:p>
      <w:pPr>
        <w:spacing w:after="0" w:line="183" w:lineRule="exact"/>
        <w:rPr>
          <w:sz w:val="20"/>
          <w:szCs w:val="20"/>
          <w:color w:val="auto"/>
        </w:rPr>
      </w:pPr>
    </w:p>
    <w:p>
      <w:pPr>
        <w:ind w:left="5" w:right="2779" w:firstLine="837"/>
        <w:spacing w:after="0" w:line="235" w:lineRule="auto"/>
        <w:rPr>
          <w:sz w:val="20"/>
          <w:szCs w:val="20"/>
          <w:color w:val="auto"/>
        </w:rPr>
      </w:pPr>
      <w:r>
        <w:rPr>
          <w:rFonts w:ascii="Courier New" w:cs="Courier New" w:eastAsia="Courier New" w:hAnsi="Courier New"/>
          <w:sz w:val="16"/>
          <w:szCs w:val="16"/>
          <w:color w:val="auto"/>
        </w:rPr>
        <w:t>There are no preemptive rights to subscribe for any additional securities that we may issue. There are no redemption provisions or sinking fund provisions applicable to the common stock, nor is the common stock subject to calls or assessments by ClearOne.</w:t>
      </w:r>
    </w:p>
    <w:p>
      <w:pPr>
        <w:spacing w:after="0" w:line="185" w:lineRule="exact"/>
        <w:rPr>
          <w:sz w:val="20"/>
          <w:szCs w:val="20"/>
          <w:color w:val="auto"/>
        </w:rPr>
      </w:pPr>
    </w:p>
    <w:p>
      <w:pPr>
        <w:ind w:left="5" w:right="2959" w:firstLine="837"/>
        <w:spacing w:after="0" w:line="235" w:lineRule="auto"/>
        <w:rPr>
          <w:sz w:val="20"/>
          <w:szCs w:val="20"/>
          <w:color w:val="auto"/>
        </w:rPr>
      </w:pPr>
      <w:r>
        <w:rPr>
          <w:rFonts w:ascii="Courier New" w:cs="Courier New" w:eastAsia="Courier New" w:hAnsi="Courier New"/>
          <w:sz w:val="16"/>
          <w:szCs w:val="16"/>
          <w:color w:val="auto"/>
        </w:rPr>
        <w:t>In the event of any liquidation, dissolution or winding-up of the affairs of ClearOne, holders of common stock will be entitled to share ratably in the assets of ClearOne remaining after payment or provision for payment of all of ClearOne's debts and obligations.</w:t>
      </w:r>
    </w:p>
    <w:p>
      <w:pPr>
        <w:spacing w:after="0" w:line="185" w:lineRule="exact"/>
        <w:rPr>
          <w:sz w:val="20"/>
          <w:szCs w:val="20"/>
          <w:color w:val="auto"/>
        </w:rPr>
      </w:pPr>
    </w:p>
    <w:p>
      <w:pPr>
        <w:ind w:left="5" w:right="2779" w:firstLine="837"/>
        <w:spacing w:after="0" w:line="272" w:lineRule="auto"/>
        <w:rPr>
          <w:sz w:val="20"/>
          <w:szCs w:val="20"/>
          <w:color w:val="auto"/>
        </w:rPr>
      </w:pPr>
      <w:r>
        <w:rPr>
          <w:rFonts w:ascii="Courier New" w:cs="Courier New" w:eastAsia="Courier New" w:hAnsi="Courier New"/>
          <w:sz w:val="14"/>
          <w:szCs w:val="14"/>
          <w:color w:val="auto"/>
        </w:rPr>
        <w:t>Under the URBCA, in connection with a merger, share exchange or sale, lease, exchange or other disposition of all or substantially all of the assets of a corporation (other than in the ordinary course of the corporation's business), a dissenting stockholder, after complying with certain procedures, is entitled to payment from the corporation of the fair value of the stockholder's shares. The fair value is estimated by the corporation. However, if the stockholder is unwilling to accept the corporation's estimate, the stockholder may provide the corporation with an estimate of the fair value and demand payment of that amount. If the corporation is unwilling to pay that amount, the corporation shall apply for a judicial determination of the fair value. Unless the articles of incorporation, bylaws or a resolution of the board of directors provide otherwise, stockholders are not entitled to dissenters' rights when the shares are listed on a national securities exchange or the National Market System of NASDAQ, or are held of record by more than 2,000 holders. However, this exception does not apply if, pursuant to the corporate action, the stockholder will receive anything other than: (i) shares of the surviving corporation; (ii) shares of a corporation that is or will be listed on a national securities exchange, the National Market System of NASDAQ, or held of record by more than 2,000 holders; (iii) cash in lieu of fractional shares; or</w:t>
      </w:r>
    </w:p>
    <w:p>
      <w:pPr>
        <w:spacing w:after="0" w:line="343" w:lineRule="exact"/>
        <w:rPr>
          <w:sz w:val="20"/>
          <w:szCs w:val="20"/>
          <w:color w:val="auto"/>
        </w:rPr>
      </w:pPr>
    </w:p>
    <w:p>
      <w:pPr>
        <w:ind w:left="5" w:right="6679" w:hanging="5"/>
        <w:spacing w:after="0" w:line="541" w:lineRule="auto"/>
        <w:tabs>
          <w:tab w:leader="none" w:pos="47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combination of the foregoing. Certain Anti-Takeover Provisions</w:t>
      </w:r>
    </w:p>
    <w:p>
      <w:pPr>
        <w:spacing w:after="0" w:line="1" w:lineRule="exact"/>
        <w:rPr>
          <w:sz w:val="20"/>
          <w:szCs w:val="20"/>
          <w:color w:val="auto"/>
        </w:rPr>
      </w:pPr>
    </w:p>
    <w:p>
      <w:pPr>
        <w:ind w:left="5" w:right="3059" w:firstLine="837"/>
        <w:spacing w:after="0" w:line="276" w:lineRule="auto"/>
        <w:rPr>
          <w:sz w:val="20"/>
          <w:szCs w:val="20"/>
          <w:color w:val="auto"/>
        </w:rPr>
      </w:pPr>
      <w:r>
        <w:rPr>
          <w:rFonts w:ascii="Courier New" w:cs="Courier New" w:eastAsia="Courier New" w:hAnsi="Courier New"/>
          <w:sz w:val="14"/>
          <w:szCs w:val="14"/>
          <w:color w:val="auto"/>
        </w:rPr>
        <w:t>The provisions of ClearOne's articles of incorporation and bylaws do not contain anti-takeover provisions. ClearOne's articles of incorporation provide that the number of directors shall not exceed nine and shall be fixed from time to time by resolution by the board of directors. ClearOne's bylaws provide that directors may be removed with or without cause. Removal of a</w:t>
      </w:r>
    </w:p>
    <w:p>
      <w:pPr>
        <w:spacing w:after="0" w:line="334"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4"/>
          </w:cols>
          <w:pgMar w:left="235" w:top="827" w:right="1440" w:bottom="1440" w:gutter="0" w:footer="0" w:header="0"/>
        </w:sectPr>
      </w:pPr>
    </w:p>
    <w:bookmarkStart w:id="40" w:name="page41"/>
    <w:bookmarkEnd w:id="40"/>
    <w:p>
      <w:pPr>
        <w:ind w:left="5" w:right="2779"/>
        <w:spacing w:after="0" w:line="234" w:lineRule="auto"/>
        <w:rPr>
          <w:sz w:val="20"/>
          <w:szCs w:val="20"/>
          <w:color w:val="auto"/>
        </w:rPr>
      </w:pPr>
      <w:r>
        <w:rPr>
          <w:rFonts w:ascii="Courier New" w:cs="Courier New" w:eastAsia="Courier New" w:hAnsi="Courier New"/>
          <w:sz w:val="16"/>
          <w:szCs w:val="16"/>
          <w:color w:val="auto"/>
        </w:rPr>
        <w:t>director requires that the votes cast by the stockholders to remove the director exceed the number of votes cast not to remove the director.</w:t>
      </w:r>
    </w:p>
    <w:p>
      <w:pPr>
        <w:spacing w:after="0" w:line="183" w:lineRule="exact"/>
        <w:rPr>
          <w:sz w:val="20"/>
          <w:szCs w:val="20"/>
          <w:color w:val="auto"/>
        </w:rPr>
      </w:pPr>
    </w:p>
    <w:p>
      <w:pPr>
        <w:ind w:left="5" w:right="2779" w:firstLine="837"/>
        <w:spacing w:after="0" w:line="271" w:lineRule="auto"/>
        <w:rPr>
          <w:sz w:val="20"/>
          <w:szCs w:val="20"/>
          <w:color w:val="auto"/>
        </w:rPr>
      </w:pPr>
      <w:r>
        <w:rPr>
          <w:rFonts w:ascii="Courier New" w:cs="Courier New" w:eastAsia="Courier New" w:hAnsi="Courier New"/>
          <w:sz w:val="14"/>
          <w:szCs w:val="14"/>
          <w:color w:val="auto"/>
        </w:rPr>
        <w:t>The Utah Control Share Acquisition Act (the "Share Acquisition Act"), set forth in Sections 61-6-1 through 61-6-12 of the Utah Code Annotated, generally provides that, when any person obtains shares (or the power to direct the voting of shares) of "an issuing public corporation" such that the person's voting power equals or exceeds any of three levels (20%, 331/3% or 50%), the ability to vote (or to direct the voting of) the "control shares" is conditioned on the approval by a majority of the corporation's shares (voting in voting groups, if applicable), excluding the "interested shares." Stockholder approval may occur at the next annual or special meeting of the stockholders, or, if the acquiring person requests and agrees to pay the associated costs of the corporation, at a special meeting of the stockholders to be held within 50 days of the corporation's receipt of the request by an acquiring person. If authorized by the articles of incorporation or the bylaws, the corporation may redeem "control shares" at the fair market value if the acquiring person fails to file an "acquiring person statement" or if the stockholders do not grant voting rights to control shares. The ClearOne articles of incorporation and bylaws make no reference to the Share Acquisition Act. If the stockholders grant voting rights to the control shares, and if the acquiring person obtained a majority of the voting power, stockholders may be entitled to dissenters' rights under the URBCA. An acquisition of shares does not constitute a control share acquisition within the meaning of the Share Acquisition Act if (1) the corporation's article of incorporation of bylaws provide that the Share Acquisition Act does not apply; (2) the acquisition is consummated pursuant to a merger in accordance with the URBCA; or (3) under certain other specified circumstances.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Limitation of Liability of Directors</w:t>
      </w:r>
    </w:p>
    <w:p>
      <w:pPr>
        <w:spacing w:after="0" w:line="183" w:lineRule="exact"/>
        <w:rPr>
          <w:sz w:val="20"/>
          <w:szCs w:val="20"/>
          <w:color w:val="auto"/>
        </w:rPr>
      </w:pPr>
    </w:p>
    <w:p>
      <w:pPr>
        <w:ind w:left="5" w:right="2779" w:firstLine="837"/>
        <w:spacing w:after="0" w:line="272" w:lineRule="auto"/>
        <w:rPr>
          <w:sz w:val="20"/>
          <w:szCs w:val="20"/>
          <w:color w:val="auto"/>
        </w:rPr>
      </w:pPr>
      <w:r>
        <w:rPr>
          <w:rFonts w:ascii="Courier New" w:cs="Courier New" w:eastAsia="Courier New" w:hAnsi="Courier New"/>
          <w:sz w:val="14"/>
          <w:szCs w:val="14"/>
          <w:color w:val="auto"/>
        </w:rPr>
        <w:t>The URBCA provides that a director or officer of a Utah corporation is not liable to the corporation or its stockholders for any action taken, or any failure to take any action, as an officer or director, unless (1) the director or officer has breached or failed to perform the duties of the office (which requires that the director or officer acted (A) in good faith, (B) with the care an ordinary prudent person in like position would exercise under similar circumstances and (C) in a manner that the director or officer reasonably believes to be in the best interest of the corporation), and (2) the breach or failure to perform constitutes gross negligence, willful misconduct or intentional infliction of harm on the corporation or the stockholders. The URBCA permits a corporation to eliminate or limit the liability of a director to the corporation or its stockholders for monetary damages for any action taken or failure to take any action, as a director, except liability for (1) the amount of a financial benefit received by a director to which he is not entitled; (2) an intentional infliction of harm on the corporation or its stockholders; (3) voting for or assenting to an unlawful distribution of assets as defined under the URBCA, or (4) an intentional violation of criminal law. ClearOne has not limited such liability for its directors.</w:t>
      </w:r>
    </w:p>
    <w:p>
      <w:pPr>
        <w:spacing w:after="0" w:line="200" w:lineRule="exact"/>
        <w:rPr>
          <w:sz w:val="20"/>
          <w:szCs w:val="20"/>
          <w:color w:val="auto"/>
        </w:rPr>
      </w:pPr>
    </w:p>
    <w:p>
      <w:pPr>
        <w:spacing w:after="0" w:line="31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Indemnification of Directors and Officers</w:t>
      </w:r>
    </w:p>
    <w:p>
      <w:pPr>
        <w:spacing w:after="0" w:line="183" w:lineRule="exact"/>
        <w:rPr>
          <w:sz w:val="20"/>
          <w:szCs w:val="20"/>
          <w:color w:val="auto"/>
        </w:rPr>
      </w:pPr>
    </w:p>
    <w:p>
      <w:pPr>
        <w:ind w:left="5" w:right="2879" w:firstLine="837"/>
        <w:spacing w:after="0" w:line="270" w:lineRule="auto"/>
        <w:rPr>
          <w:sz w:val="20"/>
          <w:szCs w:val="20"/>
          <w:color w:val="auto"/>
        </w:rPr>
      </w:pPr>
      <w:r>
        <w:rPr>
          <w:rFonts w:ascii="Courier New" w:cs="Courier New" w:eastAsia="Courier New" w:hAnsi="Courier New"/>
          <w:sz w:val="14"/>
          <w:szCs w:val="14"/>
          <w:color w:val="auto"/>
        </w:rPr>
        <w:t>The ClearOne bylaws provide that it shall indemnify an individual made a party to a proceeding because he is or was a director, against any liability incurred in the proceeding if (1) the individual's conduct was in good faith;</w:t>
      </w:r>
    </w:p>
    <w:p>
      <w:pPr>
        <w:spacing w:after="0" w:line="1" w:lineRule="exact"/>
        <w:rPr>
          <w:sz w:val="20"/>
          <w:szCs w:val="20"/>
          <w:color w:val="auto"/>
        </w:rPr>
      </w:pPr>
    </w:p>
    <w:p>
      <w:pPr>
        <w:ind w:left="5" w:right="2779" w:hanging="5"/>
        <w:spacing w:after="0" w:line="272" w:lineRule="auto"/>
        <w:tabs>
          <w:tab w:leader="none" w:pos="377"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individual reasonably believed that his conduct was in, or not opposed to, the corporation's best interests; and (3) in the case of a criminal proceeding he had no reasonable cause to believe his conduct was unlawful; provided, however, that (x) in the case of an action by or in the right of the corporation, indemnification is limited to reasonable expenses incurred in connection with the proceeding and (y) the corporation may not, unless authorized by a court of competent jurisdiction, indemnify an individual (A) in connection with a proceeding by or in the right of the corporation in which the individual was adjudged liable to the corporation or (B) in connection with any other proceeding in which the individual is adjudged liable on the basis that he derived an improper personal benefit. In a judicial proceeding under the foregoing clause (y), in order to authorize indemnification, the court must determine that the individual is fairly and reasonably entitled to indemnification in view of all the relevant circumstances. A director is entitled to mandatory indemnification if he was successful, on the merits or otherwise, in the defense of any proceeding, or in the defense of any claim, issue or matter in the proceeding to which he was a party because he is or was a director of ClearOne, against the reasonable expenses incurred by him in connection with the proceeding or claim with respect to which he was successful. ClearOne must also advance a director expenses under certain circumstances. ClearOne may also indemnify and advance expenses to an officer, employee, or agent to any extent consistent with public policy.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4"/>
          </w:cols>
          <w:pgMar w:left="235" w:top="654" w:right="1440" w:bottom="1440" w:gutter="0" w:footer="0" w:header="0"/>
        </w:sectPr>
      </w:pPr>
    </w:p>
    <w:bookmarkStart w:id="41" w:name="page42"/>
    <w:bookmarkEnd w:id="41"/>
    <w:p>
      <w:pPr>
        <w:ind w:right="2879" w:firstLine="837"/>
        <w:spacing w:after="0" w:line="235" w:lineRule="auto"/>
        <w:rPr>
          <w:sz w:val="20"/>
          <w:szCs w:val="20"/>
          <w:color w:val="auto"/>
        </w:rPr>
      </w:pPr>
      <w:r>
        <w:rPr>
          <w:rFonts w:ascii="Courier New" w:cs="Courier New" w:eastAsia="Courier New" w:hAnsi="Courier New"/>
          <w:sz w:val="16"/>
          <w:szCs w:val="16"/>
          <w:color w:val="auto"/>
        </w:rPr>
        <w:t>The ClearOne articles of incorporation provide that ClearOne will indemnify a director against any liability may arise as a result of such director contracting with ClearOne for the benefit of himself or any firm, association or corporation in which such director may be interested in any way, provided such director acts in good faith.</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Transfer Agent and Registrar</w:t>
      </w:r>
    </w:p>
    <w:p>
      <w:pPr>
        <w:spacing w:after="0" w:line="183" w:lineRule="exact"/>
        <w:rPr>
          <w:sz w:val="20"/>
          <w:szCs w:val="20"/>
          <w:color w:val="auto"/>
        </w:rPr>
      </w:pPr>
    </w:p>
    <w:p>
      <w:pPr>
        <w:ind w:right="3339" w:firstLine="837"/>
        <w:spacing w:after="0" w:line="234" w:lineRule="auto"/>
        <w:rPr>
          <w:sz w:val="20"/>
          <w:szCs w:val="20"/>
          <w:color w:val="auto"/>
        </w:rPr>
      </w:pPr>
      <w:r>
        <w:rPr>
          <w:rFonts w:ascii="Courier New" w:cs="Courier New" w:eastAsia="Courier New" w:hAnsi="Courier New"/>
          <w:sz w:val="16"/>
          <w:szCs w:val="16"/>
          <w:color w:val="auto"/>
        </w:rPr>
        <w:t>American Stock Transfer &amp; Trust Company is the transfer agent and registrar for ClearOne's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54" w:right="1440" w:bottom="1440" w:gutter="0" w:footer="0" w:header="0"/>
        </w:sectPr>
      </w:pPr>
    </w:p>
    <w:bookmarkStart w:id="42" w:name="page43"/>
    <w:bookmarkEnd w:id="42"/>
    <w:p>
      <w:pPr>
        <w:ind w:left="2780"/>
        <w:spacing w:after="0"/>
        <w:rPr>
          <w:sz w:val="20"/>
          <w:szCs w:val="20"/>
          <w:color w:val="auto"/>
        </w:rPr>
      </w:pPr>
      <w:r>
        <w:rPr>
          <w:rFonts w:ascii="Courier New" w:cs="Courier New" w:eastAsia="Courier New" w:hAnsi="Courier New"/>
          <w:sz w:val="16"/>
          <w:szCs w:val="16"/>
          <w:color w:val="auto"/>
        </w:rPr>
        <w:t>SELLING STOCKHOLDERS</w:t>
      </w:r>
    </w:p>
    <w:p>
      <w:pPr>
        <w:spacing w:after="0" w:line="362" w:lineRule="exact"/>
        <w:rPr>
          <w:sz w:val="20"/>
          <w:szCs w:val="20"/>
          <w:color w:val="auto"/>
        </w:rPr>
      </w:pPr>
    </w:p>
    <w:p>
      <w:pPr>
        <w:ind w:right="3339" w:firstLine="837"/>
        <w:spacing w:after="0" w:line="235" w:lineRule="auto"/>
        <w:rPr>
          <w:sz w:val="20"/>
          <w:szCs w:val="20"/>
          <w:color w:val="auto"/>
        </w:rPr>
      </w:pPr>
      <w:r>
        <w:rPr>
          <w:rFonts w:ascii="Courier New" w:cs="Courier New" w:eastAsia="Courier New" w:hAnsi="Courier New"/>
          <w:sz w:val="16"/>
          <w:szCs w:val="16"/>
          <w:color w:val="auto"/>
        </w:rPr>
        <w:t>Some of the shares of common stock being offered pursuant to this prospectus may be offered by certain stockholders, including the selling stockholders named below.</w:t>
      </w:r>
    </w:p>
    <w:p>
      <w:pPr>
        <w:spacing w:after="0" w:line="183"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The following table sets forth the name of some selling stockholders who may offer their common stock pursuant to this prospectus and their relationship to ClearOne. If and when shares of common stock are to be offered and sold by one or more selling stockholders, the relevant prospectus supplement will identify the selling stockholders selling in that offering and their relationship to ClearOne as well as the number of shares then owned, and to be offered, by such selling stockholders.</w:t>
      </w:r>
    </w:p>
    <w:p>
      <w:pPr>
        <w:sectPr>
          <w:pgSz w:w="11900" w:h="16838" w:orient="portrait"/>
          <w:cols w:equalWidth="0" w:num="1">
            <w:col w:w="10219"/>
          </w:cols>
          <w:pgMar w:left="240" w:top="827" w:right="1440" w:bottom="1440" w:gutter="0" w:footer="0" w:header="0"/>
        </w:sectPr>
      </w:pPr>
    </w:p>
    <w:p>
      <w:pPr>
        <w:spacing w:after="0" w:line="184" w:lineRule="exact"/>
        <w:rPr>
          <w:sz w:val="20"/>
          <w:szCs w:val="20"/>
          <w:color w:val="auto"/>
        </w:rPr>
      </w:pPr>
    </w:p>
    <w:p>
      <w:pPr>
        <w:ind w:left="740"/>
        <w:spacing w:after="0"/>
        <w:rPr>
          <w:sz w:val="20"/>
          <w:szCs w:val="20"/>
          <w:color w:val="auto"/>
        </w:rPr>
      </w:pPr>
      <w:r>
        <w:rPr>
          <w:rFonts w:ascii="Courier New" w:cs="Courier New" w:eastAsia="Courier New" w:hAnsi="Courier New"/>
          <w:sz w:val="14"/>
          <w:szCs w:val="14"/>
          <w:color w:val="auto"/>
        </w:rPr>
        <w:t>Selling Stockholder</w:t>
      </w:r>
    </w:p>
    <w:p>
      <w:pPr>
        <w:spacing w:after="0" w:line="20" w:lineRule="exact"/>
        <w:rPr>
          <w:sz w:val="20"/>
          <w:szCs w:val="20"/>
          <w:color w:val="auto"/>
        </w:rPr>
      </w:pPr>
    </w:p>
    <w:p>
      <w:pPr>
        <w:ind w:left="7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Relationship to ClearOne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sectPr>
          <w:pgSz w:w="11900" w:h="16838" w:orient="portrait"/>
          <w:cols w:equalWidth="0" w:num="2">
            <w:col w:w="3560" w:space="720"/>
            <w:col w:w="5939"/>
          </w:cols>
          <w:pgMar w:left="240" w:top="827"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Frances M. Flood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Ms. Flood currently serves as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Chief Executive Officer and</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of the Board of Directors.</w:t>
      </w:r>
    </w:p>
    <w:p>
      <w:pPr>
        <w:spacing w:after="0" w:line="177" w:lineRule="exact"/>
        <w:rPr>
          <w:sz w:val="20"/>
          <w:szCs w:val="20"/>
          <w:color w:val="auto"/>
        </w:rPr>
      </w:pPr>
    </w:p>
    <w:p>
      <w:pPr>
        <w:sectPr>
          <w:pgSz w:w="11900" w:h="16838" w:orient="portrait"/>
          <w:cols w:equalWidth="0" w:num="2">
            <w:col w:w="2900" w:space="720"/>
            <w:col w:w="6599"/>
          </w:cols>
          <w:pgMar w:left="240" w:top="827"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Susie Strohm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Ms. Strohm currently serves as Vice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 Financial Officer of</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ClearOne, and previously was Controller</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ClearOne.</w:t>
      </w:r>
    </w:p>
    <w:p>
      <w:pPr>
        <w:spacing w:after="0" w:line="183" w:lineRule="exact"/>
        <w:rPr>
          <w:sz w:val="20"/>
          <w:szCs w:val="20"/>
          <w:color w:val="auto"/>
        </w:rPr>
      </w:pPr>
    </w:p>
    <w:p>
      <w:pPr>
        <w:sectPr>
          <w:pgSz w:w="11900" w:h="16838" w:orient="portrait"/>
          <w:cols w:equalWidth="0" w:num="2">
            <w:col w:w="2900" w:space="720"/>
            <w:col w:w="6599"/>
          </w:cols>
          <w:pgMar w:left="240" w:top="82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Edward D. Bagley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Mr. Bagley has been a director of</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ClearOne since April 1996.</w:t>
      </w:r>
    </w:p>
    <w:p>
      <w:pPr>
        <w:spacing w:after="0" w:line="183" w:lineRule="exact"/>
        <w:rPr>
          <w:sz w:val="20"/>
          <w:szCs w:val="20"/>
          <w:color w:val="auto"/>
        </w:rPr>
      </w:pPr>
    </w:p>
    <w:p>
      <w:pPr>
        <w:sectPr>
          <w:pgSz w:w="11900" w:h="16838" w:orient="portrait"/>
          <w:cols w:equalWidth="0" w:num="2">
            <w:col w:w="2900" w:space="720"/>
            <w:col w:w="6599"/>
          </w:cols>
          <w:pgMar w:left="240" w:top="82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Brad R. Baldwin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Mr. Baldwin has been a director of</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ClearOne since 1998.</w:t>
      </w:r>
    </w:p>
    <w:p>
      <w:pPr>
        <w:spacing w:after="0" w:line="183" w:lineRule="exact"/>
        <w:rPr>
          <w:sz w:val="20"/>
          <w:szCs w:val="20"/>
          <w:color w:val="auto"/>
        </w:rPr>
      </w:pPr>
    </w:p>
    <w:p>
      <w:pPr>
        <w:sectPr>
          <w:pgSz w:w="11900" w:h="16838" w:orient="portrait"/>
          <w:cols w:equalWidth="0" w:num="2">
            <w:col w:w="2900" w:space="720"/>
            <w:col w:w="6599"/>
          </w:cols>
          <w:pgMar w:left="240" w:top="82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Wedbush Morgan Securities, Inc.</w:t>
      </w:r>
    </w:p>
    <w:p>
      <w:pPr>
        <w:spacing w:after="0" w:line="20" w:lineRule="exact"/>
        <w:rPr>
          <w:sz w:val="20"/>
          <w:szCs w:val="20"/>
          <w:color w:val="auto"/>
        </w:rPr>
      </w:pPr>
      <w:r>
        <w:rPr>
          <w:sz w:val="20"/>
          <w:szCs w:val="20"/>
          <w:color w:val="auto"/>
        </w:rPr>
        <w:br w:type="column"/>
      </w:r>
    </w:p>
    <w:p>
      <w:pPr>
        <w:ind w:right="2879"/>
        <w:spacing w:after="0" w:line="236" w:lineRule="auto"/>
        <w:rPr>
          <w:sz w:val="20"/>
          <w:szCs w:val="20"/>
          <w:color w:val="auto"/>
        </w:rPr>
      </w:pPr>
      <w:r>
        <w:rPr>
          <w:rFonts w:ascii="Courier New" w:cs="Courier New" w:eastAsia="Courier New" w:hAnsi="Courier New"/>
          <w:sz w:val="16"/>
          <w:szCs w:val="16"/>
          <w:color w:val="auto"/>
        </w:rPr>
        <w:t>Wedbush Morgan Securities was our financial advisor in connection with the private placement of our common stock in December 2001. We issued warrants to purchase 150,000 shares of our common stock at $17.00 per share to Wedbush Morgan Securities.</w:t>
      </w:r>
    </w:p>
    <w:p>
      <w:pPr>
        <w:spacing w:after="0" w:line="200" w:lineRule="exact"/>
        <w:rPr>
          <w:sz w:val="20"/>
          <w:szCs w:val="20"/>
          <w:color w:val="auto"/>
        </w:rPr>
      </w:pPr>
    </w:p>
    <w:p>
      <w:pPr>
        <w:sectPr>
          <w:pgSz w:w="11900" w:h="16838" w:orient="portrait"/>
          <w:cols w:equalWidth="0" w:num="2">
            <w:col w:w="2900" w:space="720"/>
            <w:col w:w="6599"/>
          </w:cols>
          <w:pgMar w:left="240" w:top="82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827" w:right="1440" w:bottom="1440" w:gutter="0" w:footer="0" w:header="0"/>
          <w:type w:val="continuous"/>
        </w:sectPr>
      </w:pPr>
    </w:p>
    <w:bookmarkStart w:id="43" w:name="page44"/>
    <w:bookmarkEnd w:id="43"/>
    <w:p>
      <w:pPr>
        <w:ind w:left="2780"/>
        <w:spacing w:after="0"/>
        <w:rPr>
          <w:sz w:val="20"/>
          <w:szCs w:val="20"/>
          <w:color w:val="auto"/>
        </w:rPr>
      </w:pPr>
      <w:r>
        <w:rPr>
          <w:rFonts w:ascii="Courier New" w:cs="Courier New" w:eastAsia="Courier New" w:hAnsi="Courier New"/>
          <w:sz w:val="16"/>
          <w:szCs w:val="16"/>
          <w:color w:val="auto"/>
        </w:rPr>
        <w:t>PLAN OF DISTRIBUTION</w:t>
      </w:r>
    </w:p>
    <w:p>
      <w:pPr>
        <w:spacing w:after="0" w:line="362"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ClearOne and the selling stockholders may sell the common stock described in this prospectus to one or more underwriters for public offering, or to investors directly or through agents. The selling stockholders will act independently of us in making decisions regarding the timing, manner and size of each sale. The name of any such underwriter or agent involved in the offer and sale of the securities, the amounts underwritten and the nature of its obligation to take the securities will be named in the applicable prospectus supplement. ClearOne and the selling stockholders have reserved the right to sell the common stock directly to investors on their own behalf in those jurisdictions where they are authorized to do so. The sale of the common stock may be effected in transactions (a) on any national or international securities exchange or quotation service on which the securities may be listed or quoted at the time of sale, (b) in the over-the-counter market, (c) in transactions otherwise than on such exchanges or in the over-the-counter market or (d) through the writing of options.</w:t>
      </w:r>
    </w:p>
    <w:p>
      <w:pPr>
        <w:spacing w:after="0" w:line="189"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Underwriters may offer and sell the common stock at a fixed price or prices that may be changed, at market prices prevailing at the time of sale, at prices related to such prevailing market prices or at negotiated prices. They may offer the securities on an exchange, which will be disclosed in the applicable prospectus supplement. ClearOne and the selling stockholders also may, from time to time, authorize dealers, acting as their agents, to offer and sell the common stock upon such terms and conditions as set forth in the applicable prospectus supplement. In connection with the sale of the common stock, underwriters may receive compensation from ClearOne and the selling stockholders in the form of underwriting discounts or commissions and may also receive commissions from purchasers of the securities for whom they may act as agent. Underwriters may sell the securities to or through dealers, and such dealers may receive compensation in the form of discounts, concessions or commissions from the underwriters or commissions (which may be changed from time to time) from the purchasers for whom they may act as agents.</w:t>
      </w:r>
    </w:p>
    <w:p>
      <w:pPr>
        <w:spacing w:after="0" w:line="189" w:lineRule="exact"/>
        <w:rPr>
          <w:sz w:val="20"/>
          <w:szCs w:val="20"/>
          <w:color w:val="auto"/>
        </w:rPr>
      </w:pPr>
    </w:p>
    <w:p>
      <w:pPr>
        <w:ind w:right="2879" w:firstLine="837"/>
        <w:spacing w:after="0" w:line="273" w:lineRule="auto"/>
        <w:rPr>
          <w:sz w:val="20"/>
          <w:szCs w:val="20"/>
          <w:color w:val="auto"/>
        </w:rPr>
      </w:pPr>
      <w:r>
        <w:rPr>
          <w:rFonts w:ascii="Courier New" w:cs="Courier New" w:eastAsia="Courier New" w:hAnsi="Courier New"/>
          <w:sz w:val="14"/>
          <w:szCs w:val="14"/>
          <w:color w:val="auto"/>
        </w:rPr>
        <w:t>Any underwriting compensation paid by ClearOne or the selling stockholders to underwriters or agents in connection with the offering of the common stock, and any discounts, concessions or commissions allowed by underwriters to participating dealers, will be set forth in the applicable prospectus supplement. The selling stockholders, dealers and agents participating in the distribution of the securities may be deemed to be underwriters, and any discounts and commissions received by them and any profit realized by them on resale of the common stock may be deemed to be underwriting discounts and commissions under the Securities Act. Underwriters, dealers and agents may be entitled, under agreements entered into with ClearOne and the selling stockholders, to indemnification against and contribution towards certain civil liabilities, including any liabilities under the Securities Act.</w:t>
      </w:r>
    </w:p>
    <w:p>
      <w:pPr>
        <w:spacing w:after="0" w:line="341"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Until the distribution of the common stock is completed, rules of the SEC may limit the ability of the underwriters to bid for and purchase the securities. As an exception to these rules, the underwriters are permitted to engage in certain transactions that stabilize the price of the common stock. Such transactions consist of bids or purchases for the purpose of pegging, fixing or maintaining the price of the common stock. If the underwriters create a short position in the securities in connection with the offering, that is, if they sell more common stock than are set forth on the cover page of the applicable prospectus supplement, the underwriters may reduce that short position by purchasing common stock in the open market. The underwriters may also impose a penalty bid on certain underwriters. This means that if the underwriters purchase the common stock in the open market to reduce the underwriters' short position or to stabilize the price of the common stock, they may reclaim the amount of the selling concession from the underwriters who sold those shares of common stock as part of the offering. In general, purchases of a common stock for the purpose of stabilization or to reduce a short position could cause the price of the common stock to be higher than it might be in the absence of such purchases. The imposition of a penalty bid might also have an effect on the price of a common stock to the extent that it were to discourage resales of the common stock.</w:t>
      </w:r>
    </w:p>
    <w:p>
      <w:pPr>
        <w:spacing w:after="0" w:line="192" w:lineRule="exact"/>
        <w:rPr>
          <w:sz w:val="20"/>
          <w:szCs w:val="20"/>
          <w:color w:val="auto"/>
        </w:rPr>
      </w:pPr>
    </w:p>
    <w:p>
      <w:pPr>
        <w:ind w:right="2779" w:firstLine="837"/>
        <w:spacing w:after="0" w:line="276" w:lineRule="auto"/>
        <w:rPr>
          <w:sz w:val="20"/>
          <w:szCs w:val="20"/>
          <w:color w:val="auto"/>
        </w:rPr>
      </w:pPr>
      <w:r>
        <w:rPr>
          <w:rFonts w:ascii="Courier New" w:cs="Courier New" w:eastAsia="Courier New" w:hAnsi="Courier New"/>
          <w:sz w:val="14"/>
          <w:szCs w:val="14"/>
          <w:color w:val="auto"/>
        </w:rPr>
        <w:t>The amount of expenses expected to be incurred by us in connection with any issuance of common stock will be set forth in the prospectus supplement. Certain of the underwriters, dealers or agents and their associates may engage in transactions with, and perform services for, ClearOne, the selling stockholders and certain of their affiliates in the ordinary course.</w:t>
      </w:r>
    </w:p>
    <w:p>
      <w:pPr>
        <w:spacing w:after="0" w:line="33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827" w:right="1440" w:bottom="1440" w:gutter="0" w:footer="0" w:header="0"/>
        </w:sectPr>
      </w:pPr>
    </w:p>
    <w:bookmarkStart w:id="44" w:name="page45"/>
    <w:bookmarkEnd w:id="44"/>
    <w:p>
      <w:pPr>
        <w:ind w:left="2500"/>
        <w:spacing w:after="0"/>
        <w:rPr>
          <w:sz w:val="20"/>
          <w:szCs w:val="20"/>
          <w:color w:val="auto"/>
        </w:rPr>
      </w:pPr>
      <w:r>
        <w:rPr>
          <w:rFonts w:ascii="Courier New" w:cs="Courier New" w:eastAsia="Courier New" w:hAnsi="Courier New"/>
          <w:sz w:val="16"/>
          <w:szCs w:val="16"/>
          <w:color w:val="auto"/>
        </w:rPr>
        <w:t>VALIDITY OF THE SECURITIES</w:t>
      </w:r>
    </w:p>
    <w:p>
      <w:pPr>
        <w:spacing w:after="0" w:line="362" w:lineRule="exact"/>
        <w:rPr>
          <w:sz w:val="20"/>
          <w:szCs w:val="20"/>
          <w:color w:val="auto"/>
        </w:rPr>
      </w:pPr>
    </w:p>
    <w:p>
      <w:pPr>
        <w:ind w:right="2779" w:firstLine="837"/>
        <w:spacing w:after="0" w:line="283" w:lineRule="auto"/>
        <w:rPr>
          <w:sz w:val="20"/>
          <w:szCs w:val="20"/>
          <w:color w:val="auto"/>
        </w:rPr>
      </w:pPr>
      <w:r>
        <w:rPr>
          <w:rFonts w:ascii="Courier New" w:cs="Courier New" w:eastAsia="Courier New" w:hAnsi="Courier New"/>
          <w:sz w:val="14"/>
          <w:szCs w:val="14"/>
          <w:color w:val="auto"/>
        </w:rPr>
        <w:t>The validity of our common stock issued hereunder will be passed upon for ClearOne by Clyde Snow Sessions &amp; Swenson, PC. Certain other legal matters will be passed upon for ClearOne by Shearman &amp; Sterling, Menlo Park, California.</w:t>
      </w:r>
    </w:p>
    <w:p>
      <w:pPr>
        <w:spacing w:after="0" w:line="148"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EXPERTS</w:t>
      </w:r>
    </w:p>
    <w:p>
      <w:pPr>
        <w:spacing w:after="0" w:line="362" w:lineRule="exact"/>
        <w:rPr>
          <w:sz w:val="20"/>
          <w:szCs w:val="20"/>
          <w:color w:val="auto"/>
        </w:rPr>
      </w:pPr>
    </w:p>
    <w:p>
      <w:pPr>
        <w:ind w:right="2879" w:firstLine="837"/>
        <w:spacing w:after="0" w:line="236" w:lineRule="auto"/>
        <w:rPr>
          <w:sz w:val="20"/>
          <w:szCs w:val="20"/>
          <w:color w:val="auto"/>
        </w:rPr>
      </w:pPr>
      <w:r>
        <w:rPr>
          <w:rFonts w:ascii="Courier New" w:cs="Courier New" w:eastAsia="Courier New" w:hAnsi="Courier New"/>
          <w:sz w:val="16"/>
          <w:szCs w:val="16"/>
          <w:color w:val="auto"/>
        </w:rPr>
        <w:t>Ernst &amp; Young LLP, independent auditors, have audited our consolidated financial statements included in our annual report on Form 10-K for the year ended June 30, 2002, as set forth in their report, which is incorporated by reference in this prospectus. Our consolidated financial statements are incorporated by reference in reliance on Ernst &amp; Young LLP's report, given on their authority as experts in accounting and auditing.</w:t>
      </w:r>
    </w:p>
    <w:p>
      <w:pPr>
        <w:spacing w:after="0" w:line="183"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The financial statements of E.mergent, Inc., incorporated in this prospectus by reference from our current report on Form 8-K/A filed with the SEC on August 14, 2002, have been audited by Deloitte &amp; Touche LLP, independent auditors, as stated in their report, which is incorporated herein by reference, and has been so incorporated in reliance upon the report of such firm given upon their authority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48" w:right="1440" w:bottom="1440" w:gutter="0" w:footer="0" w:header="0"/>
        </w:sectPr>
      </w:pPr>
    </w:p>
    <w:bookmarkStart w:id="45" w:name="page46"/>
    <w:bookmarkEnd w:id="45"/>
    <w:p>
      <w:pPr>
        <w:ind w:left="3440"/>
        <w:spacing w:after="0"/>
        <w:rPr>
          <w:sz w:val="20"/>
          <w:szCs w:val="20"/>
          <w:color w:val="auto"/>
        </w:rPr>
      </w:pPr>
      <w:r>
        <w:rPr>
          <w:rFonts w:ascii="Courier New" w:cs="Courier New" w:eastAsia="Courier New" w:hAnsi="Courier New"/>
          <w:sz w:val="16"/>
          <w:szCs w:val="16"/>
          <w:color w:val="auto"/>
        </w:rPr>
        <w:t>PART II</w:t>
      </w:r>
    </w:p>
    <w:p>
      <w:pPr>
        <w:spacing w:after="0" w:line="355"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INFORMATION NOT REQUIRED IN PROSPECTUS</w:t>
      </w:r>
    </w:p>
    <w:p>
      <w:pPr>
        <w:spacing w:after="0" w:line="355"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6"/>
          <w:szCs w:val="16"/>
          <w:color w:val="auto"/>
        </w:rPr>
        <w:t>Item 14.</w:t>
      </w:r>
      <w:r>
        <w:rPr>
          <w:sz w:val="20"/>
          <w:szCs w:val="20"/>
          <w:color w:val="auto"/>
        </w:rPr>
        <w:tab/>
      </w:r>
      <w:r>
        <w:rPr>
          <w:rFonts w:ascii="Courier New" w:cs="Courier New" w:eastAsia="Courier New" w:hAnsi="Courier New"/>
          <w:sz w:val="14"/>
          <w:szCs w:val="14"/>
          <w:color w:val="auto"/>
        </w:rPr>
        <w:t>Other Expenses of Issuance and Distribution.</w:t>
      </w:r>
    </w:p>
    <w:p>
      <w:pPr>
        <w:spacing w:after="0" w:line="362" w:lineRule="exact"/>
        <w:rPr>
          <w:sz w:val="20"/>
          <w:szCs w:val="20"/>
          <w:color w:val="auto"/>
        </w:rPr>
      </w:pPr>
    </w:p>
    <w:p>
      <w:pPr>
        <w:ind w:right="2779" w:firstLine="837"/>
        <w:spacing w:after="0" w:line="235" w:lineRule="auto"/>
        <w:rPr>
          <w:sz w:val="20"/>
          <w:szCs w:val="20"/>
          <w:color w:val="auto"/>
        </w:rPr>
      </w:pPr>
      <w:r>
        <w:rPr>
          <w:rFonts w:ascii="Courier New" w:cs="Courier New" w:eastAsia="Courier New" w:hAnsi="Courier New"/>
          <w:sz w:val="16"/>
          <w:szCs w:val="16"/>
          <w:color w:val="auto"/>
        </w:rPr>
        <w:t>The following table sets forth all fees and expenses payable by the registrant in connection with the issuance and distribution of the securities being registered hereby (other than underwriting discounts and commissions). All of such expenses, except the SEC registration fee, are estimated.</w:t>
      </w:r>
    </w:p>
    <w:p>
      <w:pPr>
        <w:spacing w:after="0" w:line="178" w:lineRule="exact"/>
        <w:rPr>
          <w:sz w:val="20"/>
          <w:szCs w:val="20"/>
          <w:color w:val="auto"/>
        </w:rPr>
      </w:pPr>
    </w:p>
    <w:tbl>
      <w:tblPr>
        <w:tblLayout w:type="fixed"/>
        <w:tblInd w:w="840" w:type="dxa"/>
        <w:tblCellMar>
          <w:top w:w="0" w:type="dxa"/>
          <w:left w:w="0" w:type="dxa"/>
          <w:bottom w:w="0" w:type="dxa"/>
          <w:right w:w="0" w:type="dxa"/>
        </w:tblCellMar>
      </w:tblPr>
      <w:tr>
        <w:trPr>
          <w:trHeight w:val="181"/>
        </w:trPr>
        <w:tc>
          <w:tcPr>
            <w:tcW w:w="534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6"/>
              </w:rPr>
              <w:t>Securities and Exchange Commission registration fee....</w:t>
            </w:r>
          </w:p>
        </w:tc>
        <w:tc>
          <w:tcPr>
            <w:tcW w:w="4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10,366</w:t>
            </w:r>
          </w:p>
        </w:tc>
      </w:tr>
      <w:tr>
        <w:trPr>
          <w:trHeight w:val="179"/>
        </w:trPr>
        <w:tc>
          <w:tcPr>
            <w:tcW w:w="53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6"/>
              </w:rPr>
              <w:t>Nasdaq listing fee.....................................</w:t>
            </w:r>
          </w:p>
        </w:tc>
        <w:tc>
          <w:tcPr>
            <w:tcW w:w="4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50,000</w:t>
            </w:r>
          </w:p>
        </w:tc>
      </w:tr>
      <w:tr>
        <w:trPr>
          <w:trHeight w:val="179"/>
        </w:trPr>
        <w:tc>
          <w:tcPr>
            <w:tcW w:w="53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6"/>
              </w:rPr>
              <w:t>Legal fees and expenses................................</w:t>
            </w:r>
          </w:p>
        </w:tc>
        <w:tc>
          <w:tcPr>
            <w:tcW w:w="4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200,000</w:t>
            </w:r>
          </w:p>
        </w:tc>
      </w:tr>
      <w:tr>
        <w:trPr>
          <w:trHeight w:val="179"/>
        </w:trPr>
        <w:tc>
          <w:tcPr>
            <w:tcW w:w="53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6"/>
              </w:rPr>
              <w:t>Transfer Agent's fees and expenses.....................</w:t>
            </w:r>
          </w:p>
        </w:tc>
        <w:tc>
          <w:tcPr>
            <w:tcW w:w="4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10,000</w:t>
            </w:r>
          </w:p>
        </w:tc>
      </w:tr>
      <w:tr>
        <w:trPr>
          <w:trHeight w:val="179"/>
        </w:trPr>
        <w:tc>
          <w:tcPr>
            <w:tcW w:w="53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6"/>
              </w:rPr>
              <w:t>Trustee's fees and expenses............................</w:t>
            </w:r>
          </w:p>
        </w:tc>
        <w:tc>
          <w:tcPr>
            <w:tcW w:w="4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20,000</w:t>
            </w:r>
          </w:p>
        </w:tc>
      </w:tr>
      <w:tr>
        <w:trPr>
          <w:trHeight w:val="179"/>
        </w:trPr>
        <w:tc>
          <w:tcPr>
            <w:tcW w:w="53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6"/>
              </w:rPr>
              <w:t>Rating agency fees.....................................</w:t>
            </w:r>
          </w:p>
        </w:tc>
        <w:tc>
          <w:tcPr>
            <w:tcW w:w="4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420,000</w:t>
            </w:r>
          </w:p>
        </w:tc>
      </w:tr>
      <w:tr>
        <w:trPr>
          <w:trHeight w:val="179"/>
        </w:trPr>
        <w:tc>
          <w:tcPr>
            <w:tcW w:w="53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6"/>
              </w:rPr>
              <w:t>Accounting fees and expenses...........................</w:t>
            </w:r>
          </w:p>
        </w:tc>
        <w:tc>
          <w:tcPr>
            <w:tcW w:w="4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200,000</w:t>
            </w:r>
          </w:p>
        </w:tc>
      </w:tr>
      <w:tr>
        <w:trPr>
          <w:trHeight w:val="179"/>
        </w:trPr>
        <w:tc>
          <w:tcPr>
            <w:tcW w:w="53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6"/>
              </w:rPr>
              <w:t>Blue Sky fees and expenses (including counsel fees)....</w:t>
            </w:r>
          </w:p>
        </w:tc>
        <w:tc>
          <w:tcPr>
            <w:tcW w:w="4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10,000</w:t>
            </w:r>
          </w:p>
        </w:tc>
      </w:tr>
      <w:tr>
        <w:trPr>
          <w:trHeight w:val="179"/>
        </w:trPr>
        <w:tc>
          <w:tcPr>
            <w:tcW w:w="53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6"/>
              </w:rPr>
              <w:t>Printing expenses......................................</w:t>
            </w:r>
          </w:p>
        </w:tc>
        <w:tc>
          <w:tcPr>
            <w:tcW w:w="4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400,000</w:t>
            </w:r>
          </w:p>
        </w:tc>
      </w:tr>
      <w:tr>
        <w:trPr>
          <w:trHeight w:val="179"/>
        </w:trPr>
        <w:tc>
          <w:tcPr>
            <w:tcW w:w="53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6"/>
              </w:rPr>
              <w:t>Miscellaneous..........................................</w:t>
            </w:r>
          </w:p>
        </w:tc>
        <w:tc>
          <w:tcPr>
            <w:tcW w:w="4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25,000</w:t>
            </w:r>
          </w:p>
        </w:tc>
      </w:tr>
      <w:tr>
        <w:trPr>
          <w:trHeight w:val="179"/>
        </w:trPr>
        <w:tc>
          <w:tcPr>
            <w:tcW w:w="5340" w:type="dxa"/>
            <w:vAlign w:val="bottom"/>
          </w:tcPr>
          <w:p>
            <w:pPr>
              <w:spacing w:after="0"/>
              <w:rPr>
                <w:sz w:val="15"/>
                <w:szCs w:val="15"/>
                <w:color w:val="auto"/>
              </w:rPr>
            </w:pPr>
          </w:p>
        </w:tc>
        <w:tc>
          <w:tcPr>
            <w:tcW w:w="12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3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Total..........................................</w:t>
            </w:r>
          </w:p>
        </w:tc>
        <w:tc>
          <w:tcPr>
            <w:tcW w:w="12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$ 1,345,366</w:t>
            </w:r>
          </w:p>
        </w:tc>
      </w:tr>
      <w:tr>
        <w:trPr>
          <w:trHeight w:val="179"/>
        </w:trPr>
        <w:tc>
          <w:tcPr>
            <w:tcW w:w="5340" w:type="dxa"/>
            <w:vAlign w:val="bottom"/>
          </w:tcPr>
          <w:p>
            <w:pPr>
              <w:spacing w:after="0"/>
              <w:rPr>
                <w:sz w:val="15"/>
                <w:szCs w:val="15"/>
                <w:color w:val="auto"/>
              </w:rPr>
            </w:pPr>
          </w:p>
        </w:tc>
        <w:tc>
          <w:tcPr>
            <w:tcW w:w="12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177"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6"/>
          <w:szCs w:val="16"/>
          <w:color w:val="auto"/>
        </w:rPr>
        <w:t>Item 15.</w:t>
      </w:r>
      <w:r>
        <w:rPr>
          <w:sz w:val="20"/>
          <w:szCs w:val="20"/>
          <w:color w:val="auto"/>
        </w:rPr>
        <w:tab/>
      </w:r>
      <w:r>
        <w:rPr>
          <w:rFonts w:ascii="Courier New" w:cs="Courier New" w:eastAsia="Courier New" w:hAnsi="Courier New"/>
          <w:sz w:val="14"/>
          <w:szCs w:val="14"/>
          <w:color w:val="auto"/>
        </w:rPr>
        <w:t>Indemnification of Directors and Officers.</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Limitation of Liability and Indemnification of Liability of Directors</w:t>
      </w:r>
    </w:p>
    <w:p>
      <w:pPr>
        <w:spacing w:after="0" w:line="362" w:lineRule="exact"/>
        <w:rPr>
          <w:sz w:val="20"/>
          <w:szCs w:val="20"/>
          <w:color w:val="auto"/>
        </w:rPr>
      </w:pPr>
    </w:p>
    <w:p>
      <w:pPr>
        <w:ind w:right="2879" w:firstLine="837"/>
        <w:spacing w:after="0" w:line="272" w:lineRule="auto"/>
        <w:rPr>
          <w:sz w:val="20"/>
          <w:szCs w:val="20"/>
          <w:color w:val="auto"/>
        </w:rPr>
      </w:pPr>
      <w:r>
        <w:rPr>
          <w:rFonts w:ascii="Courier New" w:cs="Courier New" w:eastAsia="Courier New" w:hAnsi="Courier New"/>
          <w:sz w:val="14"/>
          <w:szCs w:val="14"/>
          <w:color w:val="auto"/>
        </w:rPr>
        <w:t>We will, pursuant to Section 16-10a-902 of the URBCA, indemnify an individual made party to a proceeding because he was a director, against liability incurred in the proceeding if: (i) the director's conduct was in good faith; (ii) the director reasonably believed that his conduct was in, or not opposed to, our best interests; and (iii) in the case of any criminal proceeding, he had no reasonable cause to believe his conduct was unlawful; provided that, we may not indemnify the same director if (a) indemnification is sought in connection with a proceeding by or in the right of ClearOne in which the director was adjudged liable to us or (b) indemnification is sought in connection with any other proceeding charging that the director derived an impersonal personal benefit, whether or not including action in his official capacity, in which proceeding he was adjudged liable on the basis that he derived an improper personal benefit. Indemnification under this Section in connection with a proceeding by or in the right of ClearOne is limited to reasonable expenses incurred in connection with the proceeding.</w:t>
      </w:r>
    </w:p>
    <w:p>
      <w:pPr>
        <w:spacing w:after="0" w:line="346"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In accordance with Section 16-10a-903 of the URBCA we will indemnify a director or an officer, who is successful on the merits or otherwise, in defense of any proceeding, or in the defense of any claim, issue or matter in the proceeding, to which he was a party because he is or was a director or an officer of ClearOne, as the case may be, against reasonable expenses incurred by him in connection with the proceeding or claim with respect to which he has been successful.</w:t>
      </w:r>
    </w:p>
    <w:p>
      <w:pPr>
        <w:spacing w:after="0" w:line="184"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In accordance with Section 16-10a-904 of the URBCA, we will pay or reimburse the reasonable expenses incurred by a party to a proceeding in advance of the final disposition of the proceeding, provided that (i) the director furnishes the corporation a written affirmation of his good faith belief that he has met the applicable standard of conduct described in Section 16-10a-902 of the URBCA; (ii) the director furnishes to us a written undertaking, executed personally or on his behalf, to repay the advance of it is ultimately determined that he did not meet such standard of conduct; and (iii) a determination is made that the facts then known to those making the determination would not preclude indemnification thereunder.</w:t>
      </w:r>
    </w:p>
    <w:p>
      <w:pPr>
        <w:spacing w:after="0" w:line="35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48" w:right="1440" w:bottom="1440" w:gutter="0" w:footer="0" w:header="0"/>
        </w:sectPr>
      </w:pPr>
    </w:p>
    <w:bookmarkStart w:id="46" w:name="page47"/>
    <w:bookmarkEnd w:id="46"/>
    <w:p>
      <w:pPr>
        <w:ind w:right="2879" w:firstLine="837"/>
        <w:spacing w:after="0" w:line="235" w:lineRule="auto"/>
        <w:rPr>
          <w:sz w:val="20"/>
          <w:szCs w:val="20"/>
          <w:color w:val="auto"/>
        </w:rPr>
      </w:pPr>
      <w:r>
        <w:rPr>
          <w:rFonts w:ascii="Courier New" w:cs="Courier New" w:eastAsia="Courier New" w:hAnsi="Courier New"/>
          <w:sz w:val="16"/>
          <w:szCs w:val="16"/>
          <w:color w:val="auto"/>
        </w:rPr>
        <w:t>Section 16-10a-905 permits a director or officer who is or was a party to a proceeding to apply for indemnification to the court conducting the proceeding or another court of competent jurisdiction.</w:t>
      </w:r>
    </w:p>
    <w:p>
      <w:pPr>
        <w:spacing w:after="0" w:line="183" w:lineRule="exact"/>
        <w:rPr>
          <w:sz w:val="20"/>
          <w:szCs w:val="20"/>
          <w:color w:val="auto"/>
        </w:rPr>
      </w:pPr>
    </w:p>
    <w:p>
      <w:pPr>
        <w:ind w:right="2779" w:firstLine="837"/>
        <w:spacing w:after="0" w:line="234" w:lineRule="auto"/>
        <w:rPr>
          <w:sz w:val="20"/>
          <w:szCs w:val="20"/>
          <w:color w:val="auto"/>
        </w:rPr>
      </w:pPr>
      <w:r>
        <w:rPr>
          <w:rFonts w:ascii="Courier New" w:cs="Courier New" w:eastAsia="Courier New" w:hAnsi="Courier New"/>
          <w:sz w:val="16"/>
          <w:szCs w:val="16"/>
          <w:color w:val="auto"/>
        </w:rPr>
        <w:t>We will indemnify and advance expenses to an officer, employee or agent of ClearOne to any extent consistent with public policy.</w:t>
      </w:r>
    </w:p>
    <w:p>
      <w:pPr>
        <w:spacing w:after="0" w:line="183" w:lineRule="exact"/>
        <w:rPr>
          <w:sz w:val="20"/>
          <w:szCs w:val="20"/>
          <w:color w:val="auto"/>
        </w:rPr>
      </w:pPr>
    </w:p>
    <w:p>
      <w:pPr>
        <w:ind w:right="3059" w:firstLine="837"/>
        <w:spacing w:after="0" w:line="235" w:lineRule="auto"/>
        <w:rPr>
          <w:sz w:val="20"/>
          <w:szCs w:val="20"/>
          <w:color w:val="auto"/>
        </w:rPr>
      </w:pPr>
      <w:r>
        <w:rPr>
          <w:rFonts w:ascii="Courier New" w:cs="Courier New" w:eastAsia="Courier New" w:hAnsi="Courier New"/>
          <w:sz w:val="16"/>
          <w:szCs w:val="16"/>
          <w:color w:val="auto"/>
        </w:rPr>
        <w:t>We maintain a directors' and officers' liability insurance policy which, subject to the limitations and exclusions stated therein, covers the officers and directors of ClearOne for certain actions or inactions that they may take or omit to take in their capacities as officers and directors of ClearOne.</w:t>
      </w:r>
    </w:p>
    <w:p>
      <w:pPr>
        <w:spacing w:after="0" w:line="186"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Insofar as indemnification for liabilities arising under the Securities Act of 1933, as amended, may be permitted to officers and directors under any of the foregoing provisions, we have been informed that in the opinion of the Securities and Exchange Commission such indemnification is against public policy as expressed in the Securities Act of 1933, as amended (the "Securities Act"), and is therefore unenforceable.</w:t>
      </w:r>
    </w:p>
    <w:p>
      <w:pPr>
        <w:spacing w:after="0" w:line="177"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6"/>
          <w:szCs w:val="16"/>
          <w:color w:val="auto"/>
        </w:rPr>
        <w:t>Item 16.</w:t>
      </w:r>
      <w:r>
        <w:rPr>
          <w:sz w:val="20"/>
          <w:szCs w:val="20"/>
          <w:color w:val="auto"/>
        </w:rPr>
        <w:tab/>
      </w:r>
      <w:r>
        <w:rPr>
          <w:rFonts w:ascii="Courier New" w:cs="Courier New" w:eastAsia="Courier New" w:hAnsi="Courier New"/>
          <w:sz w:val="14"/>
          <w:szCs w:val="14"/>
          <w:color w:val="auto"/>
        </w:rPr>
        <w:t>Exhibits and Financial Statements Schedules.</w:t>
      </w:r>
    </w:p>
    <w:p>
      <w:pPr>
        <w:spacing w:after="0" w:line="362" w:lineRule="exact"/>
        <w:rPr>
          <w:sz w:val="20"/>
          <w:szCs w:val="20"/>
          <w:color w:val="auto"/>
        </w:rPr>
      </w:pPr>
    </w:p>
    <w:p>
      <w:pPr>
        <w:ind w:right="2779" w:firstLine="837"/>
        <w:spacing w:after="0" w:line="235" w:lineRule="auto"/>
        <w:rPr>
          <w:sz w:val="20"/>
          <w:szCs w:val="20"/>
          <w:color w:val="auto"/>
        </w:rPr>
      </w:pPr>
      <w:r>
        <w:rPr>
          <w:rFonts w:ascii="Courier New" w:cs="Courier New" w:eastAsia="Courier New" w:hAnsi="Courier New"/>
          <w:sz w:val="16"/>
          <w:szCs w:val="16"/>
          <w:color w:val="auto"/>
        </w:rPr>
        <w:t>The exhibits to this registration statement are listed in the Exhibit Index to this registration statement, which Exhibit Index is hereby incorporated by reference.</w:t>
      </w:r>
    </w:p>
    <w:p>
      <w:pPr>
        <w:spacing w:after="0" w:line="177"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6"/>
          <w:szCs w:val="16"/>
          <w:color w:val="auto"/>
        </w:rPr>
        <w:t>Item 17.</w:t>
      </w:r>
      <w:r>
        <w:rPr>
          <w:sz w:val="20"/>
          <w:szCs w:val="20"/>
          <w:color w:val="auto"/>
        </w:rPr>
        <w:tab/>
      </w:r>
      <w:r>
        <w:rPr>
          <w:rFonts w:ascii="Courier New" w:cs="Courier New" w:eastAsia="Courier New" w:hAnsi="Courier New"/>
          <w:sz w:val="14"/>
          <w:szCs w:val="14"/>
          <w:color w:val="auto"/>
        </w:rPr>
        <w:t>Undertakings.</w:t>
      </w:r>
    </w:p>
    <w:p>
      <w:pPr>
        <w:spacing w:after="0" w:line="355"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The undersigned registrant hereby undertakes:</w:t>
      </w:r>
    </w:p>
    <w:p>
      <w:pPr>
        <w:spacing w:after="0" w:line="183" w:lineRule="exact"/>
        <w:rPr>
          <w:sz w:val="20"/>
          <w:szCs w:val="20"/>
          <w:color w:val="auto"/>
        </w:rPr>
      </w:pPr>
    </w:p>
    <w:p>
      <w:pPr>
        <w:ind w:left="2500" w:right="2779" w:hanging="1574"/>
        <w:spacing w:after="0" w:line="235" w:lineRule="auto"/>
        <w:tabs>
          <w:tab w:leader="none" w:pos="1663"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(1)To file, during any period in which offers or sales are being made of the securities registered hereby, a post-effective amendment to this registration statement: (i) to include any prospectus required by Section 10(a)(3) of the Securities Act;</w:t>
      </w:r>
    </w:p>
    <w:p>
      <w:pPr>
        <w:spacing w:after="0" w:line="185" w:lineRule="exact"/>
        <w:rPr>
          <w:rFonts w:ascii="Courier New" w:cs="Courier New" w:eastAsia="Courier New" w:hAnsi="Courier New"/>
          <w:sz w:val="16"/>
          <w:szCs w:val="16"/>
          <w:color w:val="auto"/>
        </w:rPr>
      </w:pPr>
    </w:p>
    <w:p>
      <w:pPr>
        <w:ind w:left="3340" w:right="2879" w:hanging="833"/>
        <w:spacing w:after="0" w:line="271" w:lineRule="auto"/>
        <w:tabs>
          <w:tab w:leader="none" w:pos="3340"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the registration statement; provided, however, that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200" w:lineRule="exact"/>
        <w:rPr>
          <w:rFonts w:ascii="Courier New" w:cs="Courier New" w:eastAsia="Courier New" w:hAnsi="Courier New"/>
          <w:sz w:val="14"/>
          <w:szCs w:val="14"/>
          <w:color w:val="auto"/>
        </w:rPr>
      </w:pPr>
    </w:p>
    <w:p>
      <w:pPr>
        <w:spacing w:after="0" w:line="332" w:lineRule="exact"/>
        <w:rPr>
          <w:rFonts w:ascii="Courier New" w:cs="Courier New" w:eastAsia="Courier New" w:hAnsi="Courier New"/>
          <w:sz w:val="14"/>
          <w:szCs w:val="14"/>
          <w:color w:val="auto"/>
        </w:rPr>
      </w:pPr>
    </w:p>
    <w:p>
      <w:pPr>
        <w:ind w:left="3340" w:right="2959" w:hanging="833"/>
        <w:spacing w:after="0" w:line="276" w:lineRule="auto"/>
        <w:tabs>
          <w:tab w:leader="none" w:pos="3340"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61"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provided, however, that the undertakings set forth in</w:t>
      </w:r>
    </w:p>
    <w:p>
      <w:pPr>
        <w:spacing w:after="0" w:line="1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clauses (i) and (ii) above do not apply if the</w:t>
      </w:r>
    </w:p>
    <w:p>
      <w:pPr>
        <w:ind w:left="2500"/>
        <w:spacing w:after="0" w:line="236" w:lineRule="auto"/>
        <w:rPr>
          <w:sz w:val="20"/>
          <w:szCs w:val="20"/>
          <w:color w:val="auto"/>
        </w:rPr>
      </w:pPr>
      <w:r>
        <w:rPr>
          <w:rFonts w:ascii="Courier New" w:cs="Courier New" w:eastAsia="Courier New" w:hAnsi="Courier New"/>
          <w:sz w:val="16"/>
          <w:szCs w:val="16"/>
          <w:color w:val="auto"/>
        </w:rPr>
        <w:t>information required to be included in a</w:t>
      </w:r>
    </w:p>
    <w:p>
      <w:pPr>
        <w:ind w:left="2500"/>
        <w:spacing w:after="0" w:line="237" w:lineRule="auto"/>
        <w:rPr>
          <w:sz w:val="20"/>
          <w:szCs w:val="20"/>
          <w:color w:val="auto"/>
        </w:rPr>
      </w:pPr>
      <w:r>
        <w:rPr>
          <w:rFonts w:ascii="Courier New" w:cs="Courier New" w:eastAsia="Courier New" w:hAnsi="Courier New"/>
          <w:sz w:val="16"/>
          <w:szCs w:val="16"/>
          <w:color w:val="auto"/>
        </w:rPr>
        <w:t>post-effective amendment by those clauses is</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contained in periodic reports filed by the registrant</w:t>
      </w:r>
    </w:p>
    <w:p>
      <w:pPr>
        <w:spacing w:after="0" w:line="37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54" w:right="1440" w:bottom="1440" w:gutter="0" w:footer="0" w:header="0"/>
        </w:sectPr>
      </w:pPr>
    </w:p>
    <w:bookmarkStart w:id="47" w:name="page48"/>
    <w:bookmarkEnd w:id="47"/>
    <w:p>
      <w:pPr>
        <w:ind w:left="2500"/>
        <w:spacing w:after="0"/>
        <w:rPr>
          <w:sz w:val="20"/>
          <w:szCs w:val="20"/>
          <w:color w:val="auto"/>
        </w:rPr>
      </w:pPr>
      <w:r>
        <w:rPr>
          <w:rFonts w:ascii="Courier New" w:cs="Courier New" w:eastAsia="Courier New" w:hAnsi="Courier New"/>
          <w:sz w:val="16"/>
          <w:szCs w:val="16"/>
          <w:color w:val="auto"/>
        </w:rPr>
        <w:t>pursuant to Section 13 or 15 (d) of the Securities</w:t>
      </w:r>
    </w:p>
    <w:p>
      <w:pPr>
        <w:ind w:left="2500"/>
        <w:spacing w:after="0" w:line="236" w:lineRule="auto"/>
        <w:rPr>
          <w:sz w:val="20"/>
          <w:szCs w:val="20"/>
          <w:color w:val="auto"/>
        </w:rPr>
      </w:pPr>
      <w:r>
        <w:rPr>
          <w:rFonts w:ascii="Courier New" w:cs="Courier New" w:eastAsia="Courier New" w:hAnsi="Courier New"/>
          <w:sz w:val="16"/>
          <w:szCs w:val="16"/>
          <w:color w:val="auto"/>
        </w:rPr>
        <w:t>and Exchange Act of 1934 (the "Exchange Act") that</w:t>
      </w:r>
    </w:p>
    <w:p>
      <w:pPr>
        <w:ind w:left="2500"/>
        <w:spacing w:after="0" w:line="237" w:lineRule="auto"/>
        <w:rPr>
          <w:sz w:val="20"/>
          <w:szCs w:val="20"/>
          <w:color w:val="auto"/>
        </w:rPr>
      </w:pPr>
      <w:r>
        <w:rPr>
          <w:rFonts w:ascii="Courier New" w:cs="Courier New" w:eastAsia="Courier New" w:hAnsi="Courier New"/>
          <w:sz w:val="16"/>
          <w:szCs w:val="16"/>
          <w:color w:val="auto"/>
        </w:rPr>
        <w:t>are incorporated by reference in this registration</w:t>
      </w:r>
    </w:p>
    <w:p>
      <w:pPr>
        <w:ind w:left="2500"/>
        <w:spacing w:after="0" w:line="237" w:lineRule="auto"/>
        <w:rPr>
          <w:sz w:val="20"/>
          <w:szCs w:val="20"/>
          <w:color w:val="auto"/>
        </w:rPr>
      </w:pPr>
      <w:r>
        <w:rPr>
          <w:rFonts w:ascii="Courier New" w:cs="Courier New" w:eastAsia="Courier New" w:hAnsi="Courier New"/>
          <w:sz w:val="16"/>
          <w:szCs w:val="16"/>
          <w:color w:val="auto"/>
        </w:rPr>
        <w:t>statement;</w:t>
      </w:r>
    </w:p>
    <w:p>
      <w:pPr>
        <w:spacing w:after="0" w:line="183" w:lineRule="exact"/>
        <w:rPr>
          <w:sz w:val="20"/>
          <w:szCs w:val="20"/>
          <w:color w:val="auto"/>
        </w:rPr>
      </w:pPr>
    </w:p>
    <w:p>
      <w:pPr>
        <w:ind w:left="2500" w:right="2779" w:hanging="830"/>
        <w:spacing w:after="0" w:line="236" w:lineRule="auto"/>
        <w:tabs>
          <w:tab w:leader="none" w:pos="2500"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Courier New" w:cs="Courier New" w:eastAsia="Courier New" w:hAnsi="Courier New"/>
          <w:sz w:val="16"/>
          <w:szCs w:val="16"/>
          <w:color w:val="auto"/>
        </w:rPr>
      </w:pPr>
    </w:p>
    <w:p>
      <w:pPr>
        <w:ind w:left="2500" w:right="2879" w:hanging="830"/>
        <w:spacing w:after="0" w:line="235" w:lineRule="auto"/>
        <w:tabs>
          <w:tab w:leader="none" w:pos="2500"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remove from registration by means of a post-effective amendment any of the securities being registered which remain unsold at the termination of the offering;</w:t>
      </w:r>
    </w:p>
    <w:p>
      <w:pPr>
        <w:spacing w:after="0" w:line="184" w:lineRule="exact"/>
        <w:rPr>
          <w:rFonts w:ascii="Courier New" w:cs="Courier New" w:eastAsia="Courier New" w:hAnsi="Courier New"/>
          <w:sz w:val="16"/>
          <w:szCs w:val="16"/>
          <w:color w:val="auto"/>
        </w:rPr>
      </w:pPr>
    </w:p>
    <w:p>
      <w:pPr>
        <w:ind w:left="1660" w:right="2779" w:hanging="827"/>
        <w:spacing w:after="0" w:line="236" w:lineRule="auto"/>
        <w:tabs>
          <w:tab w:leader="none" w:pos="166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purposes of determining any liability under the Securities Act, each filing of our annual report pursuant to Section 13(a) or 15(d) of the Exchange Act (and, where applicable, each filing of an employee benefit plan's annual report pursuant to Section 15 (a) of the Exchange Act) that is incorporated by reference in this registration statement shall be deemed to be a new registration statement relating to the securities offered herein, and the offering of such securities at that time shall be deemed to be the initial bona fide offering thereof; and</w:t>
      </w:r>
    </w:p>
    <w:p>
      <w:pPr>
        <w:spacing w:after="0" w:line="185" w:lineRule="exact"/>
        <w:rPr>
          <w:rFonts w:ascii="Courier New" w:cs="Courier New" w:eastAsia="Courier New" w:hAnsi="Courier New"/>
          <w:sz w:val="16"/>
          <w:szCs w:val="16"/>
          <w:color w:val="auto"/>
        </w:rPr>
      </w:pPr>
    </w:p>
    <w:p>
      <w:pPr>
        <w:ind w:left="1660" w:right="2879" w:hanging="827"/>
        <w:spacing w:after="0" w:line="236" w:lineRule="auto"/>
        <w:tabs>
          <w:tab w:leader="none" w:pos="166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183" w:lineRule="exact"/>
        <w:rPr>
          <w:sz w:val="20"/>
          <w:szCs w:val="20"/>
          <w:color w:val="auto"/>
        </w:rPr>
      </w:pPr>
    </w:p>
    <w:p>
      <w:pPr>
        <w:ind w:right="2779" w:firstLine="837"/>
        <w:spacing w:after="0" w:line="272" w:lineRule="auto"/>
        <w:rPr>
          <w:sz w:val="20"/>
          <w:szCs w:val="20"/>
          <w:color w:val="auto"/>
        </w:rPr>
      </w:pPr>
      <w:r>
        <w:rPr>
          <w:rFonts w:ascii="Courier New" w:cs="Courier New" w:eastAsia="Courier New" w:hAnsi="Courier New"/>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48" w:right="1440" w:bottom="1440" w:gutter="0" w:footer="0" w:header="0"/>
        </w:sectPr>
      </w:pPr>
    </w:p>
    <w:bookmarkStart w:id="48" w:name="page49"/>
    <w:bookmarkEnd w:id="48"/>
    <w:p>
      <w:pPr>
        <w:ind w:left="3265"/>
        <w:spacing w:after="0"/>
        <w:rPr>
          <w:sz w:val="20"/>
          <w:szCs w:val="20"/>
          <w:color w:val="auto"/>
        </w:rPr>
      </w:pPr>
      <w:r>
        <w:rPr>
          <w:rFonts w:ascii="Courier New" w:cs="Courier New" w:eastAsia="Courier New" w:hAnsi="Courier New"/>
          <w:sz w:val="16"/>
          <w:szCs w:val="16"/>
          <w:color w:val="auto"/>
        </w:rPr>
        <w:t>SIGNATURES</w:t>
      </w:r>
    </w:p>
    <w:p>
      <w:pPr>
        <w:spacing w:after="0" w:line="362" w:lineRule="exact"/>
        <w:rPr>
          <w:sz w:val="20"/>
          <w:szCs w:val="20"/>
          <w:color w:val="auto"/>
        </w:rPr>
      </w:pPr>
    </w:p>
    <w:p>
      <w:pPr>
        <w:ind w:left="5" w:right="2779" w:firstLine="837"/>
        <w:spacing w:after="0" w:line="276" w:lineRule="auto"/>
        <w:rPr>
          <w:sz w:val="20"/>
          <w:szCs w:val="20"/>
          <w:color w:val="auto"/>
        </w:rPr>
      </w:pPr>
      <w:r>
        <w:rPr>
          <w:rFonts w:ascii="Courier New" w:cs="Courier New" w:eastAsia="Courier New" w:hAnsi="Courier New"/>
          <w:sz w:val="14"/>
          <w:szCs w:val="14"/>
          <w:color w:val="auto"/>
        </w:rPr>
        <w:t>Pursuant to the requirements of the Securities Act of 1933, as amended, we certify that we have reasonable grounds to believe that we meet all of the requirements for filing on Form S-3 and have duly caused this amendment to the registration statement to be signed on our behalf by the undersigned, thereunto duly authorized, in Salt Lake City, Utah, on November 1, 2002.</w:t>
      </w:r>
    </w:p>
    <w:p>
      <w:pPr>
        <w:spacing w:after="0" w:line="155" w:lineRule="exact"/>
        <w:rPr>
          <w:sz w:val="20"/>
          <w:szCs w:val="20"/>
          <w:color w:val="auto"/>
        </w:rPr>
      </w:pPr>
    </w:p>
    <w:p>
      <w:pPr>
        <w:ind w:left="3265"/>
        <w:spacing w:after="0"/>
        <w:rPr>
          <w:sz w:val="20"/>
          <w:szCs w:val="20"/>
          <w:color w:val="auto"/>
        </w:rPr>
      </w:pPr>
      <w:r>
        <w:rPr>
          <w:rFonts w:ascii="Courier New" w:cs="Courier New" w:eastAsia="Courier New" w:hAnsi="Courier New"/>
          <w:sz w:val="16"/>
          <w:szCs w:val="16"/>
          <w:color w:val="auto"/>
        </w:rPr>
        <w:t>CLEARONE COMMUNICATIONS, INC.</w:t>
      </w:r>
    </w:p>
    <w:p>
      <w:pPr>
        <w:spacing w:after="0" w:line="355" w:lineRule="exact"/>
        <w:rPr>
          <w:sz w:val="20"/>
          <w:szCs w:val="20"/>
          <w:color w:val="auto"/>
        </w:rPr>
      </w:pPr>
    </w:p>
    <w:p>
      <w:pPr>
        <w:ind w:left="3265"/>
        <w:spacing w:after="0"/>
        <w:rPr>
          <w:sz w:val="20"/>
          <w:szCs w:val="20"/>
          <w:color w:val="auto"/>
        </w:rPr>
      </w:pPr>
      <w:r>
        <w:rPr>
          <w:rFonts w:ascii="Courier New" w:cs="Courier New" w:eastAsia="Courier New" w:hAnsi="Courier New"/>
          <w:sz w:val="16"/>
          <w:szCs w:val="16"/>
          <w:color w:val="auto"/>
        </w:rPr>
        <w:t>By: /s/ Frances M. Flood</w:t>
      </w:r>
    </w:p>
    <w:p>
      <w:pPr>
        <w:spacing w:after="0" w:line="4" w:lineRule="exact"/>
        <w:rPr>
          <w:sz w:val="20"/>
          <w:szCs w:val="20"/>
          <w:color w:val="auto"/>
        </w:rPr>
      </w:pPr>
    </w:p>
    <w:p>
      <w:pPr>
        <w:ind w:left="3545"/>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3625"/>
        <w:spacing w:after="0"/>
        <w:rPr>
          <w:sz w:val="20"/>
          <w:szCs w:val="20"/>
          <w:color w:val="auto"/>
        </w:rPr>
      </w:pPr>
      <w:r>
        <w:rPr>
          <w:rFonts w:ascii="Courier New" w:cs="Courier New" w:eastAsia="Courier New" w:hAnsi="Courier New"/>
          <w:sz w:val="14"/>
          <w:szCs w:val="14"/>
          <w:color w:val="auto"/>
        </w:rPr>
        <w:t>Frances M. Flood, Chief Executive Officer</w:t>
      </w:r>
    </w:p>
    <w:p>
      <w:pPr>
        <w:spacing w:after="0" w:line="199" w:lineRule="exact"/>
        <w:rPr>
          <w:sz w:val="20"/>
          <w:szCs w:val="20"/>
          <w:color w:val="auto"/>
        </w:rPr>
      </w:pPr>
    </w:p>
    <w:p>
      <w:pPr>
        <w:ind w:left="5" w:right="2779" w:firstLine="837"/>
        <w:spacing w:after="0" w:line="235"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amendment to the registration statement has been signed by the following persons in the capacities indicated on November 1, 2002.</w:t>
      </w:r>
    </w:p>
    <w:p>
      <w:pPr>
        <w:sectPr>
          <w:pgSz w:w="11900" w:h="16838" w:orient="portrait"/>
          <w:cols w:equalWidth="0" w:num="1">
            <w:col w:w="10224"/>
          </w:cols>
          <w:pgMar w:left="235" w:top="648" w:right="1440" w:bottom="1440" w:gutter="0" w:footer="0" w:header="0"/>
        </w:sectPr>
      </w:pPr>
    </w:p>
    <w:p>
      <w:pPr>
        <w:spacing w:after="0" w:line="183" w:lineRule="exact"/>
        <w:rPr>
          <w:sz w:val="20"/>
          <w:szCs w:val="20"/>
          <w:color w:val="auto"/>
        </w:rPr>
      </w:pPr>
    </w:p>
    <w:p>
      <w:pPr>
        <w:ind w:left="845"/>
        <w:spacing w:after="0"/>
        <w:rPr>
          <w:sz w:val="20"/>
          <w:szCs w:val="20"/>
          <w:color w:val="auto"/>
        </w:rPr>
      </w:pPr>
      <w:r>
        <w:rPr>
          <w:rFonts w:ascii="Courier New" w:cs="Courier New" w:eastAsia="Courier New" w:hAnsi="Courier New"/>
          <w:sz w:val="14"/>
          <w:szCs w:val="14"/>
          <w:color w:val="auto"/>
        </w:rPr>
        <w:t>Signature</w:t>
      </w:r>
    </w:p>
    <w:p>
      <w:pPr>
        <w:spacing w:after="0" w:line="20" w:lineRule="exact"/>
        <w:rPr>
          <w:sz w:val="20"/>
          <w:szCs w:val="20"/>
          <w:color w:val="auto"/>
        </w:rPr>
      </w:pPr>
    </w:p>
    <w:p>
      <w:pPr>
        <w:ind w:left="845"/>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sectPr>
          <w:pgSz w:w="11900" w:h="16838" w:orient="portrait"/>
          <w:cols w:equalWidth="0" w:num="2">
            <w:col w:w="3925" w:space="720"/>
            <w:col w:w="5579"/>
          </w:cols>
          <w:pgMar w:left="235" w:top="648" w:right="1440" w:bottom="1440" w:gutter="0" w:footer="0" w:header="0"/>
          <w:type w:val="continuous"/>
        </w:sectPr>
      </w:pPr>
    </w:p>
    <w:p>
      <w:pPr>
        <w:ind w:left="365"/>
        <w:spacing w:after="0"/>
        <w:rPr>
          <w:sz w:val="20"/>
          <w:szCs w:val="20"/>
          <w:color w:val="auto"/>
        </w:rPr>
      </w:pPr>
      <w:r>
        <w:rPr>
          <w:rFonts w:ascii="Courier New" w:cs="Courier New" w:eastAsia="Courier New" w:hAnsi="Courier New"/>
          <w:sz w:val="16"/>
          <w:szCs w:val="16"/>
          <w:color w:val="auto"/>
        </w:rPr>
        <w:t>/s/ Frances M. Flood</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365"/>
        <w:spacing w:after="0"/>
        <w:rPr>
          <w:sz w:val="20"/>
          <w:szCs w:val="20"/>
          <w:color w:val="auto"/>
        </w:rPr>
      </w:pPr>
      <w:r>
        <w:rPr>
          <w:rFonts w:ascii="Courier New" w:cs="Courier New" w:eastAsia="Courier New" w:hAnsi="Courier New"/>
          <w:sz w:val="16"/>
          <w:szCs w:val="16"/>
          <w:color w:val="auto"/>
        </w:rPr>
        <w:t>Frances M. Flood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Chairman of the Board, Chief Executive Officer</w:t>
      </w:r>
    </w:p>
    <w:p>
      <w:pPr>
        <w:spacing w:after="0" w:line="1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(principal executive officer)</w:t>
      </w:r>
    </w:p>
    <w:p>
      <w:pPr>
        <w:spacing w:after="0" w:line="355" w:lineRule="exact"/>
        <w:rPr>
          <w:sz w:val="20"/>
          <w:szCs w:val="20"/>
          <w:color w:val="auto"/>
        </w:rPr>
      </w:pPr>
    </w:p>
    <w:p>
      <w:pPr>
        <w:sectPr>
          <w:pgSz w:w="11900" w:h="16838" w:orient="portrait"/>
          <w:cols w:equalWidth="0" w:num="2">
            <w:col w:w="3065" w:space="100"/>
            <w:col w:w="7059"/>
          </w:cols>
          <w:pgMar w:left="235" w:top="648" w:right="1440" w:bottom="1440" w:gutter="0" w:footer="0" w:header="0"/>
          <w:type w:val="continuous"/>
        </w:sectPr>
      </w:pPr>
    </w:p>
    <w:p>
      <w:pPr>
        <w:ind w:left="365"/>
        <w:spacing w:after="0"/>
        <w:rPr>
          <w:sz w:val="20"/>
          <w:szCs w:val="20"/>
          <w:color w:val="auto"/>
        </w:rPr>
      </w:pPr>
      <w:r>
        <w:rPr>
          <w:rFonts w:ascii="Courier New" w:cs="Courier New" w:eastAsia="Courier New" w:hAnsi="Courier New"/>
          <w:sz w:val="16"/>
          <w:szCs w:val="16"/>
          <w:color w:val="auto"/>
        </w:rPr>
        <w:t>/s/ Susie Strohm</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365"/>
        <w:spacing w:after="0"/>
        <w:rPr>
          <w:sz w:val="20"/>
          <w:szCs w:val="20"/>
          <w:color w:val="auto"/>
        </w:rPr>
      </w:pPr>
      <w:r>
        <w:rPr>
          <w:rFonts w:ascii="Courier New" w:cs="Courier New" w:eastAsia="Courier New" w:hAnsi="Courier New"/>
          <w:sz w:val="16"/>
          <w:szCs w:val="16"/>
          <w:color w:val="auto"/>
        </w:rPr>
        <w:t>Susie Strohm</w:t>
      </w:r>
    </w:p>
    <w:p>
      <w:pPr>
        <w:spacing w:after="0" w:line="20" w:lineRule="exact"/>
        <w:rPr>
          <w:sz w:val="20"/>
          <w:szCs w:val="20"/>
          <w:color w:val="auto"/>
        </w:rPr>
      </w:pPr>
      <w:r>
        <w:rPr>
          <w:sz w:val="20"/>
          <w:szCs w:val="20"/>
          <w:color w:val="auto"/>
        </w:rPr>
        <w:br w:type="column"/>
      </w:r>
    </w:p>
    <w:p>
      <w:pPr>
        <w:ind w:right="2599" w:hanging="371"/>
        <w:spacing w:after="0" w:line="295" w:lineRule="auto"/>
        <w:rPr>
          <w:sz w:val="20"/>
          <w:szCs w:val="20"/>
          <w:color w:val="auto"/>
        </w:rPr>
      </w:pPr>
      <w:r>
        <w:rPr>
          <w:rFonts w:ascii="Courier New" w:cs="Courier New" w:eastAsia="Courier New" w:hAnsi="Courier New"/>
          <w:sz w:val="14"/>
          <w:szCs w:val="14"/>
          <w:color w:val="auto"/>
        </w:rPr>
        <w:t>Chief Financial Officer, Vice President (principal accounting and financial officer)</w:t>
      </w:r>
    </w:p>
    <w:p>
      <w:pPr>
        <w:spacing w:after="0" w:line="326" w:lineRule="exact"/>
        <w:rPr>
          <w:sz w:val="20"/>
          <w:szCs w:val="20"/>
          <w:color w:val="auto"/>
        </w:rPr>
      </w:pPr>
    </w:p>
    <w:p>
      <w:pPr>
        <w:sectPr>
          <w:pgSz w:w="11900" w:h="16838" w:orient="portrait"/>
          <w:cols w:equalWidth="0" w:num="2">
            <w:col w:w="3065" w:space="480"/>
            <w:col w:w="6679"/>
          </w:cols>
          <w:pgMar w:left="235" w:top="648" w:right="1440" w:bottom="1440" w:gutter="0" w:footer="0" w:header="0"/>
          <w:type w:val="continuous"/>
        </w:sectPr>
      </w:pPr>
    </w:p>
    <w:p>
      <w:pPr>
        <w:ind w:left="365"/>
        <w:spacing w:after="0"/>
        <w:rPr>
          <w:sz w:val="20"/>
          <w:szCs w:val="20"/>
          <w:color w:val="auto"/>
        </w:rPr>
      </w:pPr>
      <w:r>
        <w:rPr>
          <w:rFonts w:ascii="Courier New" w:cs="Courier New" w:eastAsia="Courier New" w:hAnsi="Courier New"/>
          <w:sz w:val="14"/>
          <w:szCs w:val="14"/>
          <w:color w:val="auto"/>
        </w:rPr>
        <w:t>/s/ Brad. R. Baldwin*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14" w:lineRule="exact"/>
        <w:rPr>
          <w:sz w:val="20"/>
          <w:szCs w:val="20"/>
          <w:color w:val="auto"/>
        </w:rPr>
      </w:pPr>
    </w:p>
    <w:p>
      <w:pPr>
        <w:sectPr>
          <w:pgSz w:w="11900" w:h="16838" w:orient="portrait"/>
          <w:cols w:equalWidth="0" w:num="2">
            <w:col w:w="2445" w:space="720"/>
            <w:col w:w="7059"/>
          </w:cols>
          <w:pgMar w:left="235" w:top="648" w:right="1440" w:bottom="1440" w:gutter="0" w:footer="0" w:header="0"/>
          <w:type w:val="continuous"/>
        </w:sectPr>
      </w:pPr>
    </w:p>
    <w:p>
      <w:pPr>
        <w:ind w:left="185" w:hanging="185"/>
        <w:spacing w:after="0"/>
        <w:tabs>
          <w:tab w:leader="none" w:pos="185"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6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Brad R. Baldwin</w:t>
      </w:r>
    </w:p>
    <w:p>
      <w:pPr>
        <w:spacing w:after="0" w:line="177" w:lineRule="exact"/>
        <w:rPr>
          <w:sz w:val="20"/>
          <w:szCs w:val="20"/>
          <w:color w:val="auto"/>
        </w:rPr>
      </w:pPr>
    </w:p>
    <w:p>
      <w:pPr>
        <w:ind w:left="365"/>
        <w:spacing w:after="0"/>
        <w:tabs>
          <w:tab w:leader="none" w:pos="3144" w:val="left"/>
        </w:tabs>
        <w:rPr>
          <w:sz w:val="20"/>
          <w:szCs w:val="20"/>
          <w:color w:val="auto"/>
        </w:rPr>
      </w:pPr>
      <w:r>
        <w:rPr>
          <w:rFonts w:ascii="Courier New" w:cs="Courier New" w:eastAsia="Courier New" w:hAnsi="Courier New"/>
          <w:sz w:val="16"/>
          <w:szCs w:val="16"/>
          <w:color w:val="auto"/>
        </w:rPr>
        <w:t>/s/ Harry Spielberg*</w:t>
      </w:r>
      <w:r>
        <w:rPr>
          <w:sz w:val="20"/>
          <w:szCs w:val="20"/>
          <w:color w:val="auto"/>
        </w:rPr>
        <w:tab/>
      </w:r>
      <w:r>
        <w:rPr>
          <w:rFonts w:ascii="Courier New" w:cs="Courier New" w:eastAsia="Courier New" w:hAnsi="Courier New"/>
          <w:sz w:val="14"/>
          <w:szCs w:val="14"/>
          <w:color w:val="auto"/>
        </w:rPr>
        <w:t>Director</w:t>
      </w:r>
    </w:p>
    <w:p>
      <w:pPr>
        <w:ind w:left="185" w:hanging="185"/>
        <w:spacing w:after="0" w:line="236" w:lineRule="auto"/>
        <w:tabs>
          <w:tab w:leader="none" w:pos="185"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6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Harry Spielberg</w:t>
      </w:r>
    </w:p>
    <w:p>
      <w:pPr>
        <w:spacing w:after="0" w:line="177" w:lineRule="exact"/>
        <w:rPr>
          <w:sz w:val="20"/>
          <w:szCs w:val="20"/>
          <w:color w:val="auto"/>
        </w:rPr>
      </w:pPr>
    </w:p>
    <w:p>
      <w:pPr>
        <w:ind w:left="365"/>
        <w:spacing w:after="0"/>
        <w:tabs>
          <w:tab w:leader="none" w:pos="3144" w:val="left"/>
        </w:tabs>
        <w:rPr>
          <w:sz w:val="20"/>
          <w:szCs w:val="20"/>
          <w:color w:val="auto"/>
        </w:rPr>
      </w:pPr>
      <w:r>
        <w:rPr>
          <w:rFonts w:ascii="Courier New" w:cs="Courier New" w:eastAsia="Courier New" w:hAnsi="Courier New"/>
          <w:sz w:val="16"/>
          <w:szCs w:val="16"/>
          <w:color w:val="auto"/>
        </w:rPr>
        <w:t>/s/ Edward Dallin Bagley*</w:t>
      </w:r>
      <w:r>
        <w:rPr>
          <w:sz w:val="20"/>
          <w:szCs w:val="20"/>
          <w:color w:val="auto"/>
        </w:rPr>
        <w:tab/>
      </w:r>
      <w:r>
        <w:rPr>
          <w:rFonts w:ascii="Courier New" w:cs="Courier New" w:eastAsia="Courier New" w:hAnsi="Courier New"/>
          <w:sz w:val="14"/>
          <w:szCs w:val="14"/>
          <w:color w:val="auto"/>
        </w:rPr>
        <w:t>Director</w:t>
      </w:r>
    </w:p>
    <w:p>
      <w:pPr>
        <w:ind w:left="185" w:hanging="185"/>
        <w:spacing w:after="0" w:line="236" w:lineRule="auto"/>
        <w:tabs>
          <w:tab w:leader="none" w:pos="185"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6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Edward Dallin Bagley</w:t>
      </w:r>
    </w:p>
    <w:p>
      <w:pPr>
        <w:spacing w:after="0" w:line="177" w:lineRule="exact"/>
        <w:rPr>
          <w:sz w:val="20"/>
          <w:szCs w:val="20"/>
          <w:color w:val="auto"/>
        </w:rPr>
      </w:pPr>
    </w:p>
    <w:p>
      <w:pPr>
        <w:ind w:left="365"/>
        <w:spacing w:after="0"/>
        <w:tabs>
          <w:tab w:leader="none" w:pos="3144" w:val="left"/>
        </w:tabs>
        <w:rPr>
          <w:sz w:val="20"/>
          <w:szCs w:val="20"/>
          <w:color w:val="auto"/>
        </w:rPr>
      </w:pPr>
      <w:r>
        <w:rPr>
          <w:rFonts w:ascii="Courier New" w:cs="Courier New" w:eastAsia="Courier New" w:hAnsi="Courier New"/>
          <w:sz w:val="16"/>
          <w:szCs w:val="16"/>
          <w:color w:val="auto"/>
        </w:rPr>
        <w:t>/s/ David Wiener*</w:t>
      </w:r>
      <w:r>
        <w:rPr>
          <w:sz w:val="20"/>
          <w:szCs w:val="20"/>
          <w:color w:val="auto"/>
        </w:rPr>
        <w:tab/>
      </w:r>
      <w:r>
        <w:rPr>
          <w:rFonts w:ascii="Courier New" w:cs="Courier New" w:eastAsia="Courier New" w:hAnsi="Courier New"/>
          <w:sz w:val="14"/>
          <w:szCs w:val="14"/>
          <w:color w:val="auto"/>
        </w:rPr>
        <w:t>Director</w:t>
      </w:r>
    </w:p>
    <w:p>
      <w:pPr>
        <w:ind w:left="185" w:hanging="185"/>
        <w:spacing w:after="0" w:line="236" w:lineRule="auto"/>
        <w:tabs>
          <w:tab w:leader="none" w:pos="185"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6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David Wiener</w:t>
      </w:r>
    </w:p>
    <w:p>
      <w:pPr>
        <w:spacing w:after="0" w:line="35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Power of Attorney</w:t>
      </w:r>
    </w:p>
    <w:p>
      <w:pPr>
        <w:spacing w:after="0" w:line="355" w:lineRule="exact"/>
        <w:rPr>
          <w:sz w:val="20"/>
          <w:szCs w:val="20"/>
          <w:color w:val="auto"/>
        </w:rPr>
      </w:pPr>
    </w:p>
    <w:p>
      <w:pPr>
        <w:ind w:left="5"/>
        <w:spacing w:after="0"/>
        <w:tabs>
          <w:tab w:leader="none" w:pos="444" w:val="left"/>
        </w:tabs>
        <w:rPr>
          <w:sz w:val="20"/>
          <w:szCs w:val="20"/>
          <w:color w:val="auto"/>
        </w:rPr>
      </w:pPr>
      <w:r>
        <w:rPr>
          <w:rFonts w:ascii="Courier New" w:cs="Courier New" w:eastAsia="Courier New" w:hAnsi="Courier New"/>
          <w:sz w:val="16"/>
          <w:szCs w:val="16"/>
          <w:color w:val="auto"/>
        </w:rPr>
        <w:t>By:</w:t>
        <w:tab/>
        <w:t>/s/ Frances M. Flood</w:t>
      </w:r>
    </w:p>
    <w:p>
      <w:pPr>
        <w:ind w:left="465"/>
        <w:spacing w:after="0" w:line="236" w:lineRule="auto"/>
        <w:rPr>
          <w:sz w:val="20"/>
          <w:szCs w:val="20"/>
          <w:color w:val="auto"/>
        </w:rPr>
      </w:pPr>
      <w:r>
        <w:rPr>
          <w:rFonts w:ascii="Courier New" w:cs="Courier New" w:eastAsia="Courier New" w:hAnsi="Courier New"/>
          <w:sz w:val="16"/>
          <w:szCs w:val="16"/>
          <w:color w:val="auto"/>
        </w:rPr>
        <w:t>--------------------------</w:t>
      </w:r>
    </w:p>
    <w:p>
      <w:pPr>
        <w:ind w:left="465"/>
        <w:spacing w:after="0" w:line="237" w:lineRule="auto"/>
        <w:rPr>
          <w:sz w:val="20"/>
          <w:szCs w:val="20"/>
          <w:color w:val="auto"/>
        </w:rPr>
      </w:pPr>
      <w:r>
        <w:rPr>
          <w:rFonts w:ascii="Courier New" w:cs="Courier New" w:eastAsia="Courier New" w:hAnsi="Courier New"/>
          <w:sz w:val="16"/>
          <w:szCs w:val="16"/>
          <w:color w:val="auto"/>
        </w:rPr>
        <w:t>Frances M. Flood</w:t>
      </w:r>
    </w:p>
    <w:p>
      <w:pPr>
        <w:ind w:left="465"/>
        <w:spacing w:after="0" w:line="237" w:lineRule="auto"/>
        <w:rPr>
          <w:sz w:val="20"/>
          <w:szCs w:val="20"/>
          <w:color w:val="auto"/>
        </w:rPr>
      </w:pPr>
      <w:r>
        <w:rPr>
          <w:rFonts w:ascii="Courier New" w:cs="Courier New" w:eastAsia="Courier New" w:hAnsi="Courier New"/>
          <w:sz w:val="16"/>
          <w:szCs w:val="16"/>
          <w:color w:val="auto"/>
        </w:rPr>
        <w:t>Attorney-in-fact</w:t>
      </w:r>
    </w:p>
    <w:p>
      <w:pPr>
        <w:sectPr>
          <w:pgSz w:w="11900" w:h="16838" w:orient="portrait"/>
          <w:cols w:equalWidth="0" w:num="1">
            <w:col w:w="10224"/>
          </w:cols>
          <w:pgMar w:left="235" w:top="648" w:right="1440" w:bottom="1440" w:gutter="0" w:footer="0" w:header="0"/>
          <w:type w:val="continuous"/>
        </w:sectPr>
      </w:pPr>
    </w:p>
    <w:bookmarkStart w:id="49" w:name="page50"/>
    <w:bookmarkEnd w:id="49"/>
    <w:tbl>
      <w:tblPr>
        <w:tblLayout w:type="fixed"/>
        <w:tblInd w:w="85" w:type="dxa"/>
        <w:tblCellMar>
          <w:top w:w="0" w:type="dxa"/>
          <w:left w:w="0" w:type="dxa"/>
          <w:bottom w:w="0" w:type="dxa"/>
          <w:right w:w="0" w:type="dxa"/>
        </w:tblCellMar>
      </w:tblPr>
      <w:tr>
        <w:trPr>
          <w:trHeight w:val="181"/>
        </w:trPr>
        <w:tc>
          <w:tcPr>
            <w:tcW w:w="900" w:type="dxa"/>
            <w:vAlign w:val="bottom"/>
          </w:tcPr>
          <w:p>
            <w:pPr>
              <w:spacing w:after="0"/>
              <w:rPr>
                <w:sz w:val="15"/>
                <w:szCs w:val="15"/>
                <w:color w:val="auto"/>
              </w:rPr>
            </w:pPr>
          </w:p>
        </w:tc>
        <w:tc>
          <w:tcPr>
            <w:tcW w:w="6360" w:type="dxa"/>
            <w:vAlign w:val="bottom"/>
          </w:tcPr>
          <w:p>
            <w:pPr>
              <w:ind w:left="2180"/>
              <w:spacing w:after="0"/>
              <w:rPr>
                <w:sz w:val="20"/>
                <w:szCs w:val="20"/>
                <w:color w:val="auto"/>
              </w:rPr>
            </w:pPr>
            <w:r>
              <w:rPr>
                <w:rFonts w:ascii="Courier New" w:cs="Courier New" w:eastAsia="Courier New" w:hAnsi="Courier New"/>
                <w:sz w:val="16"/>
                <w:szCs w:val="16"/>
                <w:color w:val="auto"/>
              </w:rPr>
              <w:t>EXHIBIT INDEX</w:t>
            </w:r>
          </w:p>
        </w:tc>
      </w:tr>
      <w:tr>
        <w:trPr>
          <w:trHeight w:val="358"/>
        </w:trPr>
        <w:tc>
          <w:tcPr>
            <w:tcW w:w="90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6360" w:type="dxa"/>
            <w:vAlign w:val="bottom"/>
          </w:tcPr>
          <w:p>
            <w:pPr>
              <w:spacing w:after="0"/>
              <w:rPr>
                <w:sz w:val="24"/>
                <w:szCs w:val="24"/>
                <w:color w:val="auto"/>
              </w:rPr>
            </w:pPr>
          </w:p>
        </w:tc>
      </w:tr>
      <w:tr>
        <w:trPr>
          <w:trHeight w:val="179"/>
        </w:trPr>
        <w:tc>
          <w:tcPr>
            <w:tcW w:w="900" w:type="dxa"/>
            <w:vAlign w:val="bottom"/>
          </w:tcPr>
          <w:p>
            <w:pPr>
              <w:spacing w:after="0" w:line="179" w:lineRule="exact"/>
              <w:rPr>
                <w:sz w:val="20"/>
                <w:szCs w:val="20"/>
                <w:color w:val="auto"/>
              </w:rPr>
            </w:pPr>
            <w:r>
              <w:rPr>
                <w:rFonts w:ascii="Courier New" w:cs="Courier New" w:eastAsia="Courier New" w:hAnsi="Courier New"/>
                <w:sz w:val="16"/>
                <w:szCs w:val="16"/>
                <w:color w:val="auto"/>
              </w:rPr>
              <w:t>Number</w:t>
            </w:r>
          </w:p>
        </w:tc>
        <w:tc>
          <w:tcPr>
            <w:tcW w:w="636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Description of Exhibit</w:t>
            </w:r>
          </w:p>
        </w:tc>
      </w:tr>
      <w:tr>
        <w:trPr>
          <w:trHeight w:val="179"/>
        </w:trPr>
        <w:tc>
          <w:tcPr>
            <w:tcW w:w="9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w w:val="93"/>
              </w:rPr>
              <w:t>------</w:t>
            </w:r>
          </w:p>
        </w:tc>
        <w:tc>
          <w:tcPr>
            <w:tcW w:w="636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9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**1.1</w:t>
            </w:r>
          </w:p>
        </w:tc>
        <w:tc>
          <w:tcPr>
            <w:tcW w:w="636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Form of Underwriting Agreement for Common Stock.</w:t>
            </w:r>
          </w:p>
        </w:tc>
      </w:tr>
      <w:tr>
        <w:trPr>
          <w:trHeight w:val="358"/>
        </w:trPr>
        <w:tc>
          <w:tcPr>
            <w:tcW w:w="9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**1.2</w:t>
            </w:r>
          </w:p>
        </w:tc>
        <w:tc>
          <w:tcPr>
            <w:tcW w:w="6360" w:type="dxa"/>
            <w:vAlign w:val="bottom"/>
          </w:tcPr>
          <w:p>
            <w:pPr>
              <w:ind w:left="220"/>
              <w:spacing w:after="0"/>
              <w:rPr>
                <w:sz w:val="20"/>
                <w:szCs w:val="20"/>
                <w:color w:val="auto"/>
              </w:rPr>
            </w:pPr>
            <w:r>
              <w:rPr>
                <w:rFonts w:ascii="Courier New" w:cs="Courier New" w:eastAsia="Courier New" w:hAnsi="Courier New"/>
                <w:sz w:val="16"/>
                <w:szCs w:val="16"/>
                <w:color w:val="auto"/>
              </w:rPr>
              <w:t>Form of Underwriting Agreement for Other Securities.</w:t>
            </w:r>
          </w:p>
        </w:tc>
      </w:tr>
      <w:tr>
        <w:trPr>
          <w:trHeight w:val="358"/>
        </w:trPr>
        <w:tc>
          <w:tcPr>
            <w:tcW w:w="9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2.1</w:t>
            </w:r>
          </w:p>
        </w:tc>
        <w:tc>
          <w:tcPr>
            <w:tcW w:w="6360" w:type="dxa"/>
            <w:vAlign w:val="bottom"/>
          </w:tcPr>
          <w:p>
            <w:pPr>
              <w:ind w:left="220"/>
              <w:spacing w:after="0"/>
              <w:rPr>
                <w:sz w:val="20"/>
                <w:szCs w:val="20"/>
                <w:color w:val="auto"/>
              </w:rPr>
            </w:pPr>
            <w:r>
              <w:rPr>
                <w:rFonts w:ascii="Courier New" w:cs="Courier New" w:eastAsia="Courier New" w:hAnsi="Courier New"/>
                <w:sz w:val="16"/>
                <w:szCs w:val="16"/>
                <w:color w:val="auto"/>
              </w:rPr>
              <w:t>Share Purchase Agreement dated October 3, 2001 by and among the</w:t>
            </w:r>
          </w:p>
        </w:tc>
      </w:tr>
      <w:tr>
        <w:trPr>
          <w:trHeight w:val="179"/>
        </w:trPr>
        <w:tc>
          <w:tcPr>
            <w:tcW w:w="900" w:type="dxa"/>
            <w:vAlign w:val="bottom"/>
          </w:tcPr>
          <w:p>
            <w:pPr>
              <w:spacing w:after="0"/>
              <w:rPr>
                <w:sz w:val="15"/>
                <w:szCs w:val="15"/>
                <w:color w:val="auto"/>
              </w:rPr>
            </w:pPr>
          </w:p>
        </w:tc>
        <w:tc>
          <w:tcPr>
            <w:tcW w:w="636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w w:val="98"/>
              </w:rPr>
              <w:t>shareholders of Ivron Systems Ltd. and Gentner Ventures, Inc. and</w:t>
            </w:r>
          </w:p>
        </w:tc>
      </w:tr>
      <w:tr>
        <w:trPr>
          <w:trHeight w:val="179"/>
        </w:trPr>
        <w:tc>
          <w:tcPr>
            <w:tcW w:w="900" w:type="dxa"/>
            <w:vAlign w:val="bottom"/>
          </w:tcPr>
          <w:p>
            <w:pPr>
              <w:spacing w:after="0"/>
              <w:rPr>
                <w:sz w:val="15"/>
                <w:szCs w:val="15"/>
                <w:color w:val="auto"/>
              </w:rPr>
            </w:pPr>
          </w:p>
        </w:tc>
        <w:tc>
          <w:tcPr>
            <w:tcW w:w="636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w w:val="96"/>
              </w:rPr>
              <w:t>Clearone (incorporated by reference from ClearOne's current report</w:t>
            </w:r>
          </w:p>
        </w:tc>
      </w:tr>
      <w:tr>
        <w:trPr>
          <w:trHeight w:val="179"/>
        </w:trPr>
        <w:tc>
          <w:tcPr>
            <w:tcW w:w="900" w:type="dxa"/>
            <w:vAlign w:val="bottom"/>
          </w:tcPr>
          <w:p>
            <w:pPr>
              <w:spacing w:after="0"/>
              <w:rPr>
                <w:sz w:val="15"/>
                <w:szCs w:val="15"/>
                <w:color w:val="auto"/>
              </w:rPr>
            </w:pPr>
          </w:p>
        </w:tc>
        <w:tc>
          <w:tcPr>
            <w:tcW w:w="636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on Form 8-K dated October 18, 2001).</w:t>
            </w:r>
          </w:p>
        </w:tc>
      </w:tr>
      <w:tr>
        <w:trPr>
          <w:trHeight w:val="358"/>
        </w:trPr>
        <w:tc>
          <w:tcPr>
            <w:tcW w:w="9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2.2</w:t>
            </w:r>
          </w:p>
        </w:tc>
        <w:tc>
          <w:tcPr>
            <w:tcW w:w="6360" w:type="dxa"/>
            <w:vAlign w:val="bottom"/>
          </w:tcPr>
          <w:p>
            <w:pPr>
              <w:ind w:left="220"/>
              <w:spacing w:after="0"/>
              <w:rPr>
                <w:sz w:val="20"/>
                <w:szCs w:val="20"/>
                <w:color w:val="auto"/>
              </w:rPr>
            </w:pPr>
            <w:r>
              <w:rPr>
                <w:rFonts w:ascii="Courier New" w:cs="Courier New" w:eastAsia="Courier New" w:hAnsi="Courier New"/>
                <w:sz w:val="16"/>
                <w:szCs w:val="16"/>
                <w:color w:val="auto"/>
              </w:rPr>
              <w:t>First Amendment to the Share Purchase Agreement among ClearOne</w:t>
            </w:r>
          </w:p>
        </w:tc>
      </w:tr>
      <w:tr>
        <w:trPr>
          <w:trHeight w:val="179"/>
        </w:trPr>
        <w:tc>
          <w:tcPr>
            <w:tcW w:w="900" w:type="dxa"/>
            <w:vAlign w:val="bottom"/>
          </w:tcPr>
          <w:p>
            <w:pPr>
              <w:spacing w:after="0"/>
              <w:rPr>
                <w:sz w:val="15"/>
                <w:szCs w:val="15"/>
                <w:color w:val="auto"/>
              </w:rPr>
            </w:pPr>
          </w:p>
        </w:tc>
        <w:tc>
          <w:tcPr>
            <w:tcW w:w="636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and the former shareholders of Ivron Systems Ltd. dated as of</w:t>
            </w:r>
          </w:p>
        </w:tc>
      </w:tr>
      <w:tr>
        <w:trPr>
          <w:trHeight w:val="179"/>
        </w:trPr>
        <w:tc>
          <w:tcPr>
            <w:tcW w:w="900" w:type="dxa"/>
            <w:vAlign w:val="bottom"/>
          </w:tcPr>
          <w:p>
            <w:pPr>
              <w:spacing w:after="0"/>
              <w:rPr>
                <w:sz w:val="15"/>
                <w:szCs w:val="15"/>
                <w:color w:val="auto"/>
              </w:rPr>
            </w:pPr>
          </w:p>
        </w:tc>
        <w:tc>
          <w:tcPr>
            <w:tcW w:w="636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April 8, 2002 (incorporated by reference from ClearOne's</w:t>
            </w:r>
          </w:p>
        </w:tc>
      </w:tr>
      <w:tr>
        <w:trPr>
          <w:trHeight w:val="179"/>
        </w:trPr>
        <w:tc>
          <w:tcPr>
            <w:tcW w:w="900" w:type="dxa"/>
            <w:vAlign w:val="bottom"/>
          </w:tcPr>
          <w:p>
            <w:pPr>
              <w:spacing w:after="0"/>
              <w:rPr>
                <w:sz w:val="15"/>
                <w:szCs w:val="15"/>
                <w:color w:val="auto"/>
              </w:rPr>
            </w:pPr>
          </w:p>
        </w:tc>
        <w:tc>
          <w:tcPr>
            <w:tcW w:w="636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current report on Form 8-K dated April 10, 2002).</w:t>
            </w:r>
          </w:p>
        </w:tc>
      </w:tr>
      <w:tr>
        <w:trPr>
          <w:trHeight w:val="358"/>
        </w:trPr>
        <w:tc>
          <w:tcPr>
            <w:tcW w:w="9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2.3</w:t>
            </w:r>
          </w:p>
        </w:tc>
        <w:tc>
          <w:tcPr>
            <w:tcW w:w="6360" w:type="dxa"/>
            <w:vAlign w:val="bottom"/>
          </w:tcPr>
          <w:p>
            <w:pPr>
              <w:ind w:left="220"/>
              <w:spacing w:after="0"/>
              <w:rPr>
                <w:sz w:val="20"/>
                <w:szCs w:val="20"/>
                <w:color w:val="auto"/>
              </w:rPr>
            </w:pPr>
            <w:r>
              <w:rPr>
                <w:rFonts w:ascii="Courier New" w:cs="Courier New" w:eastAsia="Courier New" w:hAnsi="Courier New"/>
                <w:sz w:val="16"/>
                <w:szCs w:val="16"/>
                <w:color w:val="auto"/>
              </w:rPr>
              <w:t>Agreement and Plan of Merger, by and among ClearOne, E.mergent,</w:t>
            </w:r>
          </w:p>
        </w:tc>
      </w:tr>
      <w:tr>
        <w:trPr>
          <w:trHeight w:val="179"/>
        </w:trPr>
        <w:tc>
          <w:tcPr>
            <w:tcW w:w="900" w:type="dxa"/>
            <w:vAlign w:val="bottom"/>
          </w:tcPr>
          <w:p>
            <w:pPr>
              <w:spacing w:after="0"/>
              <w:rPr>
                <w:sz w:val="15"/>
                <w:szCs w:val="15"/>
                <w:color w:val="auto"/>
              </w:rPr>
            </w:pPr>
          </w:p>
        </w:tc>
        <w:tc>
          <w:tcPr>
            <w:tcW w:w="636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w w:val="99"/>
              </w:rPr>
              <w:t>Inc. and Tundra Acquisition Inc. (incorporated by reference from</w:t>
            </w:r>
          </w:p>
        </w:tc>
      </w:tr>
      <w:tr>
        <w:trPr>
          <w:trHeight w:val="179"/>
        </w:trPr>
        <w:tc>
          <w:tcPr>
            <w:tcW w:w="900" w:type="dxa"/>
            <w:vAlign w:val="bottom"/>
          </w:tcPr>
          <w:p>
            <w:pPr>
              <w:spacing w:after="0"/>
              <w:rPr>
                <w:sz w:val="15"/>
                <w:szCs w:val="15"/>
                <w:color w:val="auto"/>
              </w:rPr>
            </w:pPr>
          </w:p>
        </w:tc>
        <w:tc>
          <w:tcPr>
            <w:tcW w:w="636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ClearOne's registration statement on Form S-4 dated February 6,</w:t>
            </w:r>
          </w:p>
        </w:tc>
      </w:tr>
      <w:tr>
        <w:trPr>
          <w:trHeight w:val="179"/>
        </w:trPr>
        <w:tc>
          <w:tcPr>
            <w:tcW w:w="900" w:type="dxa"/>
            <w:vAlign w:val="bottom"/>
          </w:tcPr>
          <w:p>
            <w:pPr>
              <w:spacing w:after="0"/>
              <w:rPr>
                <w:sz w:val="15"/>
                <w:szCs w:val="15"/>
                <w:color w:val="auto"/>
              </w:rPr>
            </w:pPr>
          </w:p>
        </w:tc>
        <w:tc>
          <w:tcPr>
            <w:tcW w:w="636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2002).</w:t>
            </w:r>
          </w:p>
        </w:tc>
      </w:tr>
      <w:tr>
        <w:trPr>
          <w:trHeight w:val="358"/>
        </w:trPr>
        <w:tc>
          <w:tcPr>
            <w:tcW w:w="9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2.4</w:t>
            </w:r>
          </w:p>
        </w:tc>
        <w:tc>
          <w:tcPr>
            <w:tcW w:w="6360" w:type="dxa"/>
            <w:vAlign w:val="bottom"/>
          </w:tcPr>
          <w:p>
            <w:pPr>
              <w:ind w:left="220"/>
              <w:spacing w:after="0"/>
              <w:rPr>
                <w:sz w:val="20"/>
                <w:szCs w:val="20"/>
                <w:color w:val="auto"/>
              </w:rPr>
            </w:pPr>
            <w:r>
              <w:rPr>
                <w:rFonts w:ascii="Courier New" w:cs="Courier New" w:eastAsia="Courier New" w:hAnsi="Courier New"/>
                <w:sz w:val="16"/>
                <w:szCs w:val="16"/>
                <w:color w:val="auto"/>
              </w:rPr>
              <w:t>Amendment No. 1 to Agreement and Plan of Merger dated as of</w:t>
            </w:r>
          </w:p>
        </w:tc>
      </w:tr>
      <w:tr>
        <w:trPr>
          <w:trHeight w:val="179"/>
        </w:trPr>
        <w:tc>
          <w:tcPr>
            <w:tcW w:w="900" w:type="dxa"/>
            <w:vAlign w:val="bottom"/>
          </w:tcPr>
          <w:p>
            <w:pPr>
              <w:spacing w:after="0"/>
              <w:rPr>
                <w:sz w:val="15"/>
                <w:szCs w:val="15"/>
                <w:color w:val="auto"/>
              </w:rPr>
            </w:pPr>
          </w:p>
        </w:tc>
        <w:tc>
          <w:tcPr>
            <w:tcW w:w="636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w w:val="98"/>
              </w:rPr>
              <w:t>March 29, 2002, by and among ClearOne, E.mergent, Inc. and Tundra</w:t>
            </w:r>
          </w:p>
        </w:tc>
      </w:tr>
      <w:tr>
        <w:trPr>
          <w:trHeight w:val="179"/>
        </w:trPr>
        <w:tc>
          <w:tcPr>
            <w:tcW w:w="900" w:type="dxa"/>
            <w:vAlign w:val="bottom"/>
          </w:tcPr>
          <w:p>
            <w:pPr>
              <w:spacing w:after="0"/>
              <w:rPr>
                <w:sz w:val="15"/>
                <w:szCs w:val="15"/>
                <w:color w:val="auto"/>
              </w:rPr>
            </w:pPr>
          </w:p>
        </w:tc>
        <w:tc>
          <w:tcPr>
            <w:tcW w:w="636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Acquisition Inc. (incorporated by reference from ClearOne's</w:t>
            </w:r>
          </w:p>
        </w:tc>
      </w:tr>
      <w:tr>
        <w:trPr>
          <w:trHeight w:val="179"/>
        </w:trPr>
        <w:tc>
          <w:tcPr>
            <w:tcW w:w="900" w:type="dxa"/>
            <w:vAlign w:val="bottom"/>
          </w:tcPr>
          <w:p>
            <w:pPr>
              <w:spacing w:after="0"/>
              <w:rPr>
                <w:sz w:val="15"/>
                <w:szCs w:val="15"/>
                <w:color w:val="auto"/>
              </w:rPr>
            </w:pPr>
          </w:p>
        </w:tc>
        <w:tc>
          <w:tcPr>
            <w:tcW w:w="636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registration statement on Form S-4/A dated April 15, 2002).</w:t>
            </w:r>
          </w:p>
        </w:tc>
      </w:tr>
      <w:tr>
        <w:trPr>
          <w:trHeight w:val="358"/>
        </w:trPr>
        <w:tc>
          <w:tcPr>
            <w:tcW w:w="9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3.1</w:t>
            </w:r>
          </w:p>
        </w:tc>
        <w:tc>
          <w:tcPr>
            <w:tcW w:w="6360" w:type="dxa"/>
            <w:vAlign w:val="bottom"/>
          </w:tcPr>
          <w:p>
            <w:pPr>
              <w:ind w:left="220"/>
              <w:spacing w:after="0"/>
              <w:rPr>
                <w:sz w:val="20"/>
                <w:szCs w:val="20"/>
                <w:color w:val="auto"/>
              </w:rPr>
            </w:pPr>
            <w:r>
              <w:rPr>
                <w:rFonts w:ascii="Courier New" w:cs="Courier New" w:eastAsia="Courier New" w:hAnsi="Courier New"/>
                <w:sz w:val="16"/>
                <w:szCs w:val="16"/>
                <w:color w:val="auto"/>
              </w:rPr>
              <w:t>Articles of Incorporation dated July 7, 1983.</w:t>
            </w:r>
          </w:p>
        </w:tc>
      </w:tr>
      <w:tr>
        <w:trPr>
          <w:trHeight w:val="358"/>
        </w:trPr>
        <w:tc>
          <w:tcPr>
            <w:tcW w:w="9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3.2</w:t>
            </w:r>
          </w:p>
        </w:tc>
        <w:tc>
          <w:tcPr>
            <w:tcW w:w="6360" w:type="dxa"/>
            <w:vAlign w:val="bottom"/>
          </w:tcPr>
          <w:p>
            <w:pPr>
              <w:ind w:left="220"/>
              <w:spacing w:after="0"/>
              <w:rPr>
                <w:sz w:val="20"/>
                <w:szCs w:val="20"/>
                <w:color w:val="auto"/>
              </w:rPr>
            </w:pPr>
            <w:r>
              <w:rPr>
                <w:rFonts w:ascii="Courier New" w:cs="Courier New" w:eastAsia="Courier New" w:hAnsi="Courier New"/>
                <w:sz w:val="16"/>
                <w:szCs w:val="16"/>
                <w:color w:val="auto"/>
              </w:rPr>
              <w:t>Amendment to Articles of Incorporation dated March 26, 1985.</w:t>
            </w:r>
          </w:p>
        </w:tc>
      </w:tr>
      <w:tr>
        <w:trPr>
          <w:trHeight w:val="358"/>
        </w:trPr>
        <w:tc>
          <w:tcPr>
            <w:tcW w:w="9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3.3</w:t>
            </w:r>
          </w:p>
        </w:tc>
        <w:tc>
          <w:tcPr>
            <w:tcW w:w="6360" w:type="dxa"/>
            <w:vAlign w:val="bottom"/>
          </w:tcPr>
          <w:p>
            <w:pPr>
              <w:ind w:left="220"/>
              <w:spacing w:after="0"/>
              <w:rPr>
                <w:sz w:val="20"/>
                <w:szCs w:val="20"/>
                <w:color w:val="auto"/>
              </w:rPr>
            </w:pPr>
            <w:r>
              <w:rPr>
                <w:rFonts w:ascii="Courier New" w:cs="Courier New" w:eastAsia="Courier New" w:hAnsi="Courier New"/>
                <w:sz w:val="16"/>
                <w:szCs w:val="16"/>
                <w:color w:val="auto"/>
              </w:rPr>
              <w:t>Corrected Amendment to Articles of Incorporation dated</w:t>
            </w:r>
          </w:p>
        </w:tc>
      </w:tr>
      <w:tr>
        <w:trPr>
          <w:trHeight w:val="179"/>
        </w:trPr>
        <w:tc>
          <w:tcPr>
            <w:tcW w:w="900" w:type="dxa"/>
            <w:vAlign w:val="bottom"/>
          </w:tcPr>
          <w:p>
            <w:pPr>
              <w:spacing w:after="0"/>
              <w:rPr>
                <w:sz w:val="15"/>
                <w:szCs w:val="15"/>
                <w:color w:val="auto"/>
              </w:rPr>
            </w:pPr>
          </w:p>
        </w:tc>
        <w:tc>
          <w:tcPr>
            <w:tcW w:w="636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September 10, 1986.</w:t>
            </w:r>
          </w:p>
        </w:tc>
      </w:tr>
      <w:tr>
        <w:trPr>
          <w:trHeight w:val="358"/>
        </w:trPr>
        <w:tc>
          <w:tcPr>
            <w:tcW w:w="9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3.4</w:t>
            </w:r>
          </w:p>
        </w:tc>
        <w:tc>
          <w:tcPr>
            <w:tcW w:w="6360" w:type="dxa"/>
            <w:vAlign w:val="bottom"/>
          </w:tcPr>
          <w:p>
            <w:pPr>
              <w:ind w:left="220"/>
              <w:spacing w:after="0"/>
              <w:rPr>
                <w:sz w:val="20"/>
                <w:szCs w:val="20"/>
                <w:color w:val="auto"/>
              </w:rPr>
            </w:pPr>
            <w:r>
              <w:rPr>
                <w:rFonts w:ascii="Courier New" w:cs="Courier New" w:eastAsia="Courier New" w:hAnsi="Courier New"/>
                <w:sz w:val="16"/>
                <w:szCs w:val="16"/>
                <w:color w:val="auto"/>
              </w:rPr>
              <w:t>Amendment to Articles of Incorporation dated July 1, 1991.</w:t>
            </w:r>
          </w:p>
        </w:tc>
      </w:tr>
      <w:tr>
        <w:trPr>
          <w:trHeight w:val="358"/>
        </w:trPr>
        <w:tc>
          <w:tcPr>
            <w:tcW w:w="9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3.5</w:t>
            </w:r>
          </w:p>
        </w:tc>
        <w:tc>
          <w:tcPr>
            <w:tcW w:w="6360" w:type="dxa"/>
            <w:vAlign w:val="bottom"/>
          </w:tcPr>
          <w:p>
            <w:pPr>
              <w:ind w:left="220"/>
              <w:spacing w:after="0"/>
              <w:rPr>
                <w:sz w:val="20"/>
                <w:szCs w:val="20"/>
                <w:color w:val="auto"/>
              </w:rPr>
            </w:pPr>
            <w:r>
              <w:rPr>
                <w:rFonts w:ascii="Courier New" w:cs="Courier New" w:eastAsia="Courier New" w:hAnsi="Courier New"/>
                <w:sz w:val="16"/>
                <w:szCs w:val="16"/>
                <w:color w:val="auto"/>
              </w:rPr>
              <w:t>Amendment to Articles of Incorporation dated December 12, 2001.</w:t>
            </w:r>
          </w:p>
        </w:tc>
      </w:tr>
      <w:tr>
        <w:trPr>
          <w:trHeight w:val="358"/>
        </w:trPr>
        <w:tc>
          <w:tcPr>
            <w:tcW w:w="9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3.6</w:t>
            </w:r>
          </w:p>
        </w:tc>
        <w:tc>
          <w:tcPr>
            <w:tcW w:w="6360" w:type="dxa"/>
            <w:vAlign w:val="bottom"/>
          </w:tcPr>
          <w:p>
            <w:pPr>
              <w:ind w:left="220"/>
              <w:spacing w:after="0"/>
              <w:rPr>
                <w:sz w:val="20"/>
                <w:szCs w:val="20"/>
                <w:color w:val="auto"/>
              </w:rPr>
            </w:pPr>
            <w:r>
              <w:rPr>
                <w:rFonts w:ascii="Courier New" w:cs="Courier New" w:eastAsia="Courier New" w:hAnsi="Courier New"/>
                <w:sz w:val="16"/>
                <w:szCs w:val="16"/>
                <w:color w:val="auto"/>
              </w:rPr>
              <w:t>Bylaws, as adopted on August 24, 1993.</w:t>
            </w:r>
          </w:p>
        </w:tc>
      </w:tr>
      <w:tr>
        <w:trPr>
          <w:trHeight w:val="358"/>
        </w:trPr>
        <w:tc>
          <w:tcPr>
            <w:tcW w:w="9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4.1</w:t>
            </w:r>
          </w:p>
        </w:tc>
        <w:tc>
          <w:tcPr>
            <w:tcW w:w="6360" w:type="dxa"/>
            <w:vAlign w:val="bottom"/>
          </w:tcPr>
          <w:p>
            <w:pPr>
              <w:ind w:left="220"/>
              <w:spacing w:after="0"/>
              <w:rPr>
                <w:sz w:val="20"/>
                <w:szCs w:val="20"/>
                <w:color w:val="auto"/>
              </w:rPr>
            </w:pPr>
            <w:r>
              <w:rPr>
                <w:rFonts w:ascii="Courier New" w:cs="Courier New" w:eastAsia="Courier New" w:hAnsi="Courier New"/>
                <w:sz w:val="16"/>
                <w:szCs w:val="16"/>
                <w:color w:val="auto"/>
              </w:rPr>
              <w:t>Form of Senior Debt Indenture.</w:t>
            </w:r>
          </w:p>
        </w:tc>
      </w:tr>
      <w:tr>
        <w:trPr>
          <w:trHeight w:val="358"/>
        </w:trPr>
        <w:tc>
          <w:tcPr>
            <w:tcW w:w="9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4.2</w:t>
            </w:r>
          </w:p>
        </w:tc>
        <w:tc>
          <w:tcPr>
            <w:tcW w:w="6360" w:type="dxa"/>
            <w:vAlign w:val="bottom"/>
          </w:tcPr>
          <w:p>
            <w:pPr>
              <w:ind w:left="220"/>
              <w:spacing w:after="0"/>
              <w:rPr>
                <w:sz w:val="20"/>
                <w:szCs w:val="20"/>
                <w:color w:val="auto"/>
              </w:rPr>
            </w:pPr>
            <w:r>
              <w:rPr>
                <w:rFonts w:ascii="Courier New" w:cs="Courier New" w:eastAsia="Courier New" w:hAnsi="Courier New"/>
                <w:sz w:val="16"/>
                <w:szCs w:val="16"/>
                <w:color w:val="auto"/>
              </w:rPr>
              <w:t>Form of Subordinated Debt Indenture.</w:t>
            </w:r>
          </w:p>
        </w:tc>
      </w:tr>
      <w:tr>
        <w:trPr>
          <w:trHeight w:val="358"/>
        </w:trPr>
        <w:tc>
          <w:tcPr>
            <w:tcW w:w="9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*4.3</w:t>
            </w:r>
          </w:p>
        </w:tc>
        <w:tc>
          <w:tcPr>
            <w:tcW w:w="6360" w:type="dxa"/>
            <w:vAlign w:val="bottom"/>
          </w:tcPr>
          <w:p>
            <w:pPr>
              <w:ind w:left="220"/>
              <w:spacing w:after="0"/>
              <w:rPr>
                <w:sz w:val="20"/>
                <w:szCs w:val="20"/>
                <w:color w:val="auto"/>
              </w:rPr>
            </w:pPr>
            <w:r>
              <w:rPr>
                <w:rFonts w:ascii="Courier New" w:cs="Courier New" w:eastAsia="Courier New" w:hAnsi="Courier New"/>
                <w:sz w:val="16"/>
                <w:szCs w:val="16"/>
                <w:color w:val="auto"/>
              </w:rPr>
              <w:t>Form of Stock Warrant Agreement.</w:t>
            </w:r>
          </w:p>
        </w:tc>
      </w:tr>
      <w:tr>
        <w:trPr>
          <w:trHeight w:val="358"/>
        </w:trPr>
        <w:tc>
          <w:tcPr>
            <w:tcW w:w="9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*4.4</w:t>
            </w:r>
          </w:p>
        </w:tc>
        <w:tc>
          <w:tcPr>
            <w:tcW w:w="6360" w:type="dxa"/>
            <w:vAlign w:val="bottom"/>
          </w:tcPr>
          <w:p>
            <w:pPr>
              <w:ind w:left="220"/>
              <w:spacing w:after="0"/>
              <w:rPr>
                <w:sz w:val="20"/>
                <w:szCs w:val="20"/>
                <w:color w:val="auto"/>
              </w:rPr>
            </w:pPr>
            <w:r>
              <w:rPr>
                <w:rFonts w:ascii="Courier New" w:cs="Courier New" w:eastAsia="Courier New" w:hAnsi="Courier New"/>
                <w:sz w:val="16"/>
                <w:szCs w:val="16"/>
                <w:color w:val="auto"/>
              </w:rPr>
              <w:t>Form of Debt Warrant Agreement.</w:t>
            </w:r>
          </w:p>
        </w:tc>
      </w:tr>
      <w:tr>
        <w:trPr>
          <w:trHeight w:val="358"/>
        </w:trPr>
        <w:tc>
          <w:tcPr>
            <w:tcW w:w="9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*5.1</w:t>
            </w:r>
          </w:p>
        </w:tc>
        <w:tc>
          <w:tcPr>
            <w:tcW w:w="6360" w:type="dxa"/>
            <w:vAlign w:val="bottom"/>
          </w:tcPr>
          <w:p>
            <w:pPr>
              <w:ind w:left="220"/>
              <w:spacing w:after="0"/>
              <w:rPr>
                <w:sz w:val="20"/>
                <w:szCs w:val="20"/>
                <w:color w:val="auto"/>
              </w:rPr>
            </w:pPr>
            <w:r>
              <w:rPr>
                <w:rFonts w:ascii="Courier New" w:cs="Courier New" w:eastAsia="Courier New" w:hAnsi="Courier New"/>
                <w:sz w:val="16"/>
                <w:szCs w:val="16"/>
                <w:color w:val="auto"/>
              </w:rPr>
              <w:t>Opinion of Clyde, Snow Sessions &amp; Swenson, PC.</w:t>
            </w:r>
          </w:p>
        </w:tc>
      </w:tr>
      <w:tr>
        <w:trPr>
          <w:trHeight w:val="358"/>
        </w:trPr>
        <w:tc>
          <w:tcPr>
            <w:tcW w:w="9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*5.2</w:t>
            </w:r>
          </w:p>
        </w:tc>
        <w:tc>
          <w:tcPr>
            <w:tcW w:w="6360" w:type="dxa"/>
            <w:vAlign w:val="bottom"/>
          </w:tcPr>
          <w:p>
            <w:pPr>
              <w:ind w:left="220"/>
              <w:spacing w:after="0"/>
              <w:rPr>
                <w:sz w:val="20"/>
                <w:szCs w:val="20"/>
                <w:color w:val="auto"/>
              </w:rPr>
            </w:pPr>
            <w:r>
              <w:rPr>
                <w:rFonts w:ascii="Courier New" w:cs="Courier New" w:eastAsia="Courier New" w:hAnsi="Courier New"/>
                <w:sz w:val="16"/>
                <w:szCs w:val="16"/>
                <w:color w:val="auto"/>
              </w:rPr>
              <w:t>Opinion of Shearman &amp; Sterling.</w:t>
            </w:r>
          </w:p>
        </w:tc>
      </w:tr>
      <w:tr>
        <w:trPr>
          <w:trHeight w:val="358"/>
        </w:trPr>
        <w:tc>
          <w:tcPr>
            <w:tcW w:w="9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12.1</w:t>
            </w:r>
          </w:p>
        </w:tc>
        <w:tc>
          <w:tcPr>
            <w:tcW w:w="6360" w:type="dxa"/>
            <w:vAlign w:val="bottom"/>
          </w:tcPr>
          <w:p>
            <w:pPr>
              <w:ind w:left="220"/>
              <w:spacing w:after="0"/>
              <w:rPr>
                <w:sz w:val="20"/>
                <w:szCs w:val="20"/>
                <w:color w:val="auto"/>
              </w:rPr>
            </w:pPr>
            <w:r>
              <w:rPr>
                <w:rFonts w:ascii="Courier New" w:cs="Courier New" w:eastAsia="Courier New" w:hAnsi="Courier New"/>
                <w:sz w:val="16"/>
                <w:szCs w:val="16"/>
                <w:color w:val="auto"/>
              </w:rPr>
              <w:t>Computation of Ratio of Earnings to Fixed Charges.</w:t>
            </w:r>
          </w:p>
        </w:tc>
      </w:tr>
      <w:tr>
        <w:trPr>
          <w:trHeight w:val="358"/>
        </w:trPr>
        <w:tc>
          <w:tcPr>
            <w:tcW w:w="9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*23.1</w:t>
            </w:r>
          </w:p>
        </w:tc>
        <w:tc>
          <w:tcPr>
            <w:tcW w:w="6360" w:type="dxa"/>
            <w:vAlign w:val="bottom"/>
          </w:tcPr>
          <w:p>
            <w:pPr>
              <w:ind w:left="220"/>
              <w:spacing w:after="0"/>
              <w:rPr>
                <w:sz w:val="20"/>
                <w:szCs w:val="20"/>
                <w:color w:val="auto"/>
              </w:rPr>
            </w:pPr>
            <w:r>
              <w:rPr>
                <w:rFonts w:ascii="Courier New" w:cs="Courier New" w:eastAsia="Courier New" w:hAnsi="Courier New"/>
                <w:sz w:val="16"/>
                <w:szCs w:val="16"/>
                <w:color w:val="auto"/>
              </w:rPr>
              <w:t>Consent of Clyde, Snow Sessions &amp; Swenson, PC included in</w:t>
            </w:r>
          </w:p>
        </w:tc>
      </w:tr>
      <w:tr>
        <w:trPr>
          <w:trHeight w:val="179"/>
        </w:trPr>
        <w:tc>
          <w:tcPr>
            <w:tcW w:w="900" w:type="dxa"/>
            <w:vAlign w:val="bottom"/>
          </w:tcPr>
          <w:p>
            <w:pPr>
              <w:spacing w:after="0"/>
              <w:rPr>
                <w:sz w:val="15"/>
                <w:szCs w:val="15"/>
                <w:color w:val="auto"/>
              </w:rPr>
            </w:pPr>
          </w:p>
        </w:tc>
        <w:tc>
          <w:tcPr>
            <w:tcW w:w="636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Exhibit 5.1.</w:t>
            </w:r>
          </w:p>
        </w:tc>
      </w:tr>
      <w:tr>
        <w:trPr>
          <w:trHeight w:val="358"/>
        </w:trPr>
        <w:tc>
          <w:tcPr>
            <w:tcW w:w="9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*23.2</w:t>
            </w:r>
          </w:p>
        </w:tc>
        <w:tc>
          <w:tcPr>
            <w:tcW w:w="6360" w:type="dxa"/>
            <w:vAlign w:val="bottom"/>
          </w:tcPr>
          <w:p>
            <w:pPr>
              <w:ind w:left="220"/>
              <w:spacing w:after="0"/>
              <w:rPr>
                <w:sz w:val="20"/>
                <w:szCs w:val="20"/>
                <w:color w:val="auto"/>
              </w:rPr>
            </w:pPr>
            <w:r>
              <w:rPr>
                <w:rFonts w:ascii="Courier New" w:cs="Courier New" w:eastAsia="Courier New" w:hAnsi="Courier New"/>
                <w:sz w:val="16"/>
                <w:szCs w:val="16"/>
                <w:color w:val="auto"/>
              </w:rPr>
              <w:t>Consent of Shearman &amp; Sterling, included in Exhibit 5.1.</w:t>
            </w:r>
          </w:p>
        </w:tc>
      </w:tr>
      <w:tr>
        <w:trPr>
          <w:trHeight w:val="358"/>
        </w:trPr>
        <w:tc>
          <w:tcPr>
            <w:tcW w:w="9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23.3</w:t>
            </w:r>
          </w:p>
        </w:tc>
        <w:tc>
          <w:tcPr>
            <w:tcW w:w="6360" w:type="dxa"/>
            <w:vAlign w:val="bottom"/>
          </w:tcPr>
          <w:p>
            <w:pPr>
              <w:ind w:left="220"/>
              <w:spacing w:after="0"/>
              <w:rPr>
                <w:sz w:val="20"/>
                <w:szCs w:val="20"/>
                <w:color w:val="auto"/>
              </w:rPr>
            </w:pPr>
            <w:r>
              <w:rPr>
                <w:rFonts w:ascii="Courier New" w:cs="Courier New" w:eastAsia="Courier New" w:hAnsi="Courier New"/>
                <w:sz w:val="16"/>
                <w:szCs w:val="16"/>
                <w:color w:val="auto"/>
              </w:rPr>
              <w:t>Consent of Ernst &amp; Young LLP, as independent accountants for</w:t>
            </w:r>
          </w:p>
        </w:tc>
      </w:tr>
      <w:tr>
        <w:trPr>
          <w:trHeight w:val="179"/>
        </w:trPr>
        <w:tc>
          <w:tcPr>
            <w:tcW w:w="900" w:type="dxa"/>
            <w:vAlign w:val="bottom"/>
          </w:tcPr>
          <w:p>
            <w:pPr>
              <w:spacing w:after="0"/>
              <w:rPr>
                <w:sz w:val="15"/>
                <w:szCs w:val="15"/>
                <w:color w:val="auto"/>
              </w:rPr>
            </w:pPr>
          </w:p>
        </w:tc>
        <w:tc>
          <w:tcPr>
            <w:tcW w:w="636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ClearOne Communications, Inc.</w:t>
            </w:r>
          </w:p>
        </w:tc>
      </w:tr>
      <w:tr>
        <w:trPr>
          <w:trHeight w:val="358"/>
        </w:trPr>
        <w:tc>
          <w:tcPr>
            <w:tcW w:w="9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23.4</w:t>
            </w:r>
          </w:p>
        </w:tc>
        <w:tc>
          <w:tcPr>
            <w:tcW w:w="6360" w:type="dxa"/>
            <w:vAlign w:val="bottom"/>
          </w:tcPr>
          <w:p>
            <w:pPr>
              <w:ind w:left="220"/>
              <w:spacing w:after="0"/>
              <w:rPr>
                <w:sz w:val="20"/>
                <w:szCs w:val="20"/>
                <w:color w:val="auto"/>
              </w:rPr>
            </w:pPr>
            <w:r>
              <w:rPr>
                <w:rFonts w:ascii="Courier New" w:cs="Courier New" w:eastAsia="Courier New" w:hAnsi="Courier New"/>
                <w:sz w:val="16"/>
                <w:szCs w:val="16"/>
                <w:color w:val="auto"/>
                <w:w w:val="99"/>
              </w:rPr>
              <w:t>Consent of Deloitte &amp; Touche LLP, as independent accountants for</w:t>
            </w:r>
          </w:p>
        </w:tc>
      </w:tr>
      <w:tr>
        <w:trPr>
          <w:trHeight w:val="179"/>
        </w:trPr>
        <w:tc>
          <w:tcPr>
            <w:tcW w:w="900" w:type="dxa"/>
            <w:vAlign w:val="bottom"/>
          </w:tcPr>
          <w:p>
            <w:pPr>
              <w:spacing w:after="0"/>
              <w:rPr>
                <w:sz w:val="15"/>
                <w:szCs w:val="15"/>
                <w:color w:val="auto"/>
              </w:rPr>
            </w:pPr>
          </w:p>
        </w:tc>
        <w:tc>
          <w:tcPr>
            <w:tcW w:w="636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E.mergent, Inc.</w:t>
            </w:r>
          </w:p>
        </w:tc>
      </w:tr>
      <w:tr>
        <w:trPr>
          <w:trHeight w:val="358"/>
        </w:trPr>
        <w:tc>
          <w:tcPr>
            <w:tcW w:w="9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*24.1</w:t>
            </w:r>
          </w:p>
        </w:tc>
        <w:tc>
          <w:tcPr>
            <w:tcW w:w="6360" w:type="dxa"/>
            <w:vAlign w:val="bottom"/>
          </w:tcPr>
          <w:p>
            <w:pPr>
              <w:ind w:left="220"/>
              <w:spacing w:after="0"/>
              <w:rPr>
                <w:sz w:val="20"/>
                <w:szCs w:val="20"/>
                <w:color w:val="auto"/>
              </w:rPr>
            </w:pPr>
            <w:r>
              <w:rPr>
                <w:rFonts w:ascii="Courier New" w:cs="Courier New" w:eastAsia="Courier New" w:hAnsi="Courier New"/>
                <w:sz w:val="16"/>
                <w:szCs w:val="16"/>
                <w:color w:val="auto"/>
              </w:rPr>
              <w:t>Powers of Attorney (included on signature pages to this</w:t>
            </w:r>
          </w:p>
        </w:tc>
      </w:tr>
      <w:tr>
        <w:trPr>
          <w:trHeight w:val="179"/>
        </w:trPr>
        <w:tc>
          <w:tcPr>
            <w:tcW w:w="900" w:type="dxa"/>
            <w:vAlign w:val="bottom"/>
          </w:tcPr>
          <w:p>
            <w:pPr>
              <w:spacing w:after="0"/>
              <w:rPr>
                <w:sz w:val="15"/>
                <w:szCs w:val="15"/>
                <w:color w:val="auto"/>
              </w:rPr>
            </w:pPr>
          </w:p>
        </w:tc>
        <w:tc>
          <w:tcPr>
            <w:tcW w:w="636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registration statement).</w:t>
            </w:r>
          </w:p>
        </w:tc>
      </w:tr>
      <w:tr>
        <w:trPr>
          <w:trHeight w:val="358"/>
        </w:trPr>
        <w:tc>
          <w:tcPr>
            <w:tcW w:w="9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*25.1</w:t>
            </w:r>
          </w:p>
        </w:tc>
        <w:tc>
          <w:tcPr>
            <w:tcW w:w="6360" w:type="dxa"/>
            <w:vAlign w:val="bottom"/>
          </w:tcPr>
          <w:p>
            <w:pPr>
              <w:ind w:left="220"/>
              <w:spacing w:after="0"/>
              <w:rPr>
                <w:sz w:val="20"/>
                <w:szCs w:val="20"/>
                <w:color w:val="auto"/>
              </w:rPr>
            </w:pPr>
            <w:r>
              <w:rPr>
                <w:rFonts w:ascii="Courier New" w:cs="Courier New" w:eastAsia="Courier New" w:hAnsi="Courier New"/>
                <w:sz w:val="16"/>
                <w:szCs w:val="16"/>
                <w:color w:val="auto"/>
                <w:w w:val="98"/>
              </w:rPr>
              <w:t>Form T-1 Statement of Eligibility of the Senior Indenture Trustee</w:t>
            </w:r>
          </w:p>
        </w:tc>
      </w:tr>
      <w:tr>
        <w:trPr>
          <w:trHeight w:val="179"/>
        </w:trPr>
        <w:tc>
          <w:tcPr>
            <w:tcW w:w="900" w:type="dxa"/>
            <w:vAlign w:val="bottom"/>
          </w:tcPr>
          <w:p>
            <w:pPr>
              <w:spacing w:after="0"/>
              <w:rPr>
                <w:sz w:val="15"/>
                <w:szCs w:val="15"/>
                <w:color w:val="auto"/>
              </w:rPr>
            </w:pPr>
          </w:p>
        </w:tc>
        <w:tc>
          <w:tcPr>
            <w:tcW w:w="636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and Subordinated Indenture Trustee</w:t>
            </w:r>
          </w:p>
        </w:tc>
      </w:tr>
    </w:tbl>
    <w:p>
      <w:pPr>
        <w:spacing w:after="0" w:line="177" w:lineRule="exact"/>
        <w:rPr>
          <w:sz w:val="20"/>
          <w:szCs w:val="20"/>
          <w:color w:val="auto"/>
        </w:rPr>
      </w:pPr>
    </w:p>
    <w:p>
      <w:pPr>
        <w:ind w:left="1585"/>
        <w:spacing w:after="0"/>
        <w:rPr>
          <w:sz w:val="20"/>
          <w:szCs w:val="20"/>
          <w:color w:val="auto"/>
        </w:rPr>
      </w:pPr>
      <w:r>
        <w:rPr>
          <w:rFonts w:ascii="Courier New" w:cs="Courier New" w:eastAsia="Courier New" w:hAnsi="Courier New"/>
          <w:sz w:val="16"/>
          <w:szCs w:val="16"/>
          <w:color w:val="auto"/>
        </w:rPr>
        <w:t>.</w:t>
      </w:r>
    </w:p>
    <w:p>
      <w:pPr>
        <w:ind w:left="5"/>
        <w:spacing w:after="0" w:line="236" w:lineRule="auto"/>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5" w:right="3159" w:hanging="5"/>
        <w:spacing w:after="0" w:line="234" w:lineRule="auto"/>
        <w:tabs>
          <w:tab w:leader="none" w:pos="377"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registration statement filed on July 23, 2002. ** To be filed as an exhibit to a report on Form 8-K.</w:t>
      </w:r>
    </w:p>
    <w:p>
      <w:pPr>
        <w:sectPr>
          <w:pgSz w:w="11900" w:h="16838" w:orient="portrait"/>
          <w:cols w:equalWidth="0" w:num="1">
            <w:col w:w="10224"/>
          </w:cols>
          <w:pgMar w:left="235" w:top="1006" w:right="1440" w:bottom="1440" w:gutter="0" w:footer="0" w:header="0"/>
        </w:sectPr>
      </w:pPr>
    </w:p>
    <w:bookmarkStart w:id="50" w:name="page51"/>
    <w:bookmarkEnd w:id="50"/>
    <w:p>
      <w:pPr>
        <w:jc w:val="right"/>
        <w:ind w:right="2779"/>
        <w:spacing w:after="0"/>
        <w:rPr>
          <w:sz w:val="20"/>
          <w:szCs w:val="20"/>
          <w:color w:val="auto"/>
        </w:rPr>
      </w:pPr>
      <w:r>
        <w:rPr>
          <w:rFonts w:ascii="Courier New" w:cs="Courier New" w:eastAsia="Courier New" w:hAnsi="Courier New"/>
          <w:sz w:val="16"/>
          <w:szCs w:val="16"/>
          <w:color w:val="auto"/>
        </w:rPr>
        <w:t>Exhibit 3.1</w:t>
      </w:r>
    </w:p>
    <w:p>
      <w:pPr>
        <w:spacing w:after="0" w:line="177"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ARTICLES OF INCORPORATION</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OF</w:t>
      </w:r>
    </w:p>
    <w:p>
      <w:pPr>
        <w:spacing w:after="0" w:line="17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INSULAR, INC.</w:t>
      </w:r>
    </w:p>
    <w:p>
      <w:pPr>
        <w:spacing w:after="0" w:line="183" w:lineRule="exact"/>
        <w:rPr>
          <w:sz w:val="20"/>
          <w:szCs w:val="20"/>
          <w:color w:val="auto"/>
        </w:rPr>
      </w:pPr>
    </w:p>
    <w:p>
      <w:pPr>
        <w:ind w:right="2879" w:firstLine="837"/>
        <w:spacing w:after="0" w:line="283" w:lineRule="auto"/>
        <w:rPr>
          <w:sz w:val="20"/>
          <w:szCs w:val="20"/>
          <w:color w:val="auto"/>
        </w:rPr>
      </w:pPr>
      <w:r>
        <w:rPr>
          <w:rFonts w:ascii="Courier New" w:cs="Courier New" w:eastAsia="Courier New" w:hAnsi="Courier New"/>
          <w:sz w:val="14"/>
          <w:szCs w:val="14"/>
          <w:color w:val="auto"/>
        </w:rPr>
        <w:t>We, the undersigned, natural persons of twenty-one (21) years or more, acting as incorporators of a corporation under the Utah Business Corporation Act, adopt the following Articles of Incorporation for such corporation;</w:t>
      </w:r>
    </w:p>
    <w:p>
      <w:pPr>
        <w:spacing w:after="0" w:line="14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ARTICLE I</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Corporate Name</w:t>
      </w:r>
    </w:p>
    <w:p>
      <w:pPr>
        <w:ind w:left="3060"/>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The name of this corporation is</w:t>
      </w:r>
    </w:p>
    <w:p>
      <w:pPr>
        <w:jc w:val="center"/>
        <w:ind w:right="2699"/>
        <w:spacing w:after="0" w:line="236" w:lineRule="auto"/>
        <w:rPr>
          <w:sz w:val="20"/>
          <w:szCs w:val="20"/>
          <w:color w:val="auto"/>
        </w:rPr>
      </w:pPr>
      <w:r>
        <w:rPr>
          <w:rFonts w:ascii="Courier New" w:cs="Courier New" w:eastAsia="Courier New" w:hAnsi="Courier New"/>
          <w:sz w:val="16"/>
          <w:szCs w:val="16"/>
          <w:color w:val="auto"/>
        </w:rPr>
        <w:t>INSULAR, INC.</w:t>
      </w:r>
    </w:p>
    <w:p>
      <w:pPr>
        <w:spacing w:after="0" w:line="17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ARTICLE II</w:t>
      </w:r>
    </w:p>
    <w:p>
      <w:pPr>
        <w:spacing w:after="0" w:line="177"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Duration of the Corporation</w:t>
      </w:r>
    </w:p>
    <w:p>
      <w:pPr>
        <w:ind w:left="2500"/>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The Corporation shall have perpetual existence.</w:t>
      </w:r>
    </w:p>
    <w:p>
      <w:pPr>
        <w:spacing w:after="0" w:line="17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ARTICLE III</w:t>
      </w:r>
    </w:p>
    <w:p>
      <w:pPr>
        <w:spacing w:after="0" w:line="17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Purposes</w:t>
      </w:r>
    </w:p>
    <w:p>
      <w:pPr>
        <w:ind w:left="334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3439" w:firstLine="837"/>
        <w:spacing w:after="0" w:line="234" w:lineRule="auto"/>
        <w:rPr>
          <w:sz w:val="20"/>
          <w:szCs w:val="20"/>
          <w:color w:val="auto"/>
        </w:rPr>
      </w:pPr>
      <w:r>
        <w:rPr>
          <w:rFonts w:ascii="Courier New" w:cs="Courier New" w:eastAsia="Courier New" w:hAnsi="Courier New"/>
          <w:sz w:val="16"/>
          <w:szCs w:val="16"/>
          <w:color w:val="auto"/>
        </w:rPr>
        <w:t>The general purposes and objectives for which the corporation is organized are:</w:t>
      </w:r>
    </w:p>
    <w:p>
      <w:pPr>
        <w:spacing w:after="0" w:line="183" w:lineRule="exact"/>
        <w:rPr>
          <w:sz w:val="20"/>
          <w:szCs w:val="20"/>
          <w:color w:val="auto"/>
        </w:rPr>
      </w:pPr>
    </w:p>
    <w:p>
      <w:pPr>
        <w:ind w:right="2779" w:firstLine="1763"/>
        <w:spacing w:after="0" w:line="234" w:lineRule="auto"/>
        <w:tabs>
          <w:tab w:leader="none" w:pos="214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engage in the business of producing, manufacturing and marketing of air-conditioner covers.</w:t>
      </w:r>
    </w:p>
    <w:p>
      <w:pPr>
        <w:spacing w:after="0" w:line="183" w:lineRule="exact"/>
        <w:rPr>
          <w:rFonts w:ascii="Courier New" w:cs="Courier New" w:eastAsia="Courier New" w:hAnsi="Courier New"/>
          <w:sz w:val="16"/>
          <w:szCs w:val="16"/>
          <w:color w:val="auto"/>
        </w:rPr>
      </w:pPr>
    </w:p>
    <w:p>
      <w:pPr>
        <w:ind w:right="2879" w:firstLine="1763"/>
        <w:spacing w:after="0" w:line="235" w:lineRule="auto"/>
        <w:tabs>
          <w:tab w:leader="none" w:pos="214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have and to exercise all powers now or hereafter conferred by the laws of the State of Utah upon corporations organized pursuant to the laws under which the corporation is organized and any and all acts amendatory thereof and supplemental thereto, and to engage in any other lawful activities.</w:t>
      </w:r>
    </w:p>
    <w:p>
      <w:pPr>
        <w:spacing w:after="0" w:line="185" w:lineRule="exact"/>
        <w:rPr>
          <w:rFonts w:ascii="Courier New" w:cs="Courier New" w:eastAsia="Courier New" w:hAnsi="Courier New"/>
          <w:sz w:val="16"/>
          <w:szCs w:val="16"/>
          <w:color w:val="auto"/>
        </w:rPr>
      </w:pPr>
    </w:p>
    <w:p>
      <w:pPr>
        <w:ind w:right="2779" w:firstLine="1763"/>
        <w:spacing w:after="0" w:line="235" w:lineRule="auto"/>
        <w:tabs>
          <w:tab w:leader="none" w:pos="214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above enumerated powers shall not be construed as limiting or restricting in any manner the powers of this corporation which shall always have such incidental powers as may be connected with or related to any specific power herein enumerated, but are in furtherance of, and in addition to and not in limitation of, said general powers.</w:t>
      </w:r>
    </w:p>
    <w:p>
      <w:pPr>
        <w:spacing w:after="0" w:line="180"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ARTICLE IV</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Shares</w:t>
      </w:r>
    </w:p>
    <w:p>
      <w:pPr>
        <w:ind w:left="344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837"/>
        <w:spacing w:after="0" w:line="235" w:lineRule="auto"/>
        <w:rPr>
          <w:sz w:val="20"/>
          <w:szCs w:val="20"/>
          <w:color w:val="auto"/>
        </w:rPr>
      </w:pPr>
      <w:r>
        <w:rPr>
          <w:rFonts w:ascii="Courier New" w:cs="Courier New" w:eastAsia="Courier New" w:hAnsi="Courier New"/>
          <w:sz w:val="16"/>
          <w:szCs w:val="16"/>
          <w:color w:val="auto"/>
        </w:rPr>
        <w:t>The aggregate number of shares which this corporation shall have authority to issue is fifty million (50,000,000) shares of common stock of a par value of one mil ($0.001) per share. All shares of common stock of this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corporation shall be of the same class and shall have the same rights and preferences. Fully paid shares of common stock of this corporation shall not be liable to any further call or assessment.</w:t>
      </w:r>
    </w:p>
    <w:p>
      <w:pPr>
        <w:spacing w:after="0" w:line="17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ARTICLE V</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Pre-emptive Rights</w:t>
      </w:r>
    </w:p>
    <w:p>
      <w:pPr>
        <w:ind w:left="288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837"/>
        <w:spacing w:after="0" w:line="235" w:lineRule="auto"/>
        <w:rPr>
          <w:sz w:val="20"/>
          <w:szCs w:val="20"/>
          <w:color w:val="auto"/>
        </w:rPr>
      </w:pPr>
      <w:r>
        <w:rPr>
          <w:rFonts w:ascii="Courier New" w:cs="Courier New" w:eastAsia="Courier New" w:hAnsi="Courier New"/>
          <w:sz w:val="16"/>
          <w:szCs w:val="16"/>
          <w:color w:val="auto"/>
        </w:rPr>
        <w:t>The authorized shares of common stock of this corporation may be issued at such time, upon such terms and conditions, and for such consideration as the Board of Directors of this corporation shall determine; provided, however, that the share-holders shall have pre-emptive rights to acquire unissued shares of common stock of this corporation.</w:t>
      </w:r>
    </w:p>
    <w:p>
      <w:pPr>
        <w:spacing w:after="0" w:line="180"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ARTICLE VI</w:t>
      </w:r>
    </w:p>
    <w:p>
      <w:pPr>
        <w:spacing w:after="0" w:line="177"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Voting of Shares</w:t>
      </w:r>
    </w:p>
    <w:p>
      <w:pPr>
        <w:ind w:left="298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879" w:firstLine="837"/>
        <w:spacing w:after="0" w:line="279" w:lineRule="auto"/>
        <w:rPr>
          <w:sz w:val="20"/>
          <w:szCs w:val="20"/>
          <w:color w:val="auto"/>
        </w:rPr>
      </w:pPr>
      <w:r>
        <w:rPr>
          <w:rFonts w:ascii="Courier New" w:cs="Courier New" w:eastAsia="Courier New" w:hAnsi="Courier New"/>
          <w:sz w:val="14"/>
          <w:szCs w:val="14"/>
          <w:color w:val="auto"/>
        </w:rPr>
        <w:t>As to all actions to be voted on by the shareholders, each holder of common stock of the corporation shall be entitled to one vote for each share of such stock standing in his name on the books of the corporation, and shall not be entitled to accumulate votes for the purpose of electing directors.</w:t>
      </w:r>
    </w:p>
    <w:p>
      <w:pPr>
        <w:spacing w:after="0" w:line="151"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ARTICLE VII</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Commencing Business</w:t>
      </w:r>
    </w:p>
    <w:p>
      <w:pPr>
        <w:ind w:left="2880"/>
        <w:spacing w:after="0" w:line="236" w:lineRule="auto"/>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sectPr>
      </w:pPr>
    </w:p>
    <w:bookmarkStart w:id="51" w:name="page52"/>
    <w:bookmarkEnd w:id="51"/>
    <w:p>
      <w:pPr>
        <w:ind w:right="2879" w:firstLine="837"/>
        <w:spacing w:after="0" w:line="235" w:lineRule="auto"/>
        <w:rPr>
          <w:sz w:val="20"/>
          <w:szCs w:val="20"/>
          <w:color w:val="auto"/>
        </w:rPr>
      </w:pPr>
      <w:r>
        <w:rPr>
          <w:rFonts w:ascii="Courier New" w:cs="Courier New" w:eastAsia="Courier New" w:hAnsi="Courier New"/>
          <w:sz w:val="16"/>
          <w:szCs w:val="16"/>
          <w:color w:val="auto"/>
        </w:rPr>
        <w:t>This corporation shall not commence business until consideration of a value of at least One Thousand Dollars ($1,000.000) shall have been received by this corporation for the issuance of its shares of common stock.</w:t>
      </w:r>
    </w:p>
    <w:p>
      <w:pPr>
        <w:spacing w:after="0" w:line="17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ARTICLE VIII</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By-Laws</w:t>
      </w:r>
    </w:p>
    <w:p>
      <w:pPr>
        <w:ind w:left="344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879" w:firstLine="837"/>
        <w:spacing w:after="0" w:line="235" w:lineRule="auto"/>
        <w:rPr>
          <w:sz w:val="20"/>
          <w:szCs w:val="20"/>
          <w:color w:val="auto"/>
        </w:rPr>
      </w:pPr>
      <w:r>
        <w:rPr>
          <w:rFonts w:ascii="Courier New" w:cs="Courier New" w:eastAsia="Courier New" w:hAnsi="Courier New"/>
          <w:sz w:val="16"/>
          <w:szCs w:val="16"/>
          <w:color w:val="auto"/>
        </w:rPr>
        <w:t>The Directors shall and the shareholders may adopt By-Laws which are not inconsistent with law or these Articles of Incorporation for the regulation and management of the affairs of this corporation. These By-Laws may be amended from time to time, or repealed, pursuant to law.</w:t>
      </w:r>
    </w:p>
    <w:p>
      <w:pPr>
        <w:spacing w:after="0" w:line="17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ARTICLE IX</w:t>
      </w:r>
    </w:p>
    <w:p>
      <w:pPr>
        <w:spacing w:after="0" w:line="177"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Registered Office and Agent</w:t>
      </w:r>
    </w:p>
    <w:p>
      <w:pPr>
        <w:ind w:left="250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3159" w:firstLine="837"/>
        <w:spacing w:after="0" w:line="234" w:lineRule="auto"/>
        <w:rPr>
          <w:sz w:val="20"/>
          <w:szCs w:val="20"/>
          <w:color w:val="auto"/>
        </w:rPr>
      </w:pPr>
      <w:r>
        <w:rPr>
          <w:rFonts w:ascii="Courier New" w:cs="Courier New" w:eastAsia="Courier New" w:hAnsi="Courier New"/>
          <w:sz w:val="16"/>
          <w:szCs w:val="16"/>
          <w:color w:val="auto"/>
        </w:rPr>
        <w:t>The address of this corporation's initial registered office and the name of its original registered agent at such address is:</w:t>
      </w:r>
    </w:p>
    <w:p>
      <w:pPr>
        <w:spacing w:after="0" w:line="177" w:lineRule="exact"/>
        <w:rPr>
          <w:sz w:val="20"/>
          <w:szCs w:val="20"/>
          <w:color w:val="auto"/>
        </w:rPr>
      </w:pPr>
    </w:p>
    <w:tbl>
      <w:tblPr>
        <w:tblLayout w:type="fixed"/>
        <w:tblInd w:w="1480" w:type="dxa"/>
        <w:tblCellMar>
          <w:top w:w="0" w:type="dxa"/>
          <w:left w:w="0" w:type="dxa"/>
          <w:bottom w:w="0" w:type="dxa"/>
          <w:right w:w="0" w:type="dxa"/>
        </w:tblCellMar>
      </w:tblPr>
      <w:tr>
        <w:trPr>
          <w:trHeight w:val="181"/>
        </w:trPr>
        <w:tc>
          <w:tcPr>
            <w:tcW w:w="192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3380" w:type="dxa"/>
            <w:vAlign w:val="bottom"/>
            <w:gridSpan w:val="2"/>
          </w:tcPr>
          <w:p>
            <w:pPr>
              <w:ind w:left="680"/>
              <w:spacing w:after="0"/>
              <w:rPr>
                <w:sz w:val="20"/>
                <w:szCs w:val="20"/>
                <w:color w:val="auto"/>
              </w:rPr>
            </w:pPr>
            <w:r>
              <w:rPr>
                <w:rFonts w:ascii="Courier New" w:cs="Courier New" w:eastAsia="Courier New" w:hAnsi="Courier New"/>
                <w:sz w:val="16"/>
                <w:szCs w:val="16"/>
                <w:color w:val="auto"/>
              </w:rPr>
              <w:t>ADDRESS</w:t>
            </w:r>
          </w:p>
        </w:tc>
      </w:tr>
      <w:tr>
        <w:trPr>
          <w:trHeight w:val="179"/>
        </w:trPr>
        <w:tc>
          <w:tcPr>
            <w:tcW w:w="192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3380" w:type="dxa"/>
            <w:vAlign w:val="bottom"/>
            <w:gridSpan w:val="2"/>
          </w:tcPr>
          <w:p>
            <w:pPr>
              <w:ind w:left="68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920" w:type="dxa"/>
            <w:vAlign w:val="bottom"/>
          </w:tcPr>
          <w:p>
            <w:pPr>
              <w:spacing w:after="0" w:line="179" w:lineRule="exact"/>
              <w:rPr>
                <w:sz w:val="20"/>
                <w:szCs w:val="20"/>
                <w:color w:val="auto"/>
              </w:rPr>
            </w:pPr>
            <w:r>
              <w:rPr>
                <w:rFonts w:ascii="Courier New" w:cs="Courier New" w:eastAsia="Courier New" w:hAnsi="Courier New"/>
                <w:sz w:val="16"/>
                <w:szCs w:val="16"/>
                <w:color w:val="auto"/>
              </w:rPr>
              <w:t>Jace N. Green</w:t>
            </w:r>
          </w:p>
        </w:tc>
        <w:tc>
          <w:tcPr>
            <w:tcW w:w="1100" w:type="dxa"/>
            <w:vAlign w:val="bottom"/>
          </w:tcPr>
          <w:p>
            <w:pPr>
              <w:ind w:left="680"/>
              <w:spacing w:after="0" w:line="179" w:lineRule="exact"/>
              <w:rPr>
                <w:sz w:val="20"/>
                <w:szCs w:val="20"/>
                <w:color w:val="auto"/>
              </w:rPr>
            </w:pPr>
            <w:r>
              <w:rPr>
                <w:rFonts w:ascii="Courier New" w:cs="Courier New" w:eastAsia="Courier New" w:hAnsi="Courier New"/>
                <w:sz w:val="16"/>
                <w:szCs w:val="16"/>
                <w:color w:val="auto"/>
              </w:rPr>
              <w:t>4048</w:t>
            </w:r>
          </w:p>
        </w:tc>
        <w:tc>
          <w:tcPr>
            <w:tcW w:w="228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Barker Road</w:t>
            </w:r>
          </w:p>
        </w:tc>
      </w:tr>
      <w:tr>
        <w:trPr>
          <w:trHeight w:val="179"/>
        </w:trPr>
        <w:tc>
          <w:tcPr>
            <w:tcW w:w="1920" w:type="dxa"/>
            <w:vAlign w:val="bottom"/>
          </w:tcPr>
          <w:p>
            <w:pPr>
              <w:spacing w:after="0"/>
              <w:rPr>
                <w:sz w:val="15"/>
                <w:szCs w:val="15"/>
                <w:color w:val="auto"/>
              </w:rPr>
            </w:pPr>
          </w:p>
        </w:tc>
        <w:tc>
          <w:tcPr>
            <w:tcW w:w="1100" w:type="dxa"/>
            <w:vAlign w:val="bottom"/>
          </w:tcPr>
          <w:p>
            <w:pPr>
              <w:ind w:left="680"/>
              <w:spacing w:after="0" w:line="179" w:lineRule="exact"/>
              <w:rPr>
                <w:sz w:val="20"/>
                <w:szCs w:val="20"/>
                <w:color w:val="auto"/>
              </w:rPr>
            </w:pPr>
            <w:r>
              <w:rPr>
                <w:rFonts w:ascii="Courier New" w:cs="Courier New" w:eastAsia="Courier New" w:hAnsi="Courier New"/>
                <w:sz w:val="16"/>
                <w:szCs w:val="16"/>
                <w:color w:val="auto"/>
              </w:rPr>
              <w:t>West</w:t>
            </w:r>
          </w:p>
        </w:tc>
        <w:tc>
          <w:tcPr>
            <w:tcW w:w="228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w w:val="95"/>
              </w:rPr>
              <w:t>Valley City, Utah  84119</w:t>
            </w:r>
          </w:p>
        </w:tc>
      </w:tr>
    </w:tbl>
    <w:p>
      <w:pPr>
        <w:sectPr>
          <w:pgSz w:w="11900" w:h="16838" w:orient="portrait"/>
          <w:cols w:equalWidth="0" w:num="1">
            <w:col w:w="10219"/>
          </w:cols>
          <w:pgMar w:left="240" w:top="142" w:right="1440" w:bottom="1440" w:gutter="0" w:footer="0" w:header="0"/>
        </w:sectPr>
      </w:pPr>
    </w:p>
    <w:bookmarkStart w:id="52" w:name="page53"/>
    <w:bookmarkEnd w:id="52"/>
    <w:p>
      <w:pPr>
        <w:ind w:left="3340"/>
        <w:spacing w:after="0"/>
        <w:rPr>
          <w:sz w:val="20"/>
          <w:szCs w:val="20"/>
          <w:color w:val="auto"/>
        </w:rPr>
      </w:pPr>
      <w:r>
        <w:rPr>
          <w:rFonts w:ascii="Courier New" w:cs="Courier New" w:eastAsia="Courier New" w:hAnsi="Courier New"/>
          <w:sz w:val="16"/>
          <w:szCs w:val="16"/>
          <w:color w:val="auto"/>
        </w:rPr>
        <w:t>ARTICLE X</w:t>
      </w:r>
    </w:p>
    <w:p>
      <w:pPr>
        <w:spacing w:after="0" w:line="17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Directors</w:t>
      </w:r>
    </w:p>
    <w:p>
      <w:pPr>
        <w:ind w:left="334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879" w:firstLine="837"/>
        <w:spacing w:after="0" w:line="236" w:lineRule="auto"/>
        <w:rPr>
          <w:sz w:val="20"/>
          <w:szCs w:val="20"/>
          <w:color w:val="auto"/>
        </w:rPr>
      </w:pPr>
      <w:r>
        <w:rPr>
          <w:rFonts w:ascii="Courier New" w:cs="Courier New" w:eastAsia="Courier New" w:hAnsi="Courier New"/>
          <w:sz w:val="16"/>
          <w:szCs w:val="16"/>
          <w:color w:val="auto"/>
        </w:rPr>
        <w:t>The number of Directors constituting the initial Board of Directors of this corporation is three (3), and subsequent to the organizational meeting of this corporation, the number of Directors shall be determined by the By-Laws of this corporation. The names and addresses of the persons who are to serve as Directors until the First Meeting of Shareholders of this Corporation or until their successors are elected and qualified, are:</w:t>
      </w:r>
    </w:p>
    <w:p>
      <w:pPr>
        <w:spacing w:after="0" w:line="177" w:lineRule="exact"/>
        <w:rPr>
          <w:sz w:val="20"/>
          <w:szCs w:val="20"/>
          <w:color w:val="auto"/>
        </w:rPr>
      </w:pPr>
    </w:p>
    <w:tbl>
      <w:tblPr>
        <w:tblLayout w:type="fixed"/>
        <w:tblInd w:w="1480" w:type="dxa"/>
        <w:tblCellMar>
          <w:top w:w="0" w:type="dxa"/>
          <w:left w:w="0" w:type="dxa"/>
          <w:bottom w:w="0" w:type="dxa"/>
          <w:right w:w="0" w:type="dxa"/>
        </w:tblCellMar>
      </w:tblPr>
      <w:tr>
        <w:trPr>
          <w:trHeight w:val="181"/>
        </w:trPr>
        <w:tc>
          <w:tcPr>
            <w:tcW w:w="210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2560" w:type="dxa"/>
            <w:vAlign w:val="bottom"/>
            <w:gridSpan w:val="2"/>
          </w:tcPr>
          <w:p>
            <w:pPr>
              <w:ind w:left="500"/>
              <w:spacing w:after="0"/>
              <w:rPr>
                <w:sz w:val="20"/>
                <w:szCs w:val="20"/>
                <w:color w:val="auto"/>
              </w:rPr>
            </w:pPr>
            <w:r>
              <w:rPr>
                <w:rFonts w:ascii="Courier New" w:cs="Courier New" w:eastAsia="Courier New" w:hAnsi="Courier New"/>
                <w:sz w:val="16"/>
                <w:szCs w:val="16"/>
                <w:color w:val="auto"/>
              </w:rPr>
              <w:t>ADDRESS</w:t>
            </w:r>
          </w:p>
        </w:tc>
        <w:tc>
          <w:tcPr>
            <w:tcW w:w="640" w:type="dxa"/>
            <w:vAlign w:val="bottom"/>
          </w:tcPr>
          <w:p>
            <w:pPr>
              <w:spacing w:after="0"/>
              <w:rPr>
                <w:sz w:val="15"/>
                <w:szCs w:val="15"/>
                <w:color w:val="auto"/>
              </w:rPr>
            </w:pPr>
          </w:p>
        </w:tc>
      </w:tr>
      <w:tr>
        <w:trPr>
          <w:trHeight w:val="179"/>
        </w:trPr>
        <w:tc>
          <w:tcPr>
            <w:tcW w:w="210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2560" w:type="dxa"/>
            <w:vAlign w:val="bottom"/>
            <w:gridSpan w:val="2"/>
          </w:tcPr>
          <w:p>
            <w:pPr>
              <w:ind w:left="500"/>
              <w:spacing w:after="0" w:line="179" w:lineRule="exact"/>
              <w:rPr>
                <w:sz w:val="20"/>
                <w:szCs w:val="20"/>
                <w:color w:val="auto"/>
              </w:rPr>
            </w:pPr>
            <w:r>
              <w:rPr>
                <w:rFonts w:ascii="Courier New" w:cs="Courier New" w:eastAsia="Courier New" w:hAnsi="Courier New"/>
                <w:sz w:val="16"/>
                <w:szCs w:val="16"/>
                <w:color w:val="auto"/>
              </w:rPr>
              <w:t>-------</w:t>
            </w:r>
          </w:p>
        </w:tc>
        <w:tc>
          <w:tcPr>
            <w:tcW w:w="640" w:type="dxa"/>
            <w:vAlign w:val="bottom"/>
          </w:tcPr>
          <w:p>
            <w:pPr>
              <w:spacing w:after="0"/>
              <w:rPr>
                <w:sz w:val="15"/>
                <w:szCs w:val="15"/>
                <w:color w:val="auto"/>
              </w:rPr>
            </w:pPr>
          </w:p>
        </w:tc>
      </w:tr>
      <w:tr>
        <w:trPr>
          <w:trHeight w:val="179"/>
        </w:trPr>
        <w:tc>
          <w:tcPr>
            <w:tcW w:w="2100" w:type="dxa"/>
            <w:vAlign w:val="bottom"/>
          </w:tcPr>
          <w:p>
            <w:pPr>
              <w:spacing w:after="0" w:line="179" w:lineRule="exact"/>
              <w:rPr>
                <w:sz w:val="20"/>
                <w:szCs w:val="20"/>
                <w:color w:val="auto"/>
              </w:rPr>
            </w:pPr>
            <w:r>
              <w:rPr>
                <w:rFonts w:ascii="Courier New" w:cs="Courier New" w:eastAsia="Courier New" w:hAnsi="Courier New"/>
                <w:sz w:val="16"/>
                <w:szCs w:val="16"/>
                <w:color w:val="auto"/>
              </w:rPr>
              <w:t>Joseph Y. Hornsby</w:t>
            </w:r>
          </w:p>
        </w:tc>
        <w:tc>
          <w:tcPr>
            <w:tcW w:w="920" w:type="dxa"/>
            <w:vAlign w:val="bottom"/>
          </w:tcPr>
          <w:p>
            <w:pPr>
              <w:ind w:left="500"/>
              <w:spacing w:after="0" w:line="179" w:lineRule="exact"/>
              <w:rPr>
                <w:sz w:val="20"/>
                <w:szCs w:val="20"/>
                <w:color w:val="auto"/>
              </w:rPr>
            </w:pPr>
            <w:r>
              <w:rPr>
                <w:rFonts w:ascii="Courier New" w:cs="Courier New" w:eastAsia="Courier New" w:hAnsi="Courier New"/>
                <w:sz w:val="16"/>
                <w:szCs w:val="16"/>
                <w:color w:val="auto"/>
              </w:rPr>
              <w:t>1132</w:t>
            </w:r>
          </w:p>
        </w:tc>
        <w:tc>
          <w:tcPr>
            <w:tcW w:w="164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w w:val="95"/>
              </w:rPr>
              <w:t>Montgomery Street</w:t>
            </w:r>
          </w:p>
        </w:tc>
        <w:tc>
          <w:tcPr>
            <w:tcW w:w="640" w:type="dxa"/>
            <w:vAlign w:val="bottom"/>
          </w:tcPr>
          <w:p>
            <w:pPr>
              <w:spacing w:after="0"/>
              <w:rPr>
                <w:sz w:val="15"/>
                <w:szCs w:val="15"/>
                <w:color w:val="auto"/>
              </w:rPr>
            </w:pPr>
          </w:p>
        </w:tc>
      </w:tr>
      <w:tr>
        <w:trPr>
          <w:trHeight w:val="179"/>
        </w:trPr>
        <w:tc>
          <w:tcPr>
            <w:tcW w:w="2100" w:type="dxa"/>
            <w:vAlign w:val="bottom"/>
          </w:tcPr>
          <w:p>
            <w:pPr>
              <w:spacing w:after="0"/>
              <w:rPr>
                <w:sz w:val="15"/>
                <w:szCs w:val="15"/>
                <w:color w:val="auto"/>
              </w:rPr>
            </w:pPr>
          </w:p>
        </w:tc>
        <w:tc>
          <w:tcPr>
            <w:tcW w:w="2560" w:type="dxa"/>
            <w:vAlign w:val="bottom"/>
            <w:gridSpan w:val="2"/>
          </w:tcPr>
          <w:p>
            <w:pPr>
              <w:ind w:left="500"/>
              <w:spacing w:after="0" w:line="179" w:lineRule="exact"/>
              <w:rPr>
                <w:sz w:val="20"/>
                <w:szCs w:val="20"/>
                <w:color w:val="auto"/>
              </w:rPr>
            </w:pPr>
            <w:r>
              <w:rPr>
                <w:rFonts w:ascii="Courier New" w:cs="Courier New" w:eastAsia="Courier New" w:hAnsi="Courier New"/>
                <w:sz w:val="16"/>
                <w:szCs w:val="16"/>
                <w:color w:val="auto"/>
              </w:rPr>
              <w:t>Salt Lake City, Utah</w:t>
            </w:r>
          </w:p>
        </w:tc>
        <w:tc>
          <w:tcPr>
            <w:tcW w:w="6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1"/>
              </w:rPr>
              <w:t>84104</w:t>
            </w:r>
          </w:p>
        </w:tc>
      </w:tr>
      <w:tr>
        <w:trPr>
          <w:trHeight w:val="179"/>
        </w:trPr>
        <w:tc>
          <w:tcPr>
            <w:tcW w:w="2100" w:type="dxa"/>
            <w:vAlign w:val="bottom"/>
          </w:tcPr>
          <w:p>
            <w:pPr>
              <w:spacing w:after="0" w:line="179" w:lineRule="exact"/>
              <w:rPr>
                <w:sz w:val="20"/>
                <w:szCs w:val="20"/>
                <w:color w:val="auto"/>
              </w:rPr>
            </w:pPr>
            <w:r>
              <w:rPr>
                <w:rFonts w:ascii="Courier New" w:cs="Courier New" w:eastAsia="Courier New" w:hAnsi="Courier New"/>
                <w:sz w:val="16"/>
                <w:szCs w:val="16"/>
                <w:color w:val="auto"/>
              </w:rPr>
              <w:t>Elaine Avilez</w:t>
            </w:r>
          </w:p>
        </w:tc>
        <w:tc>
          <w:tcPr>
            <w:tcW w:w="920" w:type="dxa"/>
            <w:vAlign w:val="bottom"/>
          </w:tcPr>
          <w:p>
            <w:pPr>
              <w:ind w:left="500"/>
              <w:spacing w:after="0" w:line="179" w:lineRule="exact"/>
              <w:rPr>
                <w:sz w:val="20"/>
                <w:szCs w:val="20"/>
                <w:color w:val="auto"/>
              </w:rPr>
            </w:pPr>
            <w:r>
              <w:rPr>
                <w:rFonts w:ascii="Courier New" w:cs="Courier New" w:eastAsia="Courier New" w:hAnsi="Courier New"/>
                <w:sz w:val="16"/>
                <w:szCs w:val="16"/>
                <w:color w:val="auto"/>
              </w:rPr>
              <w:t>4048</w:t>
            </w:r>
          </w:p>
        </w:tc>
        <w:tc>
          <w:tcPr>
            <w:tcW w:w="164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Barker Road</w:t>
            </w:r>
          </w:p>
        </w:tc>
        <w:tc>
          <w:tcPr>
            <w:tcW w:w="640" w:type="dxa"/>
            <w:vAlign w:val="bottom"/>
          </w:tcPr>
          <w:p>
            <w:pPr>
              <w:spacing w:after="0"/>
              <w:rPr>
                <w:sz w:val="15"/>
                <w:szCs w:val="15"/>
                <w:color w:val="auto"/>
              </w:rPr>
            </w:pPr>
          </w:p>
        </w:tc>
      </w:tr>
      <w:tr>
        <w:trPr>
          <w:trHeight w:val="179"/>
        </w:trPr>
        <w:tc>
          <w:tcPr>
            <w:tcW w:w="2100" w:type="dxa"/>
            <w:vAlign w:val="bottom"/>
          </w:tcPr>
          <w:p>
            <w:pPr>
              <w:spacing w:after="0"/>
              <w:rPr>
                <w:sz w:val="15"/>
                <w:szCs w:val="15"/>
                <w:color w:val="auto"/>
              </w:rPr>
            </w:pPr>
          </w:p>
        </w:tc>
        <w:tc>
          <w:tcPr>
            <w:tcW w:w="2560" w:type="dxa"/>
            <w:vAlign w:val="bottom"/>
            <w:gridSpan w:val="2"/>
          </w:tcPr>
          <w:p>
            <w:pPr>
              <w:ind w:left="500"/>
              <w:spacing w:after="0" w:line="179" w:lineRule="exact"/>
              <w:rPr>
                <w:sz w:val="20"/>
                <w:szCs w:val="20"/>
                <w:color w:val="auto"/>
              </w:rPr>
            </w:pPr>
            <w:r>
              <w:rPr>
                <w:rFonts w:ascii="Courier New" w:cs="Courier New" w:eastAsia="Courier New" w:hAnsi="Courier New"/>
                <w:sz w:val="16"/>
                <w:szCs w:val="16"/>
                <w:color w:val="auto"/>
                <w:w w:val="96"/>
              </w:rPr>
              <w:t>West Valley City, Utah</w:t>
            </w:r>
          </w:p>
        </w:tc>
        <w:tc>
          <w:tcPr>
            <w:tcW w:w="6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84119</w:t>
            </w:r>
          </w:p>
        </w:tc>
      </w:tr>
      <w:tr>
        <w:trPr>
          <w:trHeight w:val="179"/>
        </w:trPr>
        <w:tc>
          <w:tcPr>
            <w:tcW w:w="2100" w:type="dxa"/>
            <w:vAlign w:val="bottom"/>
          </w:tcPr>
          <w:p>
            <w:pPr>
              <w:spacing w:after="0" w:line="179" w:lineRule="exact"/>
              <w:rPr>
                <w:sz w:val="20"/>
                <w:szCs w:val="20"/>
                <w:color w:val="auto"/>
              </w:rPr>
            </w:pPr>
            <w:r>
              <w:rPr>
                <w:rFonts w:ascii="Courier New" w:cs="Courier New" w:eastAsia="Courier New" w:hAnsi="Courier New"/>
                <w:sz w:val="16"/>
                <w:szCs w:val="16"/>
                <w:color w:val="auto"/>
              </w:rPr>
              <w:t>Jace N. Green</w:t>
            </w:r>
          </w:p>
        </w:tc>
        <w:tc>
          <w:tcPr>
            <w:tcW w:w="920" w:type="dxa"/>
            <w:vAlign w:val="bottom"/>
          </w:tcPr>
          <w:p>
            <w:pPr>
              <w:ind w:left="500"/>
              <w:spacing w:after="0" w:line="179" w:lineRule="exact"/>
              <w:rPr>
                <w:sz w:val="20"/>
                <w:szCs w:val="20"/>
                <w:color w:val="auto"/>
              </w:rPr>
            </w:pPr>
            <w:r>
              <w:rPr>
                <w:rFonts w:ascii="Courier New" w:cs="Courier New" w:eastAsia="Courier New" w:hAnsi="Courier New"/>
                <w:sz w:val="16"/>
                <w:szCs w:val="16"/>
                <w:color w:val="auto"/>
              </w:rPr>
              <w:t>4048</w:t>
            </w:r>
          </w:p>
        </w:tc>
        <w:tc>
          <w:tcPr>
            <w:tcW w:w="164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Barker Road</w:t>
            </w:r>
          </w:p>
        </w:tc>
        <w:tc>
          <w:tcPr>
            <w:tcW w:w="640" w:type="dxa"/>
            <w:vAlign w:val="bottom"/>
          </w:tcPr>
          <w:p>
            <w:pPr>
              <w:spacing w:after="0"/>
              <w:rPr>
                <w:sz w:val="15"/>
                <w:szCs w:val="15"/>
                <w:color w:val="auto"/>
              </w:rPr>
            </w:pPr>
          </w:p>
        </w:tc>
      </w:tr>
      <w:tr>
        <w:trPr>
          <w:trHeight w:val="179"/>
        </w:trPr>
        <w:tc>
          <w:tcPr>
            <w:tcW w:w="2100" w:type="dxa"/>
            <w:vAlign w:val="bottom"/>
          </w:tcPr>
          <w:p>
            <w:pPr>
              <w:spacing w:after="0"/>
              <w:rPr>
                <w:sz w:val="15"/>
                <w:szCs w:val="15"/>
                <w:color w:val="auto"/>
              </w:rPr>
            </w:pPr>
          </w:p>
        </w:tc>
        <w:tc>
          <w:tcPr>
            <w:tcW w:w="2560" w:type="dxa"/>
            <w:vAlign w:val="bottom"/>
            <w:gridSpan w:val="2"/>
          </w:tcPr>
          <w:p>
            <w:pPr>
              <w:ind w:left="500"/>
              <w:spacing w:after="0" w:line="179" w:lineRule="exact"/>
              <w:rPr>
                <w:sz w:val="20"/>
                <w:szCs w:val="20"/>
                <w:color w:val="auto"/>
              </w:rPr>
            </w:pPr>
            <w:r>
              <w:rPr>
                <w:rFonts w:ascii="Courier New" w:cs="Courier New" w:eastAsia="Courier New" w:hAnsi="Courier New"/>
                <w:sz w:val="16"/>
                <w:szCs w:val="16"/>
                <w:color w:val="auto"/>
                <w:w w:val="96"/>
              </w:rPr>
              <w:t>West Valley City, Utah</w:t>
            </w:r>
          </w:p>
        </w:tc>
        <w:tc>
          <w:tcPr>
            <w:tcW w:w="6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84119</w:t>
            </w:r>
          </w:p>
        </w:tc>
      </w:tr>
    </w:tbl>
    <w:p>
      <w:pPr>
        <w:spacing w:after="0" w:line="17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ARTICLE XI</w:t>
      </w:r>
    </w:p>
    <w:p>
      <w:pPr>
        <w:spacing w:after="0" w:line="17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INCORPORATORS</w:t>
      </w:r>
    </w:p>
    <w:p>
      <w:pPr>
        <w:ind w:left="3160"/>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The name and address of each incorporator is:</w:t>
      </w:r>
    </w:p>
    <w:p>
      <w:pPr>
        <w:spacing w:after="0" w:line="177" w:lineRule="exact"/>
        <w:rPr>
          <w:sz w:val="20"/>
          <w:szCs w:val="20"/>
          <w:color w:val="auto"/>
        </w:rPr>
      </w:pPr>
    </w:p>
    <w:tbl>
      <w:tblPr>
        <w:tblLayout w:type="fixed"/>
        <w:tblInd w:w="1480" w:type="dxa"/>
        <w:tblCellMar>
          <w:top w:w="0" w:type="dxa"/>
          <w:left w:w="0" w:type="dxa"/>
          <w:bottom w:w="0" w:type="dxa"/>
          <w:right w:w="0" w:type="dxa"/>
        </w:tblCellMar>
      </w:tblPr>
      <w:tr>
        <w:trPr>
          <w:trHeight w:val="181"/>
        </w:trPr>
        <w:tc>
          <w:tcPr>
            <w:tcW w:w="210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2560" w:type="dxa"/>
            <w:vAlign w:val="bottom"/>
            <w:gridSpan w:val="2"/>
          </w:tcPr>
          <w:p>
            <w:pPr>
              <w:ind w:left="500"/>
              <w:spacing w:after="0"/>
              <w:rPr>
                <w:sz w:val="20"/>
                <w:szCs w:val="20"/>
                <w:color w:val="auto"/>
              </w:rPr>
            </w:pPr>
            <w:r>
              <w:rPr>
                <w:rFonts w:ascii="Courier New" w:cs="Courier New" w:eastAsia="Courier New" w:hAnsi="Courier New"/>
                <w:sz w:val="16"/>
                <w:szCs w:val="16"/>
                <w:color w:val="auto"/>
              </w:rPr>
              <w:t>ADDRESS</w:t>
            </w:r>
          </w:p>
        </w:tc>
        <w:tc>
          <w:tcPr>
            <w:tcW w:w="640" w:type="dxa"/>
            <w:vAlign w:val="bottom"/>
          </w:tcPr>
          <w:p>
            <w:pPr>
              <w:spacing w:after="0"/>
              <w:rPr>
                <w:sz w:val="15"/>
                <w:szCs w:val="15"/>
                <w:color w:val="auto"/>
              </w:rPr>
            </w:pPr>
          </w:p>
        </w:tc>
      </w:tr>
      <w:tr>
        <w:trPr>
          <w:trHeight w:val="179"/>
        </w:trPr>
        <w:tc>
          <w:tcPr>
            <w:tcW w:w="210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2560" w:type="dxa"/>
            <w:vAlign w:val="bottom"/>
            <w:gridSpan w:val="2"/>
          </w:tcPr>
          <w:p>
            <w:pPr>
              <w:ind w:left="500"/>
              <w:spacing w:after="0" w:line="179" w:lineRule="exact"/>
              <w:rPr>
                <w:sz w:val="20"/>
                <w:szCs w:val="20"/>
                <w:color w:val="auto"/>
              </w:rPr>
            </w:pPr>
            <w:r>
              <w:rPr>
                <w:rFonts w:ascii="Courier New" w:cs="Courier New" w:eastAsia="Courier New" w:hAnsi="Courier New"/>
                <w:sz w:val="16"/>
                <w:szCs w:val="16"/>
                <w:color w:val="auto"/>
              </w:rPr>
              <w:t>-------</w:t>
            </w:r>
          </w:p>
        </w:tc>
        <w:tc>
          <w:tcPr>
            <w:tcW w:w="640" w:type="dxa"/>
            <w:vAlign w:val="bottom"/>
          </w:tcPr>
          <w:p>
            <w:pPr>
              <w:spacing w:after="0"/>
              <w:rPr>
                <w:sz w:val="15"/>
                <w:szCs w:val="15"/>
                <w:color w:val="auto"/>
              </w:rPr>
            </w:pPr>
          </w:p>
        </w:tc>
      </w:tr>
      <w:tr>
        <w:trPr>
          <w:trHeight w:val="179"/>
        </w:trPr>
        <w:tc>
          <w:tcPr>
            <w:tcW w:w="2100" w:type="dxa"/>
            <w:vAlign w:val="bottom"/>
          </w:tcPr>
          <w:p>
            <w:pPr>
              <w:spacing w:after="0" w:line="179" w:lineRule="exact"/>
              <w:rPr>
                <w:sz w:val="20"/>
                <w:szCs w:val="20"/>
                <w:color w:val="auto"/>
              </w:rPr>
            </w:pPr>
            <w:r>
              <w:rPr>
                <w:rFonts w:ascii="Courier New" w:cs="Courier New" w:eastAsia="Courier New" w:hAnsi="Courier New"/>
                <w:sz w:val="16"/>
                <w:szCs w:val="16"/>
                <w:color w:val="auto"/>
              </w:rPr>
              <w:t>Joseph Y. Hornsby</w:t>
            </w:r>
          </w:p>
        </w:tc>
        <w:tc>
          <w:tcPr>
            <w:tcW w:w="920" w:type="dxa"/>
            <w:vAlign w:val="bottom"/>
          </w:tcPr>
          <w:p>
            <w:pPr>
              <w:ind w:left="500"/>
              <w:spacing w:after="0" w:line="179" w:lineRule="exact"/>
              <w:rPr>
                <w:sz w:val="20"/>
                <w:szCs w:val="20"/>
                <w:color w:val="auto"/>
              </w:rPr>
            </w:pPr>
            <w:r>
              <w:rPr>
                <w:rFonts w:ascii="Courier New" w:cs="Courier New" w:eastAsia="Courier New" w:hAnsi="Courier New"/>
                <w:sz w:val="16"/>
                <w:szCs w:val="16"/>
                <w:color w:val="auto"/>
              </w:rPr>
              <w:t>1132</w:t>
            </w:r>
          </w:p>
        </w:tc>
        <w:tc>
          <w:tcPr>
            <w:tcW w:w="164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w w:val="95"/>
              </w:rPr>
              <w:t>Montgomery Street</w:t>
            </w:r>
          </w:p>
        </w:tc>
        <w:tc>
          <w:tcPr>
            <w:tcW w:w="640" w:type="dxa"/>
            <w:vAlign w:val="bottom"/>
          </w:tcPr>
          <w:p>
            <w:pPr>
              <w:spacing w:after="0"/>
              <w:rPr>
                <w:sz w:val="15"/>
                <w:szCs w:val="15"/>
                <w:color w:val="auto"/>
              </w:rPr>
            </w:pPr>
          </w:p>
        </w:tc>
      </w:tr>
      <w:tr>
        <w:trPr>
          <w:trHeight w:val="179"/>
        </w:trPr>
        <w:tc>
          <w:tcPr>
            <w:tcW w:w="2100" w:type="dxa"/>
            <w:vAlign w:val="bottom"/>
          </w:tcPr>
          <w:p>
            <w:pPr>
              <w:spacing w:after="0"/>
              <w:rPr>
                <w:sz w:val="15"/>
                <w:szCs w:val="15"/>
                <w:color w:val="auto"/>
              </w:rPr>
            </w:pPr>
          </w:p>
        </w:tc>
        <w:tc>
          <w:tcPr>
            <w:tcW w:w="2560" w:type="dxa"/>
            <w:vAlign w:val="bottom"/>
            <w:gridSpan w:val="2"/>
          </w:tcPr>
          <w:p>
            <w:pPr>
              <w:ind w:left="500"/>
              <w:spacing w:after="0" w:line="179" w:lineRule="exact"/>
              <w:rPr>
                <w:sz w:val="20"/>
                <w:szCs w:val="20"/>
                <w:color w:val="auto"/>
              </w:rPr>
            </w:pPr>
            <w:r>
              <w:rPr>
                <w:rFonts w:ascii="Courier New" w:cs="Courier New" w:eastAsia="Courier New" w:hAnsi="Courier New"/>
                <w:sz w:val="16"/>
                <w:szCs w:val="16"/>
                <w:color w:val="auto"/>
              </w:rPr>
              <w:t>Salt Lake City, Utah</w:t>
            </w:r>
          </w:p>
        </w:tc>
        <w:tc>
          <w:tcPr>
            <w:tcW w:w="6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1"/>
              </w:rPr>
              <w:t>84104</w:t>
            </w:r>
          </w:p>
        </w:tc>
      </w:tr>
      <w:tr>
        <w:trPr>
          <w:trHeight w:val="358"/>
        </w:trPr>
        <w:tc>
          <w:tcPr>
            <w:tcW w:w="2100" w:type="dxa"/>
            <w:vAlign w:val="bottom"/>
          </w:tcPr>
          <w:p>
            <w:pPr>
              <w:spacing w:after="0"/>
              <w:rPr>
                <w:sz w:val="20"/>
                <w:szCs w:val="20"/>
                <w:color w:val="auto"/>
              </w:rPr>
            </w:pPr>
            <w:r>
              <w:rPr>
                <w:rFonts w:ascii="Courier New" w:cs="Courier New" w:eastAsia="Courier New" w:hAnsi="Courier New"/>
                <w:sz w:val="16"/>
                <w:szCs w:val="16"/>
                <w:color w:val="auto"/>
              </w:rPr>
              <w:t>Elaine Avilez</w:t>
            </w:r>
          </w:p>
        </w:tc>
        <w:tc>
          <w:tcPr>
            <w:tcW w:w="920" w:type="dxa"/>
            <w:vAlign w:val="bottom"/>
          </w:tcPr>
          <w:p>
            <w:pPr>
              <w:ind w:left="500"/>
              <w:spacing w:after="0"/>
              <w:rPr>
                <w:sz w:val="20"/>
                <w:szCs w:val="20"/>
                <w:color w:val="auto"/>
              </w:rPr>
            </w:pPr>
            <w:r>
              <w:rPr>
                <w:rFonts w:ascii="Courier New" w:cs="Courier New" w:eastAsia="Courier New" w:hAnsi="Courier New"/>
                <w:sz w:val="16"/>
                <w:szCs w:val="16"/>
                <w:color w:val="auto"/>
              </w:rPr>
              <w:t>4048</w:t>
            </w:r>
          </w:p>
        </w:tc>
        <w:tc>
          <w:tcPr>
            <w:tcW w:w="1640" w:type="dxa"/>
            <w:vAlign w:val="bottom"/>
          </w:tcPr>
          <w:p>
            <w:pPr>
              <w:ind w:left="60"/>
              <w:spacing w:after="0"/>
              <w:rPr>
                <w:sz w:val="20"/>
                <w:szCs w:val="20"/>
                <w:color w:val="auto"/>
              </w:rPr>
            </w:pPr>
            <w:r>
              <w:rPr>
                <w:rFonts w:ascii="Courier New" w:cs="Courier New" w:eastAsia="Courier New" w:hAnsi="Courier New"/>
                <w:sz w:val="16"/>
                <w:szCs w:val="16"/>
                <w:color w:val="auto"/>
              </w:rPr>
              <w:t>Barker Road</w:t>
            </w:r>
          </w:p>
        </w:tc>
        <w:tc>
          <w:tcPr>
            <w:tcW w:w="640" w:type="dxa"/>
            <w:vAlign w:val="bottom"/>
          </w:tcPr>
          <w:p>
            <w:pPr>
              <w:spacing w:after="0"/>
              <w:rPr>
                <w:sz w:val="24"/>
                <w:szCs w:val="24"/>
                <w:color w:val="auto"/>
              </w:rPr>
            </w:pPr>
          </w:p>
        </w:tc>
      </w:tr>
      <w:tr>
        <w:trPr>
          <w:trHeight w:val="179"/>
        </w:trPr>
        <w:tc>
          <w:tcPr>
            <w:tcW w:w="2100" w:type="dxa"/>
            <w:vAlign w:val="bottom"/>
          </w:tcPr>
          <w:p>
            <w:pPr>
              <w:spacing w:after="0"/>
              <w:rPr>
                <w:sz w:val="15"/>
                <w:szCs w:val="15"/>
                <w:color w:val="auto"/>
              </w:rPr>
            </w:pPr>
          </w:p>
        </w:tc>
        <w:tc>
          <w:tcPr>
            <w:tcW w:w="2560" w:type="dxa"/>
            <w:vAlign w:val="bottom"/>
            <w:gridSpan w:val="2"/>
          </w:tcPr>
          <w:p>
            <w:pPr>
              <w:ind w:left="500"/>
              <w:spacing w:after="0" w:line="179" w:lineRule="exact"/>
              <w:rPr>
                <w:sz w:val="20"/>
                <w:szCs w:val="20"/>
                <w:color w:val="auto"/>
              </w:rPr>
            </w:pPr>
            <w:r>
              <w:rPr>
                <w:rFonts w:ascii="Courier New" w:cs="Courier New" w:eastAsia="Courier New" w:hAnsi="Courier New"/>
                <w:sz w:val="16"/>
                <w:szCs w:val="16"/>
                <w:color w:val="auto"/>
                <w:w w:val="96"/>
              </w:rPr>
              <w:t>West Valley City, Utah</w:t>
            </w:r>
          </w:p>
        </w:tc>
        <w:tc>
          <w:tcPr>
            <w:tcW w:w="6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84119</w:t>
            </w:r>
          </w:p>
        </w:tc>
      </w:tr>
      <w:tr>
        <w:trPr>
          <w:trHeight w:val="358"/>
        </w:trPr>
        <w:tc>
          <w:tcPr>
            <w:tcW w:w="2100" w:type="dxa"/>
            <w:vAlign w:val="bottom"/>
          </w:tcPr>
          <w:p>
            <w:pPr>
              <w:spacing w:after="0"/>
              <w:rPr>
                <w:sz w:val="20"/>
                <w:szCs w:val="20"/>
                <w:color w:val="auto"/>
              </w:rPr>
            </w:pPr>
            <w:r>
              <w:rPr>
                <w:rFonts w:ascii="Courier New" w:cs="Courier New" w:eastAsia="Courier New" w:hAnsi="Courier New"/>
                <w:sz w:val="16"/>
                <w:szCs w:val="16"/>
                <w:color w:val="auto"/>
              </w:rPr>
              <w:t>Jace N. Green</w:t>
            </w:r>
          </w:p>
        </w:tc>
        <w:tc>
          <w:tcPr>
            <w:tcW w:w="920" w:type="dxa"/>
            <w:vAlign w:val="bottom"/>
          </w:tcPr>
          <w:p>
            <w:pPr>
              <w:ind w:left="500"/>
              <w:spacing w:after="0"/>
              <w:rPr>
                <w:sz w:val="20"/>
                <w:szCs w:val="20"/>
                <w:color w:val="auto"/>
              </w:rPr>
            </w:pPr>
            <w:r>
              <w:rPr>
                <w:rFonts w:ascii="Courier New" w:cs="Courier New" w:eastAsia="Courier New" w:hAnsi="Courier New"/>
                <w:sz w:val="16"/>
                <w:szCs w:val="16"/>
                <w:color w:val="auto"/>
              </w:rPr>
              <w:t>4048</w:t>
            </w:r>
          </w:p>
        </w:tc>
        <w:tc>
          <w:tcPr>
            <w:tcW w:w="1640" w:type="dxa"/>
            <w:vAlign w:val="bottom"/>
          </w:tcPr>
          <w:p>
            <w:pPr>
              <w:ind w:left="60"/>
              <w:spacing w:after="0"/>
              <w:rPr>
                <w:sz w:val="20"/>
                <w:szCs w:val="20"/>
                <w:color w:val="auto"/>
              </w:rPr>
            </w:pPr>
            <w:r>
              <w:rPr>
                <w:rFonts w:ascii="Courier New" w:cs="Courier New" w:eastAsia="Courier New" w:hAnsi="Courier New"/>
                <w:sz w:val="16"/>
                <w:szCs w:val="16"/>
                <w:color w:val="auto"/>
              </w:rPr>
              <w:t>Barker Road</w:t>
            </w:r>
          </w:p>
        </w:tc>
        <w:tc>
          <w:tcPr>
            <w:tcW w:w="640" w:type="dxa"/>
            <w:vAlign w:val="bottom"/>
          </w:tcPr>
          <w:p>
            <w:pPr>
              <w:spacing w:after="0"/>
              <w:rPr>
                <w:sz w:val="24"/>
                <w:szCs w:val="24"/>
                <w:color w:val="auto"/>
              </w:rPr>
            </w:pPr>
          </w:p>
        </w:tc>
      </w:tr>
      <w:tr>
        <w:trPr>
          <w:trHeight w:val="179"/>
        </w:trPr>
        <w:tc>
          <w:tcPr>
            <w:tcW w:w="2100" w:type="dxa"/>
            <w:vAlign w:val="bottom"/>
          </w:tcPr>
          <w:p>
            <w:pPr>
              <w:spacing w:after="0"/>
              <w:rPr>
                <w:sz w:val="15"/>
                <w:szCs w:val="15"/>
                <w:color w:val="auto"/>
              </w:rPr>
            </w:pPr>
          </w:p>
        </w:tc>
        <w:tc>
          <w:tcPr>
            <w:tcW w:w="2560" w:type="dxa"/>
            <w:vAlign w:val="bottom"/>
            <w:gridSpan w:val="2"/>
          </w:tcPr>
          <w:p>
            <w:pPr>
              <w:ind w:left="500"/>
              <w:spacing w:after="0" w:line="179" w:lineRule="exact"/>
              <w:rPr>
                <w:sz w:val="20"/>
                <w:szCs w:val="20"/>
                <w:color w:val="auto"/>
              </w:rPr>
            </w:pPr>
            <w:r>
              <w:rPr>
                <w:rFonts w:ascii="Courier New" w:cs="Courier New" w:eastAsia="Courier New" w:hAnsi="Courier New"/>
                <w:sz w:val="16"/>
                <w:szCs w:val="16"/>
                <w:color w:val="auto"/>
                <w:w w:val="96"/>
              </w:rPr>
              <w:t>West Valley City, Utah</w:t>
            </w:r>
          </w:p>
        </w:tc>
        <w:tc>
          <w:tcPr>
            <w:tcW w:w="6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84119</w:t>
            </w:r>
          </w:p>
        </w:tc>
      </w:tr>
    </w:tbl>
    <w:p>
      <w:pPr>
        <w:spacing w:after="0" w:line="17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ARTICLE XII</w:t>
      </w:r>
    </w:p>
    <w:p>
      <w:pPr>
        <w:spacing w:after="0" w:line="177"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OFFICER AND DIRECTORS CONTRACT</w:t>
      </w:r>
    </w:p>
    <w:p>
      <w:pPr>
        <w:ind w:left="232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837"/>
        <w:spacing w:after="0" w:line="273" w:lineRule="auto"/>
        <w:rPr>
          <w:sz w:val="20"/>
          <w:szCs w:val="20"/>
          <w:color w:val="auto"/>
        </w:rPr>
      </w:pPr>
      <w:r>
        <w:rPr>
          <w:rFonts w:ascii="Courier New" w:cs="Courier New" w:eastAsia="Courier New" w:hAnsi="Courier New"/>
          <w:sz w:val="14"/>
          <w:szCs w:val="14"/>
          <w:color w:val="auto"/>
        </w:rPr>
        <w:t>No contract or other transaction between this Corporation and any other corporation shall be affected by the fact that a Director or Officer of this Corporation is interested in, or is a Director or other Officer of such other Corporation. Any Director, individually or with others, may be a party to, or may be interested in any transaction of this Corporation or any transaction in which this Corporation is interested. No contract or other transaction of this Corporation with any person, firm or corporation shall be affected by the fact that any Director of this Corporation (a) is a party to, or is interested in, such contract, act or transaction, or (b) is in some way connected with such person, firm or corporation. Each person who is now or may become a Director of this Corporation is hereby relieved from and indemnified against liability that</w:t>
      </w:r>
    </w:p>
    <w:p>
      <w:pPr>
        <w:sectPr>
          <w:pgSz w:w="11900" w:h="16838" w:orient="portrait"/>
          <w:cols w:equalWidth="0" w:num="1">
            <w:col w:w="10219"/>
          </w:cols>
          <w:pgMar w:left="240" w:top="648" w:right="1440" w:bottom="1440" w:gutter="0" w:footer="0" w:header="0"/>
        </w:sectPr>
      </w:pPr>
    </w:p>
    <w:bookmarkStart w:id="53" w:name="page54"/>
    <w:bookmarkEnd w:id="53"/>
    <w:p>
      <w:pPr>
        <w:ind w:right="2959"/>
        <w:spacing w:after="0" w:line="235" w:lineRule="auto"/>
        <w:rPr>
          <w:sz w:val="20"/>
          <w:szCs w:val="20"/>
          <w:color w:val="auto"/>
        </w:rPr>
      </w:pPr>
      <w:r>
        <w:rPr>
          <w:rFonts w:ascii="Courier New" w:cs="Courier New" w:eastAsia="Courier New" w:hAnsi="Courier New"/>
          <w:sz w:val="16"/>
          <w:szCs w:val="16"/>
          <w:color w:val="auto"/>
        </w:rPr>
        <w:t>might otherwise obtain in the event such Director contracts with this Corporation for the benefit of himself or any firm, association or corporation in which he may be interested in any way, provided said Directors acts in good faith.</w:t>
      </w:r>
    </w:p>
    <w:p>
      <w:pPr>
        <w:sectPr>
          <w:pgSz w:w="11900" w:h="16838" w:orient="portrait"/>
          <w:cols w:equalWidth="0" w:num="1">
            <w:col w:w="10219"/>
          </w:cols>
          <w:pgMar w:left="240" w:top="654" w:right="1440" w:bottom="1440" w:gutter="0" w:footer="0" w:header="0"/>
        </w:sectPr>
      </w:pPr>
    </w:p>
    <w:p>
      <w:pPr>
        <w:spacing w:after="0" w:line="185"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DATED this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7th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day of</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July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1983</w:t>
      </w:r>
    </w:p>
    <w:p>
      <w:pPr>
        <w:spacing w:after="0" w:line="371" w:lineRule="exact"/>
        <w:rPr>
          <w:sz w:val="20"/>
          <w:szCs w:val="20"/>
          <w:color w:val="auto"/>
        </w:rPr>
      </w:pPr>
    </w:p>
    <w:p>
      <w:pPr>
        <w:sectPr>
          <w:pgSz w:w="11900" w:h="16838" w:orient="portrait"/>
          <w:cols w:equalWidth="0" w:num="5">
            <w:col w:w="1760" w:space="100"/>
            <w:col w:w="1120" w:space="80"/>
            <w:col w:w="560" w:space="100"/>
            <w:col w:w="1200" w:space="0"/>
            <w:col w:w="5299"/>
          </w:cols>
          <w:pgMar w:left="240" w:top="654" w:right="1440" w:bottom="1440" w:gutter="0" w:footer="0" w:header="0"/>
          <w:type w:val="continuous"/>
        </w:sectPr>
      </w:pPr>
    </w:p>
    <w:p>
      <w:pPr>
        <w:ind w:left="4920"/>
        <w:spacing w:after="0"/>
        <w:rPr>
          <w:sz w:val="20"/>
          <w:szCs w:val="20"/>
          <w:color w:val="auto"/>
        </w:rPr>
      </w:pPr>
      <w:r>
        <w:rPr>
          <w:rFonts w:ascii="Courier New" w:cs="Courier New" w:eastAsia="Courier New" w:hAnsi="Courier New"/>
          <w:sz w:val="16"/>
          <w:szCs w:val="16"/>
          <w:color w:val="auto"/>
        </w:rPr>
        <w:t>/s/ Joseph Y. Hornsby</w:t>
      </w:r>
    </w:p>
    <w:p>
      <w:pPr>
        <w:spacing w:after="0" w:line="4" w:lineRule="exact"/>
        <w:rPr>
          <w:sz w:val="20"/>
          <w:szCs w:val="20"/>
          <w:color w:val="auto"/>
        </w:rPr>
      </w:pPr>
    </w:p>
    <w:p>
      <w:pPr>
        <w:ind w:left="446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Joseph Y. Hornsby</w:t>
      </w:r>
    </w:p>
    <w:p>
      <w:pPr>
        <w:spacing w:after="0" w:line="200" w:lineRule="exact"/>
        <w:rPr>
          <w:sz w:val="20"/>
          <w:szCs w:val="20"/>
          <w:color w:val="auto"/>
        </w:rPr>
      </w:pPr>
    </w:p>
    <w:p>
      <w:pPr>
        <w:spacing w:after="0" w:line="334" w:lineRule="exact"/>
        <w:rPr>
          <w:sz w:val="20"/>
          <w:szCs w:val="20"/>
          <w:color w:val="auto"/>
        </w:rPr>
      </w:pPr>
    </w:p>
    <w:p>
      <w:pPr>
        <w:ind w:left="4920"/>
        <w:spacing w:after="0"/>
        <w:rPr>
          <w:sz w:val="20"/>
          <w:szCs w:val="20"/>
          <w:color w:val="auto"/>
        </w:rPr>
      </w:pPr>
      <w:r>
        <w:rPr>
          <w:rFonts w:ascii="Courier New" w:cs="Courier New" w:eastAsia="Courier New" w:hAnsi="Courier New"/>
          <w:sz w:val="16"/>
          <w:szCs w:val="16"/>
          <w:color w:val="auto"/>
        </w:rPr>
        <w:t>/s/ Elaine Avilez</w:t>
      </w:r>
    </w:p>
    <w:p>
      <w:pPr>
        <w:spacing w:after="0" w:line="4" w:lineRule="exact"/>
        <w:rPr>
          <w:sz w:val="20"/>
          <w:szCs w:val="20"/>
          <w:color w:val="auto"/>
        </w:rPr>
      </w:pPr>
    </w:p>
    <w:p>
      <w:pPr>
        <w:ind w:left="446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Elaine Avilez</w:t>
      </w:r>
    </w:p>
    <w:p>
      <w:pPr>
        <w:spacing w:after="0" w:line="200" w:lineRule="exact"/>
        <w:rPr>
          <w:sz w:val="20"/>
          <w:szCs w:val="20"/>
          <w:color w:val="auto"/>
        </w:rPr>
      </w:pPr>
    </w:p>
    <w:p>
      <w:pPr>
        <w:spacing w:after="0" w:line="334" w:lineRule="exact"/>
        <w:rPr>
          <w:sz w:val="20"/>
          <w:szCs w:val="20"/>
          <w:color w:val="auto"/>
        </w:rPr>
      </w:pPr>
    </w:p>
    <w:p>
      <w:pPr>
        <w:ind w:left="4920"/>
        <w:spacing w:after="0"/>
        <w:rPr>
          <w:sz w:val="20"/>
          <w:szCs w:val="20"/>
          <w:color w:val="auto"/>
        </w:rPr>
      </w:pPr>
      <w:r>
        <w:rPr>
          <w:rFonts w:ascii="Courier New" w:cs="Courier New" w:eastAsia="Courier New" w:hAnsi="Courier New"/>
          <w:sz w:val="16"/>
          <w:szCs w:val="16"/>
          <w:color w:val="auto"/>
        </w:rPr>
        <w:t>/s/ Jace N. Green</w:t>
      </w:r>
    </w:p>
    <w:p>
      <w:pPr>
        <w:spacing w:after="0" w:line="4" w:lineRule="exact"/>
        <w:rPr>
          <w:sz w:val="20"/>
          <w:szCs w:val="20"/>
          <w:color w:val="auto"/>
        </w:rPr>
      </w:pPr>
    </w:p>
    <w:p>
      <w:pPr>
        <w:ind w:left="446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Jace N. Green</w:t>
      </w:r>
    </w:p>
    <w:p>
      <w:pPr>
        <w:sectPr>
          <w:pgSz w:w="11900" w:h="16838" w:orient="portrait"/>
          <w:cols w:equalWidth="0" w:num="1">
            <w:col w:w="10219"/>
          </w:cols>
          <w:pgMar w:left="240" w:top="654" w:right="1440" w:bottom="1440" w:gutter="0" w:footer="0" w:header="0"/>
          <w:type w:val="continuous"/>
        </w:sectPr>
      </w:pP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OF UTAH</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COUNTY OF SALTE LAKE</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36" w:lineRule="auto"/>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sectPr>
          <w:pgSz w:w="11900" w:h="16838" w:orient="portrait"/>
          <w:cols w:equalWidth="0" w:num="2">
            <w:col w:w="3360" w:space="720"/>
            <w:col w:w="6139"/>
          </w:cols>
          <w:pgMar w:left="240" w:top="654" w:right="1440" w:bottom="1440" w:gutter="0" w:footer="0" w:header="0"/>
          <w:type w:val="continuous"/>
        </w:sectPr>
      </w:pPr>
    </w:p>
    <w:p>
      <w:pPr>
        <w:ind w:right="2879" w:firstLine="837"/>
        <w:spacing w:after="0" w:line="235" w:lineRule="auto"/>
        <w:rPr>
          <w:sz w:val="20"/>
          <w:szCs w:val="20"/>
          <w:color w:val="auto"/>
        </w:rPr>
      </w:pPr>
      <w:r>
        <w:rPr>
          <w:rFonts w:ascii="Courier New" w:cs="Courier New" w:eastAsia="Courier New" w:hAnsi="Courier New"/>
          <w:sz w:val="16"/>
          <w:szCs w:val="16"/>
          <w:color w:val="auto"/>
        </w:rPr>
        <w:t>I, the undersigned Notary Public, hereby certify that Joseph Y. Hornsby, Elaine Avilex, and Jace N. Green personally appeared before me, and being duly sworn by me, severally declared that they are the persons who signed the foregoing instrument as incorporators and that the statements therein contained are true</w:t>
      </w:r>
    </w:p>
    <w:p>
      <w:pPr>
        <w:spacing w:after="0" w:line="180" w:lineRule="exact"/>
        <w:rPr>
          <w:sz w:val="20"/>
          <w:szCs w:val="20"/>
          <w:color w:val="auto"/>
        </w:rPr>
      </w:pPr>
    </w:p>
    <w:p>
      <w:pPr>
        <w:ind w:left="4840"/>
        <w:spacing w:after="0"/>
        <w:rPr>
          <w:sz w:val="20"/>
          <w:szCs w:val="20"/>
          <w:color w:val="auto"/>
        </w:rPr>
      </w:pPr>
      <w:r>
        <w:rPr>
          <w:rFonts w:ascii="Courier New" w:cs="Courier New" w:eastAsia="Courier New" w:hAnsi="Courier New"/>
          <w:sz w:val="16"/>
          <w:szCs w:val="16"/>
          <w:color w:val="auto"/>
        </w:rPr>
        <w:t>/s/ Judith R. Willard</w:t>
      </w:r>
    </w:p>
    <w:p>
      <w:pPr>
        <w:ind w:left="4460"/>
        <w:spacing w:after="0" w:line="236" w:lineRule="auto"/>
        <w:rPr>
          <w:sz w:val="20"/>
          <w:szCs w:val="20"/>
          <w:color w:val="auto"/>
        </w:rPr>
      </w:pPr>
      <w:r>
        <w:rPr>
          <w:rFonts w:ascii="Courier New" w:cs="Courier New" w:eastAsia="Courier New" w:hAnsi="Courier New"/>
          <w:sz w:val="16"/>
          <w:szCs w:val="16"/>
          <w:color w:val="auto"/>
        </w:rPr>
        <w:t>---------------------------</w:t>
      </w:r>
    </w:p>
    <w:p>
      <w:pPr>
        <w:jc w:val="center"/>
        <w:ind w:right="99"/>
        <w:spacing w:after="0" w:line="237" w:lineRule="auto"/>
        <w:rPr>
          <w:sz w:val="20"/>
          <w:szCs w:val="20"/>
          <w:color w:val="auto"/>
        </w:rPr>
      </w:pPr>
      <w:r>
        <w:rPr>
          <w:rFonts w:ascii="Courier New" w:cs="Courier New" w:eastAsia="Courier New" w:hAnsi="Courier New"/>
          <w:sz w:val="16"/>
          <w:szCs w:val="16"/>
          <w:color w:val="auto"/>
        </w:rPr>
        <w:t>NOTARY PUBLIC</w:t>
      </w:r>
    </w:p>
    <w:p>
      <w:pPr>
        <w:sectPr>
          <w:pgSz w:w="11900" w:h="16838" w:orient="portrait"/>
          <w:cols w:equalWidth="0" w:num="1">
            <w:col w:w="10219"/>
          </w:cols>
          <w:pgMar w:left="240" w:top="654" w:right="1440" w:bottom="1440" w:gutter="0" w:footer="0" w:header="0"/>
          <w:type w:val="continuous"/>
        </w:sectPr>
      </w:pPr>
    </w:p>
    <w:p>
      <w:pPr>
        <w:spacing w:after="0" w:line="183" w:lineRule="exact"/>
        <w:rPr>
          <w:sz w:val="20"/>
          <w:szCs w:val="20"/>
          <w:color w:val="auto"/>
        </w:rPr>
      </w:pPr>
    </w:p>
    <w:p>
      <w:pPr>
        <w:jc w:val="center"/>
        <w:ind w:left="4460"/>
        <w:spacing w:after="0"/>
        <w:rPr>
          <w:sz w:val="20"/>
          <w:szCs w:val="20"/>
          <w:color w:val="auto"/>
        </w:rPr>
      </w:pPr>
      <w:r>
        <w:rPr>
          <w:rFonts w:ascii="Courier New" w:cs="Courier New" w:eastAsia="Courier New" w:hAnsi="Courier New"/>
          <w:sz w:val="14"/>
          <w:szCs w:val="14"/>
          <w:color w:val="auto"/>
        </w:rPr>
        <w:t>Residing at</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Salt Lake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5480" w:space="0"/>
            <w:col w:w="4739"/>
          </w:cols>
          <w:pgMar w:left="240" w:top="654" w:right="1440" w:bottom="1440" w:gutter="0" w:footer="0" w:header="0"/>
          <w:type w:val="continuous"/>
        </w:sectPr>
      </w:pP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My Commission Expires: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6-15-85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19"/>
          </w:cols>
          <w:pgMar w:left="240" w:top="654" w:right="1440" w:bottom="1440" w:gutter="0" w:footer="0" w:header="0"/>
          <w:type w:val="continuous"/>
        </w:sectPr>
      </w:pPr>
    </w:p>
    <w:bookmarkStart w:id="54" w:name="page55"/>
    <w:bookmarkEnd w:id="54"/>
    <w:p>
      <w:pPr>
        <w:jc w:val="right"/>
        <w:ind w:right="2779"/>
        <w:spacing w:after="0"/>
        <w:rPr>
          <w:sz w:val="20"/>
          <w:szCs w:val="20"/>
          <w:color w:val="auto"/>
        </w:rPr>
      </w:pPr>
      <w:r>
        <w:rPr>
          <w:rFonts w:ascii="Courier New" w:cs="Courier New" w:eastAsia="Courier New" w:hAnsi="Courier New"/>
          <w:sz w:val="16"/>
          <w:szCs w:val="16"/>
          <w:color w:val="auto"/>
        </w:rPr>
        <w:t>Exhibit 3.2</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ARTICLES OF AMENDMENT</w:t>
      </w:r>
    </w:p>
    <w:p>
      <w:pPr>
        <w:ind w:left="3440"/>
        <w:spacing w:after="0" w:line="236" w:lineRule="auto"/>
        <w:rPr>
          <w:sz w:val="20"/>
          <w:szCs w:val="20"/>
          <w:color w:val="auto"/>
        </w:rPr>
      </w:pPr>
      <w:r>
        <w:rPr>
          <w:rFonts w:ascii="Courier New" w:cs="Courier New" w:eastAsia="Courier New" w:hAnsi="Courier New"/>
          <w:sz w:val="16"/>
          <w:szCs w:val="16"/>
          <w:color w:val="auto"/>
        </w:rPr>
        <w:t>TO THE</w:t>
      </w:r>
    </w:p>
    <w:p>
      <w:pPr>
        <w:ind w:left="2600"/>
        <w:spacing w:after="0" w:line="237" w:lineRule="auto"/>
        <w:rPr>
          <w:sz w:val="20"/>
          <w:szCs w:val="20"/>
          <w:color w:val="auto"/>
        </w:rPr>
      </w:pPr>
      <w:r>
        <w:rPr>
          <w:rFonts w:ascii="Courier New" w:cs="Courier New" w:eastAsia="Courier New" w:hAnsi="Courier New"/>
          <w:sz w:val="16"/>
          <w:szCs w:val="16"/>
          <w:color w:val="auto"/>
        </w:rPr>
        <w:t>ARTICLES OF INCORPORATION</w:t>
      </w:r>
    </w:p>
    <w:p>
      <w:pPr>
        <w:ind w:left="3620"/>
        <w:spacing w:after="0" w:line="237" w:lineRule="auto"/>
        <w:rPr>
          <w:sz w:val="20"/>
          <w:szCs w:val="20"/>
          <w:color w:val="auto"/>
        </w:rPr>
      </w:pPr>
      <w:r>
        <w:rPr>
          <w:rFonts w:ascii="Courier New" w:cs="Courier New" w:eastAsia="Courier New" w:hAnsi="Courier New"/>
          <w:sz w:val="16"/>
          <w:szCs w:val="16"/>
          <w:color w:val="auto"/>
        </w:rPr>
        <w:t>OF</w:t>
      </w:r>
    </w:p>
    <w:p>
      <w:pPr>
        <w:ind w:left="3160"/>
        <w:spacing w:after="0" w:line="237" w:lineRule="auto"/>
        <w:rPr>
          <w:sz w:val="20"/>
          <w:szCs w:val="20"/>
          <w:color w:val="auto"/>
        </w:rPr>
      </w:pPr>
      <w:r>
        <w:rPr>
          <w:rFonts w:ascii="Courier New" w:cs="Courier New" w:eastAsia="Courier New" w:hAnsi="Courier New"/>
          <w:sz w:val="16"/>
          <w:szCs w:val="16"/>
          <w:color w:val="auto"/>
        </w:rPr>
        <w:t>INSULAR, INC.</w:t>
      </w:r>
    </w:p>
    <w:p>
      <w:pPr>
        <w:spacing w:after="0" w:line="362" w:lineRule="exact"/>
        <w:rPr>
          <w:sz w:val="20"/>
          <w:szCs w:val="20"/>
          <w:color w:val="auto"/>
        </w:rPr>
      </w:pPr>
    </w:p>
    <w:p>
      <w:pPr>
        <w:ind w:right="2959" w:firstLine="837"/>
        <w:spacing w:after="0" w:line="235" w:lineRule="auto"/>
        <w:rPr>
          <w:sz w:val="20"/>
          <w:szCs w:val="20"/>
          <w:color w:val="auto"/>
        </w:rPr>
      </w:pPr>
      <w:r>
        <w:rPr>
          <w:rFonts w:ascii="Courier New" w:cs="Courier New" w:eastAsia="Courier New" w:hAnsi="Courier New"/>
          <w:sz w:val="16"/>
          <w:szCs w:val="16"/>
          <w:color w:val="auto"/>
        </w:rPr>
        <w:t>WE, THE UNDERSIGNED, pursuant to the Utah Business Corporation Act, hereby adopt the following Articles of Amendment as a revision of the Articles of Incorporation of Insular, Inc.</w:t>
      </w:r>
    </w:p>
    <w:p>
      <w:pPr>
        <w:spacing w:after="0" w:line="17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ARTICLE I</w:t>
      </w:r>
    </w:p>
    <w:p>
      <w:pPr>
        <w:ind w:left="3340"/>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The name of the corporation is Insular, Inc.</w:t>
      </w:r>
    </w:p>
    <w:p>
      <w:pPr>
        <w:spacing w:after="0" w:line="17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ARTICLE II</w:t>
      </w:r>
    </w:p>
    <w:p>
      <w:pPr>
        <w:ind w:left="3260"/>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The duration of the corporation is perpetual.</w:t>
      </w:r>
    </w:p>
    <w:p>
      <w:pPr>
        <w:spacing w:after="0" w:line="17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ARTICLE III</w:t>
      </w:r>
    </w:p>
    <w:p>
      <w:pPr>
        <w:ind w:left="32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837"/>
        <w:spacing w:after="0" w:line="234" w:lineRule="auto"/>
        <w:rPr>
          <w:sz w:val="20"/>
          <w:szCs w:val="20"/>
          <w:color w:val="auto"/>
        </w:rPr>
      </w:pPr>
      <w:r>
        <w:rPr>
          <w:rFonts w:ascii="Courier New" w:cs="Courier New" w:eastAsia="Courier New" w:hAnsi="Courier New"/>
          <w:sz w:val="16"/>
          <w:szCs w:val="16"/>
          <w:color w:val="auto"/>
        </w:rPr>
        <w:t>The following amendments to the Articles of Incorporation were approved by the shareholders:</w:t>
      </w:r>
    </w:p>
    <w:p>
      <w:pPr>
        <w:spacing w:after="0" w:line="183" w:lineRule="exact"/>
        <w:rPr>
          <w:sz w:val="20"/>
          <w:szCs w:val="20"/>
          <w:color w:val="auto"/>
        </w:rPr>
      </w:pPr>
    </w:p>
    <w:p>
      <w:pPr>
        <w:ind w:right="3339" w:firstLine="837"/>
        <w:spacing w:after="0" w:line="234" w:lineRule="auto"/>
        <w:rPr>
          <w:sz w:val="20"/>
          <w:szCs w:val="20"/>
          <w:color w:val="auto"/>
        </w:rPr>
      </w:pPr>
      <w:r>
        <w:rPr>
          <w:rFonts w:ascii="Courier New" w:cs="Courier New" w:eastAsia="Courier New" w:hAnsi="Courier New"/>
          <w:sz w:val="16"/>
          <w:szCs w:val="16"/>
          <w:color w:val="auto"/>
        </w:rPr>
        <w:t>Article I of the Articles of Incorporation of this Corporation is amended so that it will read in its entirety as follows:</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The name of this Corporation is Gentner Electronics Company.</w:t>
      </w:r>
    </w:p>
    <w:p>
      <w:pPr>
        <w:spacing w:after="0" w:line="183" w:lineRule="exact"/>
        <w:rPr>
          <w:sz w:val="20"/>
          <w:szCs w:val="20"/>
          <w:color w:val="auto"/>
        </w:rPr>
      </w:pPr>
    </w:p>
    <w:p>
      <w:pPr>
        <w:ind w:right="3159" w:firstLine="837"/>
        <w:spacing w:after="0" w:line="234" w:lineRule="auto"/>
        <w:rPr>
          <w:sz w:val="20"/>
          <w:szCs w:val="20"/>
          <w:color w:val="auto"/>
        </w:rPr>
      </w:pPr>
      <w:r>
        <w:rPr>
          <w:rFonts w:ascii="Courier New" w:cs="Courier New" w:eastAsia="Courier New" w:hAnsi="Courier New"/>
          <w:sz w:val="16"/>
          <w:szCs w:val="16"/>
          <w:color w:val="auto"/>
        </w:rPr>
        <w:t>Article III of the Articles of Incorporation of this Corporation is amended so that it will read in its entirety as follows:</w:t>
      </w:r>
    </w:p>
    <w:p>
      <w:pPr>
        <w:spacing w:after="0" w:line="183" w:lineRule="exact"/>
        <w:rPr>
          <w:sz w:val="20"/>
          <w:szCs w:val="20"/>
          <w:color w:val="auto"/>
        </w:rPr>
      </w:pPr>
    </w:p>
    <w:p>
      <w:pPr>
        <w:ind w:left="840" w:right="2779"/>
        <w:spacing w:after="0" w:line="275" w:lineRule="auto"/>
        <w:rPr>
          <w:sz w:val="20"/>
          <w:szCs w:val="20"/>
          <w:color w:val="auto"/>
        </w:rPr>
      </w:pPr>
      <w:r>
        <w:rPr>
          <w:rFonts w:ascii="Courier New" w:cs="Courier New" w:eastAsia="Courier New" w:hAnsi="Courier New"/>
          <w:sz w:val="14"/>
          <w:szCs w:val="14"/>
          <w:color w:val="auto"/>
        </w:rPr>
        <w:t>The purpose for which this Corporation is organized is the engineering, designing, consulting, servicing, maintaining and repairing and manufacturing of electronic equipment and all matters related or ancillary thereto and to do all things and engage in all lawful transactions which a corporation organized under the laws of the State of Utah might do or engage in, even though not expressly stated herein.</w:t>
      </w:r>
    </w:p>
    <w:p>
      <w:pPr>
        <w:spacing w:after="0" w:line="162" w:lineRule="exact"/>
        <w:rPr>
          <w:sz w:val="20"/>
          <w:szCs w:val="20"/>
          <w:color w:val="auto"/>
        </w:rPr>
      </w:pPr>
    </w:p>
    <w:p>
      <w:pPr>
        <w:ind w:right="3339" w:firstLine="837"/>
        <w:spacing w:after="0" w:line="234" w:lineRule="auto"/>
        <w:rPr>
          <w:sz w:val="20"/>
          <w:szCs w:val="20"/>
          <w:color w:val="auto"/>
        </w:rPr>
      </w:pPr>
      <w:r>
        <w:rPr>
          <w:rFonts w:ascii="Courier New" w:cs="Courier New" w:eastAsia="Courier New" w:hAnsi="Courier New"/>
          <w:sz w:val="16"/>
          <w:szCs w:val="16"/>
          <w:color w:val="auto"/>
        </w:rPr>
        <w:t>Article V of the Articles of Incorporation of this Corporation is amended so that it will read in its entirety as follows:</w:t>
      </w:r>
    </w:p>
    <w:p>
      <w:pPr>
        <w:spacing w:after="0" w:line="183" w:lineRule="exact"/>
        <w:rPr>
          <w:sz w:val="20"/>
          <w:szCs w:val="20"/>
          <w:color w:val="auto"/>
        </w:rPr>
      </w:pPr>
    </w:p>
    <w:p>
      <w:pPr>
        <w:ind w:left="840" w:right="2779"/>
        <w:spacing w:after="0" w:line="235" w:lineRule="auto"/>
        <w:rPr>
          <w:sz w:val="20"/>
          <w:szCs w:val="20"/>
          <w:color w:val="auto"/>
        </w:rPr>
      </w:pPr>
      <w:r>
        <w:rPr>
          <w:rFonts w:ascii="Courier New" w:cs="Courier New" w:eastAsia="Courier New" w:hAnsi="Courier New"/>
          <w:sz w:val="16"/>
          <w:szCs w:val="16"/>
          <w:color w:val="auto"/>
        </w:rPr>
        <w:t>The authorized and treasury stock of this Corporation may be issued at such time, upon such terms and conditions and for such consideration as the Board of Directors shall determine. Shareholders shall not have pre-emptive rights to acquire unissued shares of the stock of this Corporation.</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3239" w:firstLine="837"/>
        <w:spacing w:after="0" w:line="234" w:lineRule="auto"/>
        <w:rPr>
          <w:sz w:val="20"/>
          <w:szCs w:val="20"/>
          <w:color w:val="auto"/>
        </w:rPr>
      </w:pPr>
      <w:r>
        <w:rPr>
          <w:rFonts w:ascii="Courier New" w:cs="Courier New" w:eastAsia="Courier New" w:hAnsi="Courier New"/>
          <w:sz w:val="16"/>
          <w:szCs w:val="16"/>
          <w:color w:val="auto"/>
        </w:rPr>
        <w:t>Articles X of the Articles of Incorporation of this Corporation is amended so that it will read in its entirety as follows:</w:t>
      </w:r>
    </w:p>
    <w:p>
      <w:pPr>
        <w:spacing w:after="0" w:line="183" w:lineRule="exact"/>
        <w:rPr>
          <w:sz w:val="20"/>
          <w:szCs w:val="20"/>
          <w:color w:val="auto"/>
        </w:rPr>
      </w:pPr>
    </w:p>
    <w:p>
      <w:pPr>
        <w:jc w:val="both"/>
        <w:ind w:left="840" w:right="3059"/>
        <w:spacing w:after="0" w:line="235" w:lineRule="auto"/>
        <w:rPr>
          <w:sz w:val="20"/>
          <w:szCs w:val="20"/>
          <w:color w:val="auto"/>
        </w:rPr>
      </w:pPr>
      <w:r>
        <w:rPr>
          <w:rFonts w:ascii="Courier New" w:cs="Courier New" w:eastAsia="Courier New" w:hAnsi="Courier New"/>
          <w:sz w:val="16"/>
          <w:szCs w:val="16"/>
          <w:color w:val="auto"/>
        </w:rPr>
        <w:t>The Board of Directors shall consist of not less than three (3) nor more than nine (9) members as the Board of Directors may itself from time to time determine.</w:t>
      </w:r>
    </w:p>
    <w:p>
      <w:pPr>
        <w:spacing w:after="0" w:line="17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ARTICLE IV</w:t>
      </w:r>
    </w:p>
    <w:p>
      <w:pPr>
        <w:ind w:left="3260"/>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The amendments set forth in Article III were adopted March 26, 1985.</w:t>
      </w:r>
    </w:p>
    <w:p>
      <w:pPr>
        <w:spacing w:after="0" w:line="17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ARTICLE V</w:t>
      </w:r>
    </w:p>
    <w:p>
      <w:pPr>
        <w:ind w:left="334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3159" w:firstLine="837"/>
        <w:spacing w:after="0" w:line="234" w:lineRule="auto"/>
        <w:rPr>
          <w:sz w:val="20"/>
          <w:szCs w:val="20"/>
          <w:color w:val="auto"/>
        </w:rPr>
      </w:pPr>
      <w:r>
        <w:rPr>
          <w:rFonts w:ascii="Courier New" w:cs="Courier New" w:eastAsia="Courier New" w:hAnsi="Courier New"/>
          <w:sz w:val="16"/>
          <w:szCs w:val="16"/>
          <w:color w:val="auto"/>
        </w:rPr>
        <w:t>The number of shares issued and outstanding and entitled to vote on said amendments on March 26, 1985 was 5,763,200.</w:t>
      </w:r>
    </w:p>
    <w:p>
      <w:pPr>
        <w:spacing w:after="0" w:line="17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ARTICLE VI</w:t>
      </w:r>
    </w:p>
    <w:p>
      <w:pPr>
        <w:ind w:left="32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879" w:firstLine="837"/>
        <w:spacing w:after="0" w:line="234" w:lineRule="auto"/>
        <w:rPr>
          <w:sz w:val="20"/>
          <w:szCs w:val="20"/>
          <w:color w:val="auto"/>
        </w:rPr>
      </w:pPr>
      <w:r>
        <w:rPr>
          <w:rFonts w:ascii="Courier New" w:cs="Courier New" w:eastAsia="Courier New" w:hAnsi="Courier New"/>
          <w:sz w:val="16"/>
          <w:szCs w:val="16"/>
          <w:color w:val="auto"/>
        </w:rPr>
        <w:t>4,121,900 shares voted for said amendments, and 0 shares voted against said amendments.</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DATED this 26th day of March, 1985.</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INSULAR, INC.</w:t>
      </w:r>
    </w:p>
    <w:p>
      <w:pPr>
        <w:sectPr>
          <w:pgSz w:w="11900" w:h="16838" w:orient="portrait"/>
          <w:cols w:equalWidth="0" w:num="1">
            <w:col w:w="10219"/>
          </w:cols>
          <w:pgMar w:left="240" w:top="135" w:right="1440" w:bottom="0" w:gutter="0" w:footer="0" w:header="0"/>
        </w:sectPr>
      </w:pPr>
    </w:p>
    <w:p>
      <w:pPr>
        <w:spacing w:after="0" w:line="362"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/s/ Craig Niebuhr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Craig Niebuhr, President</w:t>
      </w:r>
    </w:p>
    <w:p>
      <w:pPr>
        <w:spacing w:after="0" w:line="200" w:lineRule="exact"/>
        <w:rPr>
          <w:sz w:val="20"/>
          <w:szCs w:val="20"/>
          <w:color w:val="auto"/>
        </w:rPr>
      </w:pPr>
    </w:p>
    <w:p>
      <w:pPr>
        <w:sectPr>
          <w:pgSz w:w="11900" w:h="16838" w:orient="portrait"/>
          <w:cols w:equalWidth="0" w:num="2">
            <w:col w:w="3900" w:space="180"/>
            <w:col w:w="6139"/>
          </w:cols>
          <w:pgMar w:left="240" w:top="135" w:right="1440" w:bottom="0" w:gutter="0" w:footer="0" w:header="0"/>
          <w:type w:val="continuous"/>
        </w:sectPr>
      </w:pPr>
    </w:p>
    <w:p>
      <w:pPr>
        <w:spacing w:after="0" w:line="162"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Jace Green</w:t>
      </w:r>
    </w:p>
    <w:p>
      <w:pPr>
        <w:spacing w:after="0" w:line="20" w:lineRule="exact"/>
        <w:rPr>
          <w:sz w:val="20"/>
          <w:szCs w:val="20"/>
          <w:color w:val="auto"/>
        </w:rPr>
      </w:pPr>
    </w:p>
    <w:p>
      <w:pPr>
        <w:sectPr>
          <w:pgSz w:w="11900" w:h="16838" w:orient="portrait"/>
          <w:cols w:equalWidth="0" w:num="2">
            <w:col w:w="3900" w:space="560"/>
            <w:col w:w="5759"/>
          </w:cols>
          <w:pgMar w:left="240" w:top="135" w:right="1440" w:bottom="0" w:gutter="0" w:footer="0" w:header="0"/>
          <w:type w:val="continuous"/>
        </w:sectPr>
      </w:pPr>
    </w:p>
    <w:p>
      <w:pPr>
        <w:ind w:left="40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135" w:right="1440" w:bottom="0" w:gutter="0" w:footer="0" w:header="0"/>
          <w:type w:val="continuous"/>
        </w:sectPr>
      </w:pPr>
    </w:p>
    <w:bookmarkStart w:id="55" w:name="page56"/>
    <w:bookmarkEnd w:id="55"/>
    <w:p>
      <w:pPr>
        <w:ind w:left="3080"/>
        <w:spacing w:after="0"/>
        <w:rPr>
          <w:sz w:val="20"/>
          <w:szCs w:val="20"/>
          <w:color w:val="auto"/>
        </w:rPr>
      </w:pPr>
      <w:r>
        <w:rPr>
          <w:rFonts w:ascii="Courier New" w:cs="Courier New" w:eastAsia="Courier New" w:hAnsi="Courier New"/>
          <w:sz w:val="14"/>
          <w:szCs w:val="14"/>
          <w:color w:val="auto"/>
        </w:rPr>
        <w:t>Jace Green, Secretary</w:t>
      </w:r>
    </w:p>
    <w:p>
      <w:pPr>
        <w:sectPr>
          <w:pgSz w:w="11900" w:h="16838" w:orient="portrait"/>
          <w:cols w:equalWidth="0" w:num="1">
            <w:col w:w="9019"/>
          </w:cols>
          <w:pgMar w:left="1440" w:top="142" w:right="1440" w:bottom="1440" w:gutter="0" w:footer="0" w:header="0"/>
        </w:sectPr>
      </w:pPr>
    </w:p>
    <w:bookmarkStart w:id="56" w:name="page57"/>
    <w:bookmarkEnd w:id="56"/>
    <w:p>
      <w:pPr>
        <w:spacing w:after="0"/>
        <w:tabs>
          <w:tab w:leader="none" w:pos="3320" w:val="left"/>
        </w:tabs>
        <w:rPr>
          <w:sz w:val="20"/>
          <w:szCs w:val="20"/>
          <w:color w:val="auto"/>
        </w:rPr>
      </w:pPr>
      <w:r>
        <w:rPr>
          <w:rFonts w:ascii="Courier New" w:cs="Courier New" w:eastAsia="Courier New" w:hAnsi="Courier New"/>
          <w:sz w:val="16"/>
          <w:szCs w:val="16"/>
          <w:color w:val="auto"/>
        </w:rPr>
        <w:t>STATE OF UTAH</w:t>
      </w:r>
      <w:r>
        <w:rPr>
          <w:sz w:val="20"/>
          <w:szCs w:val="20"/>
          <w:color w:val="auto"/>
        </w:rPr>
        <w:tab/>
      </w:r>
      <w:r>
        <w:rPr>
          <w:rFonts w:ascii="Courier New" w:cs="Courier New" w:eastAsia="Courier New" w:hAnsi="Courier New"/>
          <w:sz w:val="16"/>
          <w:szCs w:val="16"/>
          <w:color w:val="auto"/>
        </w:rPr>
        <w:t>}</w:t>
      </w:r>
    </w:p>
    <w:p>
      <w:pPr>
        <w:ind w:left="3620" w:hanging="276"/>
        <w:spacing w:after="0" w:line="236" w:lineRule="auto"/>
        <w:tabs>
          <w:tab w:leader="none" w:pos="36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ss.</w:t>
      </w:r>
    </w:p>
    <w:p>
      <w:pPr>
        <w:spacing w:after="0" w:line="237" w:lineRule="auto"/>
        <w:tabs>
          <w:tab w:leader="none" w:pos="3320" w:val="left"/>
        </w:tabs>
        <w:rPr>
          <w:sz w:val="20"/>
          <w:szCs w:val="20"/>
          <w:color w:val="auto"/>
        </w:rPr>
      </w:pPr>
      <w:r>
        <w:rPr>
          <w:rFonts w:ascii="Courier New" w:cs="Courier New" w:eastAsia="Courier New" w:hAnsi="Courier New"/>
          <w:sz w:val="16"/>
          <w:szCs w:val="16"/>
          <w:color w:val="auto"/>
        </w:rPr>
        <w:t>County of Salt Lake</w:t>
      </w:r>
      <w:r>
        <w:rPr>
          <w:sz w:val="20"/>
          <w:szCs w:val="20"/>
          <w:color w:val="auto"/>
        </w:rPr>
        <w:tab/>
      </w:r>
      <w:r>
        <w:rPr>
          <w:rFonts w:ascii="Courier New" w:cs="Courier New" w:eastAsia="Courier New" w:hAnsi="Courier New"/>
          <w:sz w:val="16"/>
          <w:szCs w:val="16"/>
          <w:color w:val="auto"/>
        </w:rPr>
        <w:t>}</w:t>
      </w:r>
    </w:p>
    <w:p>
      <w:pPr>
        <w:spacing w:after="0" w:line="362" w:lineRule="exact"/>
        <w:rPr>
          <w:sz w:val="20"/>
          <w:szCs w:val="20"/>
          <w:color w:val="auto"/>
        </w:rPr>
      </w:pPr>
    </w:p>
    <w:p>
      <w:pPr>
        <w:ind w:right="2879" w:firstLine="837"/>
        <w:spacing w:after="0" w:line="235" w:lineRule="auto"/>
        <w:rPr>
          <w:sz w:val="20"/>
          <w:szCs w:val="20"/>
          <w:color w:val="auto"/>
        </w:rPr>
      </w:pPr>
      <w:r>
        <w:rPr>
          <w:rFonts w:ascii="Courier New" w:cs="Courier New" w:eastAsia="Courier New" w:hAnsi="Courier New"/>
          <w:sz w:val="16"/>
          <w:szCs w:val="16"/>
          <w:color w:val="auto"/>
        </w:rPr>
        <w:t>I, THE UNDERSIGNED, a Notary Public, hereby certify that on the 26th day of March, 1985, Craig Niebuhr and Jace Green personally appeared before me who being by me first duly sworn severally declared that they are the persons who signed the foregoing document as corporate officers and that the statements therein contained are true.</w:t>
      </w:r>
    </w:p>
    <w:p>
      <w:pPr>
        <w:spacing w:after="0" w:line="180"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DATED this 26th day of March, 1985.</w:t>
      </w:r>
    </w:p>
    <w:p>
      <w:pPr>
        <w:spacing w:after="0" w:line="177"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/s/ Notary Public</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5400"/>
        <w:spacing w:after="0"/>
        <w:rPr>
          <w:sz w:val="20"/>
          <w:szCs w:val="20"/>
          <w:color w:val="auto"/>
        </w:rPr>
      </w:pPr>
      <w:r>
        <w:rPr>
          <w:rFonts w:ascii="Courier New" w:cs="Courier New" w:eastAsia="Courier New" w:hAnsi="Courier New"/>
          <w:sz w:val="16"/>
          <w:szCs w:val="16"/>
          <w:color w:val="auto"/>
        </w:rPr>
        <w:t>NOTARY PUBLIC</w:t>
      </w:r>
    </w:p>
    <w:p>
      <w:pPr>
        <w:sectPr>
          <w:pgSz w:w="11900" w:h="16838" w:orient="portrait"/>
          <w:cols w:equalWidth="0" w:num="1">
            <w:col w:w="10219"/>
          </w:cols>
          <w:pgMar w:left="240" w:top="827" w:right="1440" w:bottom="1440" w:gutter="0" w:footer="0" w:header="0"/>
        </w:sectPr>
      </w:pP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My commission expires: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Residing at:</w:t>
      </w:r>
    </w:p>
    <w:p>
      <w:pPr>
        <w:spacing w:after="0" w:line="200" w:lineRule="exact"/>
        <w:rPr>
          <w:sz w:val="20"/>
          <w:szCs w:val="20"/>
          <w:color w:val="auto"/>
        </w:rPr>
      </w:pPr>
    </w:p>
    <w:p>
      <w:pPr>
        <w:sectPr>
          <w:pgSz w:w="11900" w:h="16838" w:orient="portrait"/>
          <w:cols w:equalWidth="0" w:num="2">
            <w:col w:w="3360" w:space="720"/>
            <w:col w:w="6139"/>
          </w:cols>
          <w:pgMar w:left="240" w:top="827" w:right="1440" w:bottom="1440" w:gutter="0" w:footer="0" w:header="0"/>
          <w:type w:val="continuous"/>
        </w:sectPr>
      </w:pPr>
    </w:p>
    <w:p>
      <w:pPr>
        <w:spacing w:after="0" w:line="172"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5-29-88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Salt Lake City, Utah</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3360" w:space="720"/>
            <w:col w:w="6139"/>
          </w:cols>
          <w:pgMar w:left="240" w:top="827" w:right="1440" w:bottom="1440" w:gutter="0" w:footer="0" w:header="0"/>
          <w:type w:val="continuous"/>
        </w:sectPr>
      </w:pPr>
    </w:p>
    <w:bookmarkStart w:id="57" w:name="page58"/>
    <w:bookmarkEnd w:id="57"/>
    <w:p>
      <w:pPr>
        <w:ind w:left="2700"/>
        <w:spacing w:after="0"/>
        <w:rPr>
          <w:sz w:val="20"/>
          <w:szCs w:val="20"/>
          <w:color w:val="auto"/>
        </w:rPr>
      </w:pPr>
      <w:r>
        <w:rPr>
          <w:rFonts w:ascii="Courier New" w:cs="Courier New" w:eastAsia="Courier New" w:hAnsi="Courier New"/>
          <w:sz w:val="16"/>
          <w:szCs w:val="16"/>
          <w:color w:val="auto"/>
        </w:rPr>
        <w:t>CONSENT TO USE OF NAME</w:t>
      </w:r>
    </w:p>
    <w:p>
      <w:pPr>
        <w:spacing w:after="0" w:line="183" w:lineRule="exact"/>
        <w:rPr>
          <w:sz w:val="20"/>
          <w:szCs w:val="20"/>
          <w:color w:val="auto"/>
        </w:rPr>
      </w:pPr>
    </w:p>
    <w:p>
      <w:pPr>
        <w:ind w:right="2879" w:firstLine="837"/>
        <w:spacing w:after="0" w:line="235" w:lineRule="auto"/>
        <w:rPr>
          <w:sz w:val="20"/>
          <w:szCs w:val="20"/>
          <w:color w:val="auto"/>
        </w:rPr>
      </w:pPr>
      <w:r>
        <w:rPr>
          <w:rFonts w:ascii="Courier New" w:cs="Courier New" w:eastAsia="Courier New" w:hAnsi="Courier New"/>
          <w:sz w:val="16"/>
          <w:szCs w:val="16"/>
          <w:color w:val="auto"/>
        </w:rPr>
        <w:t>The undersigned officer of Gentner Engineering Company hereby consents to Insular, Inc. changing its name to Gentner Electronics Company. Concurrent with such change Gentner Engineering Company has become a wholly owned subsidiary of Insular, Inc.</w:t>
      </w:r>
    </w:p>
    <w:p>
      <w:pPr>
        <w:spacing w:after="0" w:line="178"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Dated:</w:t>
      </w:r>
      <w:r>
        <w:rPr>
          <w:sz w:val="20"/>
          <w:szCs w:val="20"/>
          <w:color w:val="auto"/>
        </w:rPr>
        <w:tab/>
      </w:r>
      <w:r>
        <w:rPr>
          <w:rFonts w:ascii="Courier New" w:cs="Courier New" w:eastAsia="Courier New" w:hAnsi="Courier New"/>
          <w:sz w:val="16"/>
          <w:szCs w:val="16"/>
          <w:color w:val="auto"/>
        </w:rPr>
        <w:t>March 26, 1985.</w:t>
      </w:r>
    </w:p>
    <w:p>
      <w:pPr>
        <w:spacing w:after="0" w:line="177"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6"/>
          <w:szCs w:val="16"/>
          <w:color w:val="auto"/>
        </w:rPr>
        <w:t>GENTNER ENGINEERING COMPANY</w:t>
      </w:r>
    </w:p>
    <w:p>
      <w:pPr>
        <w:spacing w:after="0" w:line="200" w:lineRule="exact"/>
        <w:rPr>
          <w:sz w:val="20"/>
          <w:szCs w:val="20"/>
          <w:color w:val="auto"/>
        </w:rPr>
      </w:pPr>
    </w:p>
    <w:p>
      <w:pPr>
        <w:spacing w:after="0" w:line="33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/s/ Russell D. Gentner</w:t>
      </w:r>
    </w:p>
    <w:p>
      <w:pPr>
        <w:spacing w:after="0" w:line="4"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4000"/>
        <w:spacing w:after="0"/>
        <w:tabs>
          <w:tab w:leader="none" w:pos="444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4"/>
          <w:szCs w:val="14"/>
          <w:color w:val="auto"/>
        </w:rPr>
        <w:t>Russell D. Gentner, President</w:t>
      </w:r>
    </w:p>
    <w:p>
      <w:pPr>
        <w:sectPr>
          <w:pgSz w:w="11900" w:h="16838" w:orient="portrait"/>
          <w:cols w:equalWidth="0" w:num="1">
            <w:col w:w="10219"/>
          </w:cols>
          <w:pgMar w:left="240" w:top="827" w:right="1440" w:bottom="1440" w:gutter="0" w:footer="0" w:header="0"/>
        </w:sectPr>
      </w:pPr>
    </w:p>
    <w:bookmarkStart w:id="58" w:name="page59"/>
    <w:bookmarkEnd w:id="58"/>
    <w:p>
      <w:pPr>
        <w:jc w:val="right"/>
        <w:ind w:right="2779"/>
        <w:spacing w:after="0"/>
        <w:rPr>
          <w:sz w:val="20"/>
          <w:szCs w:val="20"/>
          <w:color w:val="auto"/>
        </w:rPr>
      </w:pPr>
      <w:r>
        <w:rPr>
          <w:rFonts w:ascii="Courier New" w:cs="Courier New" w:eastAsia="Courier New" w:hAnsi="Courier New"/>
          <w:sz w:val="16"/>
          <w:szCs w:val="16"/>
          <w:color w:val="auto"/>
        </w:rPr>
        <w:t>Exhibit 3.3</w:t>
      </w:r>
    </w:p>
    <w:p>
      <w:pPr>
        <w:spacing w:after="0" w:line="17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CORRECTED</w:t>
      </w:r>
    </w:p>
    <w:p>
      <w:pPr>
        <w:ind w:left="3340"/>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ARTICLES OF AMENDMENT</w:t>
      </w:r>
    </w:p>
    <w:p>
      <w:pPr>
        <w:ind w:left="2780"/>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TO</w:t>
      </w:r>
    </w:p>
    <w:p>
      <w:pPr>
        <w:ind w:left="3620"/>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ARTICLES OF INCORPORATION</w:t>
      </w:r>
    </w:p>
    <w:p>
      <w:pPr>
        <w:ind w:left="2600"/>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OF GENTNER ELECTRONICS COMPANY</w:t>
      </w:r>
    </w:p>
    <w:p>
      <w:pPr>
        <w:ind w:left="2320"/>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(formerly Insular, Inc.)</w:t>
      </w:r>
    </w:p>
    <w:p>
      <w:pPr>
        <w:ind w:left="2600"/>
        <w:spacing w:after="0" w:line="236" w:lineRule="auto"/>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41"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We, the undersigned, pursuant to the Utah Business Corporation Act, hereby file and adopt the following Corrected Articles of Amendment correcting those certain Articles of Amendment filed and approved by the Division of Corporations and Commercial Code of the Utah State Department of Business Regulation on the 26th day of March, 1985. These Corrected Articles of Amendment correct a typographical error in the previous Articles of Amendment which erroneously set forth the name of the corporation as Gentner Electronics Company, rather than the propertly and duly adopted name of Gentner Electronics Corporation. Accordingly, Article I of the Articles of Incorporation shall be amended to read as follows:</w:t>
      </w:r>
    </w:p>
    <w:p>
      <w:pPr>
        <w:spacing w:after="0" w:line="179"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ARTICLE I</w:t>
      </w:r>
    </w:p>
    <w:p>
      <w:pPr>
        <w:ind w:left="3340"/>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The name of the Corporation is Gentner Electronics Corporation.</w:t>
      </w:r>
    </w:p>
    <w:p>
      <w:pPr>
        <w:spacing w:after="0" w:line="362" w:lineRule="exact"/>
        <w:rPr>
          <w:sz w:val="20"/>
          <w:szCs w:val="20"/>
          <w:color w:val="auto"/>
        </w:rPr>
      </w:pPr>
    </w:p>
    <w:p>
      <w:pPr>
        <w:ind w:right="2779" w:firstLine="837"/>
        <w:spacing w:after="0" w:line="235" w:lineRule="auto"/>
        <w:rPr>
          <w:sz w:val="20"/>
          <w:szCs w:val="20"/>
          <w:color w:val="auto"/>
        </w:rPr>
      </w:pPr>
      <w:r>
        <w:rPr>
          <w:rFonts w:ascii="Courier New" w:cs="Courier New" w:eastAsia="Courier New" w:hAnsi="Courier New"/>
          <w:sz w:val="16"/>
          <w:szCs w:val="16"/>
          <w:color w:val="auto"/>
        </w:rPr>
        <w:t>This amendment of the corporate name was adopted by majority vote of the stockholders of the corporation at the annual meeting of stockholders held March 26, 1985. The number of shares issues and outstanding and entitled to vote on said amendment on March 26, 1985 was 5,763,200, and 4,121,900 shares voted for said amendment and 0 shares voted against said amendment.</w:t>
      </w:r>
    </w:p>
    <w:p>
      <w:pPr>
        <w:spacing w:after="0" w:line="18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DATED this 10th day of September, 1986.</w:t>
      </w:r>
    </w:p>
    <w:p>
      <w:pPr>
        <w:spacing w:after="0" w:line="177"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GENTNER ELECTRONICS COMPANY</w:t>
      </w:r>
    </w:p>
    <w:p>
      <w:pPr>
        <w:ind w:left="4080"/>
        <w:spacing w:after="0" w:line="236" w:lineRule="auto"/>
        <w:rPr>
          <w:sz w:val="20"/>
          <w:szCs w:val="20"/>
          <w:color w:val="auto"/>
        </w:rPr>
      </w:pPr>
      <w:r>
        <w:rPr>
          <w:rFonts w:ascii="Courier New" w:cs="Courier New" w:eastAsia="Courier New" w:hAnsi="Courier New"/>
          <w:sz w:val="16"/>
          <w:szCs w:val="16"/>
          <w:color w:val="auto"/>
        </w:rPr>
        <w:t>A Utah corporation</w:t>
      </w:r>
    </w:p>
    <w:p>
      <w:pPr>
        <w:spacing w:after="0" w:line="356" w:lineRule="exact"/>
        <w:rPr>
          <w:sz w:val="20"/>
          <w:szCs w:val="20"/>
          <w:color w:val="auto"/>
        </w:rPr>
      </w:pPr>
    </w:p>
    <w:p>
      <w:pPr>
        <w:ind w:left="4080"/>
        <w:spacing w:after="0"/>
        <w:tabs>
          <w:tab w:leader="none" w:pos="472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Russell D. Gentner</w:t>
      </w:r>
    </w:p>
    <w:p>
      <w:pPr>
        <w:ind w:left="4460"/>
        <w:spacing w:after="0" w:line="236" w:lineRule="auto"/>
        <w:rPr>
          <w:sz w:val="20"/>
          <w:szCs w:val="20"/>
          <w:color w:val="auto"/>
        </w:rPr>
      </w:pPr>
      <w:r>
        <w:rPr>
          <w:rFonts w:ascii="Courier New" w:cs="Courier New" w:eastAsia="Courier New" w:hAnsi="Courier New"/>
          <w:sz w:val="16"/>
          <w:szCs w:val="16"/>
          <w:color w:val="auto"/>
        </w:rPr>
        <w:t>-------------------------------</w:t>
      </w:r>
    </w:p>
    <w:p>
      <w:pPr>
        <w:ind w:left="4460"/>
        <w:spacing w:after="0" w:line="237" w:lineRule="auto"/>
        <w:rPr>
          <w:sz w:val="20"/>
          <w:szCs w:val="20"/>
          <w:color w:val="auto"/>
        </w:rPr>
      </w:pPr>
      <w:r>
        <w:rPr>
          <w:rFonts w:ascii="Courier New" w:cs="Courier New" w:eastAsia="Courier New" w:hAnsi="Courier New"/>
          <w:sz w:val="16"/>
          <w:szCs w:val="16"/>
          <w:color w:val="auto"/>
        </w:rPr>
        <w:t>RUSSELL D. GENTNER</w:t>
      </w:r>
    </w:p>
    <w:p>
      <w:pPr>
        <w:ind w:left="4460"/>
        <w:spacing w:after="0" w:line="237" w:lineRule="auto"/>
        <w:rPr>
          <w:sz w:val="20"/>
          <w:szCs w:val="20"/>
          <w:color w:val="auto"/>
        </w:rPr>
      </w:pPr>
      <w:r>
        <w:rPr>
          <w:rFonts w:ascii="Courier New" w:cs="Courier New" w:eastAsia="Courier New" w:hAnsi="Courier New"/>
          <w:sz w:val="16"/>
          <w:szCs w:val="16"/>
          <w:color w:val="auto"/>
        </w:rPr>
        <w:t>President</w:t>
      </w:r>
    </w:p>
    <w:p>
      <w:pPr>
        <w:spacing w:after="0" w:line="177" w:lineRule="exact"/>
        <w:rPr>
          <w:sz w:val="20"/>
          <w:szCs w:val="20"/>
          <w:color w:val="auto"/>
        </w:rPr>
      </w:pPr>
    </w:p>
    <w:p>
      <w:pPr>
        <w:ind w:left="4080"/>
        <w:spacing w:after="0"/>
        <w:tabs>
          <w:tab w:leader="none" w:pos="472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William H. Gillman</w:t>
      </w:r>
    </w:p>
    <w:p>
      <w:pPr>
        <w:ind w:left="4460"/>
        <w:spacing w:after="0" w:line="236" w:lineRule="auto"/>
        <w:rPr>
          <w:sz w:val="20"/>
          <w:szCs w:val="20"/>
          <w:color w:val="auto"/>
        </w:rPr>
      </w:pPr>
      <w:r>
        <w:rPr>
          <w:rFonts w:ascii="Courier New" w:cs="Courier New" w:eastAsia="Courier New" w:hAnsi="Courier New"/>
          <w:sz w:val="16"/>
          <w:szCs w:val="16"/>
          <w:color w:val="auto"/>
        </w:rPr>
        <w:t>-------------------------------</w:t>
      </w:r>
    </w:p>
    <w:p>
      <w:pPr>
        <w:ind w:left="4460"/>
        <w:spacing w:after="0" w:line="237" w:lineRule="auto"/>
        <w:rPr>
          <w:sz w:val="20"/>
          <w:szCs w:val="20"/>
          <w:color w:val="auto"/>
        </w:rPr>
      </w:pPr>
      <w:r>
        <w:rPr>
          <w:rFonts w:ascii="Courier New" w:cs="Courier New" w:eastAsia="Courier New" w:hAnsi="Courier New"/>
          <w:sz w:val="16"/>
          <w:szCs w:val="16"/>
          <w:color w:val="auto"/>
        </w:rPr>
        <w:t>WILIAM H. GILLMAN</w:t>
      </w:r>
    </w:p>
    <w:p>
      <w:pPr>
        <w:ind w:left="4460"/>
        <w:spacing w:after="0" w:line="237" w:lineRule="auto"/>
        <w:rPr>
          <w:sz w:val="20"/>
          <w:szCs w:val="20"/>
          <w:color w:val="auto"/>
        </w:rPr>
      </w:pPr>
      <w:r>
        <w:rPr>
          <w:rFonts w:ascii="Courier New" w:cs="Courier New" w:eastAsia="Courier New" w:hAnsi="Courier New"/>
          <w:sz w:val="16"/>
          <w:szCs w:val="16"/>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VERIFICATION</w:t>
      </w:r>
    </w:p>
    <w:p>
      <w:pPr>
        <w:ind w:left="3160"/>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spacing w:after="0"/>
        <w:tabs>
          <w:tab w:leader="none" w:pos="2480" w:val="left"/>
        </w:tabs>
        <w:rPr>
          <w:sz w:val="20"/>
          <w:szCs w:val="20"/>
          <w:color w:val="auto"/>
        </w:rPr>
      </w:pPr>
      <w:r>
        <w:rPr>
          <w:rFonts w:ascii="Courier New" w:cs="Courier New" w:eastAsia="Courier New" w:hAnsi="Courier New"/>
          <w:sz w:val="16"/>
          <w:szCs w:val="16"/>
          <w:color w:val="auto"/>
        </w:rPr>
        <w:t>Sate of Utah</w:t>
      </w:r>
      <w:r>
        <w:rPr>
          <w:sz w:val="20"/>
          <w:szCs w:val="20"/>
          <w:color w:val="auto"/>
        </w:rPr>
        <w:tab/>
      </w:r>
      <w:r>
        <w:rPr>
          <w:rFonts w:ascii="Courier New" w:cs="Courier New" w:eastAsia="Courier New" w:hAnsi="Courier New"/>
          <w:sz w:val="16"/>
          <w:szCs w:val="16"/>
          <w:color w:val="auto"/>
        </w:rPr>
        <w:t>)</w:t>
      </w:r>
    </w:p>
    <w:p>
      <w:pPr>
        <w:ind w:left="2780" w:hanging="273"/>
        <w:spacing w:after="0" w:line="236" w:lineRule="auto"/>
        <w:tabs>
          <w:tab w:leader="none" w:pos="278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ss.</w:t>
      </w:r>
    </w:p>
    <w:p>
      <w:pPr>
        <w:spacing w:after="0" w:line="237" w:lineRule="auto"/>
        <w:tabs>
          <w:tab w:leader="none" w:pos="2480" w:val="left"/>
        </w:tabs>
        <w:rPr>
          <w:sz w:val="20"/>
          <w:szCs w:val="20"/>
          <w:color w:val="auto"/>
        </w:rPr>
      </w:pPr>
      <w:r>
        <w:rPr>
          <w:rFonts w:ascii="Courier New" w:cs="Courier New" w:eastAsia="Courier New" w:hAnsi="Courier New"/>
          <w:sz w:val="16"/>
          <w:szCs w:val="16"/>
          <w:color w:val="auto"/>
        </w:rPr>
        <w:t>County of Salt Lake</w:t>
      </w:r>
      <w:r>
        <w:rPr>
          <w:sz w:val="20"/>
          <w:szCs w:val="20"/>
          <w:color w:val="auto"/>
        </w:rPr>
        <w:tab/>
      </w: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RUSSELL D. GENTNER, being first duly sworn upon oath, deposes and says that he is the President of Gentner Electronics Company herein; that he has read the above and foregoing Corrected Articles of Amendment of Articles to Incorporation of Gentner Electronics Company, formerly Insular, Inc., knows the contents thereof; and that the same are true of his own knowledge, except as to matters therein alleged upon information and belief and as to those matters he believes them to be true.</w:t>
      </w:r>
    </w:p>
    <w:p>
      <w:pPr>
        <w:spacing w:after="0" w:line="356" w:lineRule="exact"/>
        <w:rPr>
          <w:sz w:val="20"/>
          <w:szCs w:val="20"/>
          <w:color w:val="auto"/>
        </w:rPr>
      </w:pPr>
    </w:p>
    <w:p>
      <w:pPr>
        <w:ind w:left="5300"/>
        <w:spacing w:after="0"/>
        <w:rPr>
          <w:sz w:val="20"/>
          <w:szCs w:val="20"/>
          <w:color w:val="auto"/>
        </w:rPr>
      </w:pPr>
      <w:r>
        <w:rPr>
          <w:rFonts w:ascii="Courier New" w:cs="Courier New" w:eastAsia="Courier New" w:hAnsi="Courier New"/>
          <w:sz w:val="16"/>
          <w:szCs w:val="16"/>
          <w:color w:val="auto"/>
        </w:rPr>
        <w:t>/s/ Russell D. Gentner</w:t>
      </w:r>
    </w:p>
    <w:p>
      <w:pPr>
        <w:ind w:left="4640"/>
        <w:spacing w:after="0" w:line="236" w:lineRule="auto"/>
        <w:rPr>
          <w:sz w:val="20"/>
          <w:szCs w:val="20"/>
          <w:color w:val="auto"/>
        </w:rPr>
      </w:pPr>
      <w:r>
        <w:rPr>
          <w:rFonts w:ascii="Courier New" w:cs="Courier New" w:eastAsia="Courier New" w:hAnsi="Courier New"/>
          <w:sz w:val="16"/>
          <w:szCs w:val="16"/>
          <w:color w:val="auto"/>
        </w:rPr>
        <w:t>-----------------------------</w:t>
      </w:r>
    </w:p>
    <w:p>
      <w:pPr>
        <w:ind w:left="4640"/>
        <w:spacing w:after="0" w:line="237" w:lineRule="auto"/>
        <w:rPr>
          <w:sz w:val="20"/>
          <w:szCs w:val="20"/>
          <w:color w:val="auto"/>
        </w:rPr>
      </w:pPr>
      <w:r>
        <w:rPr>
          <w:rFonts w:ascii="Courier New" w:cs="Courier New" w:eastAsia="Courier New" w:hAnsi="Courier New"/>
          <w:sz w:val="16"/>
          <w:szCs w:val="16"/>
          <w:color w:val="auto"/>
        </w:rPr>
        <w:t>RUSSELL D. GENTNER</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SUBSCRIBED AND SWORN to before me this 10th day of September, 1986.</w:t>
      </w:r>
    </w:p>
    <w:p>
      <w:pPr>
        <w:sectPr>
          <w:pgSz w:w="11900" w:h="16838" w:orient="portrait"/>
          <w:cols w:equalWidth="0" w:num="1">
            <w:col w:w="10219"/>
          </w:cols>
          <w:pgMar w:left="240" w:top="136" w:right="1440" w:bottom="0" w:gutter="0" w:footer="0" w:header="0"/>
        </w:sectPr>
      </w:pP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My Commission Expires:</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/s/ Willie Steed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NOTARY PUBLIC</w:t>
      </w:r>
    </w:p>
    <w:p>
      <w:pPr>
        <w:sectPr>
          <w:pgSz w:w="11900" w:h="16838" w:orient="portrait"/>
          <w:cols w:equalWidth="0" w:num="2">
            <w:col w:w="3920" w:space="720"/>
            <w:col w:w="5579"/>
          </w:cols>
          <w:pgMar w:left="240" w:top="136" w:right="1440" w:bottom="0" w:gutter="0" w:footer="0" w:header="0"/>
          <w:type w:val="continuous"/>
        </w:sectPr>
      </w:pPr>
    </w:p>
    <w:bookmarkStart w:id="59" w:name="page60"/>
    <w:bookmarkEnd w:id="59"/>
    <w:p>
      <w:pPr>
        <w:ind w:left="640"/>
        <w:spacing w:after="0"/>
        <w:rPr>
          <w:sz w:val="20"/>
          <w:szCs w:val="20"/>
          <w:color w:val="auto"/>
        </w:rPr>
      </w:pPr>
      <w:r>
        <w:rPr>
          <w:rFonts w:ascii="Courier New" w:cs="Courier New" w:eastAsia="Courier New" w:hAnsi="Courier New"/>
          <w:sz w:val="16"/>
          <w:szCs w:val="16"/>
          <w:color w:val="auto"/>
        </w:rPr>
        <w:t>10-6-86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Residing at: Utah</w:t>
      </w:r>
    </w:p>
    <w:p>
      <w:pPr>
        <w:sectPr>
          <w:pgSz w:w="11900" w:h="16838" w:orient="portrait"/>
          <w:cols w:equalWidth="0" w:num="2">
            <w:col w:w="3920" w:space="720"/>
            <w:col w:w="5579"/>
          </w:cols>
          <w:pgMar w:left="240" w:top="135" w:right="1440" w:bottom="1440" w:gutter="0" w:footer="0" w:header="0"/>
        </w:sectPr>
      </w:pPr>
    </w:p>
    <w:bookmarkStart w:id="60" w:name="page61"/>
    <w:bookmarkEnd w:id="60"/>
    <w:p>
      <w:pPr>
        <w:ind w:left="3160"/>
        <w:spacing w:after="0"/>
        <w:rPr>
          <w:sz w:val="20"/>
          <w:szCs w:val="20"/>
          <w:color w:val="auto"/>
        </w:rPr>
      </w:pPr>
      <w:r>
        <w:rPr>
          <w:rFonts w:ascii="Courier New" w:cs="Courier New" w:eastAsia="Courier New" w:hAnsi="Courier New"/>
          <w:sz w:val="16"/>
          <w:szCs w:val="16"/>
          <w:color w:val="auto"/>
        </w:rPr>
        <w:t>VERIFICATION</w:t>
      </w:r>
    </w:p>
    <w:p>
      <w:pPr>
        <w:ind w:left="3160"/>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spacing w:after="0"/>
        <w:tabs>
          <w:tab w:leader="none" w:pos="2480" w:val="left"/>
        </w:tabs>
        <w:rPr>
          <w:sz w:val="20"/>
          <w:szCs w:val="20"/>
          <w:color w:val="auto"/>
        </w:rPr>
      </w:pPr>
      <w:r>
        <w:rPr>
          <w:rFonts w:ascii="Courier New" w:cs="Courier New" w:eastAsia="Courier New" w:hAnsi="Courier New"/>
          <w:sz w:val="16"/>
          <w:szCs w:val="16"/>
          <w:color w:val="auto"/>
        </w:rPr>
        <w:t>Sate of Utah</w:t>
      </w:r>
      <w:r>
        <w:rPr>
          <w:sz w:val="20"/>
          <w:szCs w:val="20"/>
          <w:color w:val="auto"/>
        </w:rPr>
        <w:tab/>
      </w:r>
      <w:r>
        <w:rPr>
          <w:rFonts w:ascii="Courier New" w:cs="Courier New" w:eastAsia="Courier New" w:hAnsi="Courier New"/>
          <w:sz w:val="16"/>
          <w:szCs w:val="16"/>
          <w:color w:val="auto"/>
        </w:rPr>
        <w:t>)</w:t>
      </w:r>
    </w:p>
    <w:p>
      <w:pPr>
        <w:ind w:left="2780" w:hanging="273"/>
        <w:spacing w:after="0" w:line="236" w:lineRule="auto"/>
        <w:tabs>
          <w:tab w:leader="none" w:pos="278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ss.</w:t>
      </w:r>
    </w:p>
    <w:p>
      <w:pPr>
        <w:spacing w:after="0" w:line="237" w:lineRule="auto"/>
        <w:tabs>
          <w:tab w:leader="none" w:pos="2480" w:val="left"/>
        </w:tabs>
        <w:rPr>
          <w:sz w:val="20"/>
          <w:szCs w:val="20"/>
          <w:color w:val="auto"/>
        </w:rPr>
      </w:pPr>
      <w:r>
        <w:rPr>
          <w:rFonts w:ascii="Courier New" w:cs="Courier New" w:eastAsia="Courier New" w:hAnsi="Courier New"/>
          <w:sz w:val="16"/>
          <w:szCs w:val="16"/>
          <w:color w:val="auto"/>
        </w:rPr>
        <w:t>County of Salt Lake</w:t>
      </w:r>
      <w:r>
        <w:rPr>
          <w:sz w:val="20"/>
          <w:szCs w:val="20"/>
          <w:color w:val="auto"/>
        </w:rPr>
        <w:tab/>
      </w: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WILLIAM H. GILLMAN, being first duly sworn upon oath, deposes and says that he is the President of Gentner Electronics Company herein; that he has read the above and foregoing Corrected Articles of Amendment of Articles to Incorporation of Gentner Electronics Company, formerly Insular, Inc., knows the contents thereof; and that the same are true of his own knowledge, except as to matters therein alleged upon information and belief and as to those matters he believes them to be true.</w:t>
      </w:r>
    </w:p>
    <w:p>
      <w:pPr>
        <w:spacing w:after="0" w:line="356" w:lineRule="exact"/>
        <w:rPr>
          <w:sz w:val="20"/>
          <w:szCs w:val="20"/>
          <w:color w:val="auto"/>
        </w:rPr>
      </w:pPr>
    </w:p>
    <w:p>
      <w:pPr>
        <w:ind w:left="5200"/>
        <w:spacing w:after="0"/>
        <w:rPr>
          <w:sz w:val="20"/>
          <w:szCs w:val="20"/>
          <w:color w:val="auto"/>
        </w:rPr>
      </w:pPr>
      <w:r>
        <w:rPr>
          <w:rFonts w:ascii="Courier New" w:cs="Courier New" w:eastAsia="Courier New" w:hAnsi="Courier New"/>
          <w:sz w:val="16"/>
          <w:szCs w:val="16"/>
          <w:color w:val="auto"/>
        </w:rPr>
        <w:t>/s/ William H. Gillman</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WILLIAM H. GILLMAN</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SUBSCRIBED AND SWORN to before me this 10th day of September, 1986.</w:t>
      </w:r>
    </w:p>
    <w:p>
      <w:pPr>
        <w:sectPr>
          <w:pgSz w:w="11900" w:h="16838" w:orient="portrait"/>
          <w:cols w:equalWidth="0" w:num="1">
            <w:col w:w="10219"/>
          </w:cols>
          <w:pgMar w:left="240" w:top="827" w:right="1440" w:bottom="1440" w:gutter="0" w:footer="0" w:header="0"/>
        </w:sectPr>
      </w:pP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My Commission Expires:</w:t>
      </w:r>
    </w:p>
    <w:p>
      <w:pPr>
        <w:spacing w:after="0" w:line="355"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10-6-85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/s/ Willie Steed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NOTARY PUBLIC</w:t>
      </w:r>
    </w:p>
    <w:p>
      <w:pPr>
        <w:spacing w:after="0" w:line="236" w:lineRule="auto"/>
        <w:rPr>
          <w:sz w:val="20"/>
          <w:szCs w:val="20"/>
          <w:color w:val="auto"/>
        </w:rPr>
      </w:pPr>
      <w:r>
        <w:rPr>
          <w:rFonts w:ascii="Courier New" w:cs="Courier New" w:eastAsia="Courier New" w:hAnsi="Courier New"/>
          <w:sz w:val="16"/>
          <w:szCs w:val="16"/>
          <w:color w:val="auto"/>
        </w:rPr>
        <w:t>Residing at: Utah</w:t>
      </w:r>
    </w:p>
    <w:p>
      <w:pPr>
        <w:sectPr>
          <w:pgSz w:w="11900" w:h="16838" w:orient="portrait"/>
          <w:cols w:equalWidth="0" w:num="2">
            <w:col w:w="3920" w:space="720"/>
            <w:col w:w="5579"/>
          </w:cols>
          <w:pgMar w:left="240" w:top="827" w:right="1440" w:bottom="1440" w:gutter="0" w:footer="0" w:header="0"/>
          <w:type w:val="continuous"/>
        </w:sectPr>
      </w:pPr>
    </w:p>
    <w:bookmarkStart w:id="61" w:name="page62"/>
    <w:bookmarkEnd w:id="61"/>
    <w:p>
      <w:pPr>
        <w:jc w:val="right"/>
        <w:ind w:right="2779"/>
        <w:spacing w:after="0"/>
        <w:rPr>
          <w:sz w:val="20"/>
          <w:szCs w:val="20"/>
          <w:color w:val="auto"/>
        </w:rPr>
      </w:pPr>
      <w:r>
        <w:rPr>
          <w:rFonts w:ascii="Courier New" w:cs="Courier New" w:eastAsia="Courier New" w:hAnsi="Courier New"/>
          <w:sz w:val="16"/>
          <w:szCs w:val="16"/>
          <w:color w:val="auto"/>
        </w:rPr>
        <w:t>Exhibit 3.4</w:t>
      </w:r>
    </w:p>
    <w:p>
      <w:pPr>
        <w:spacing w:after="0" w:line="177"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ARTICLES OF AMENDMENT</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TO</w:t>
      </w:r>
    </w:p>
    <w:p>
      <w:pPr>
        <w:spacing w:after="0" w:line="177"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ARTICLES OF INCORPORATION</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OF</w:t>
      </w:r>
    </w:p>
    <w:p>
      <w:pPr>
        <w:spacing w:after="0" w:line="177"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GENTNER ELECTRONICS CORPORATION</w:t>
      </w:r>
    </w:p>
    <w:p>
      <w:pPr>
        <w:spacing w:after="0" w:line="362" w:lineRule="exact"/>
        <w:rPr>
          <w:sz w:val="20"/>
          <w:szCs w:val="20"/>
          <w:color w:val="auto"/>
        </w:rPr>
      </w:pPr>
    </w:p>
    <w:p>
      <w:pPr>
        <w:ind w:right="2959" w:firstLine="837"/>
        <w:spacing w:after="0" w:line="235" w:lineRule="auto"/>
        <w:rPr>
          <w:sz w:val="20"/>
          <w:szCs w:val="20"/>
          <w:color w:val="auto"/>
        </w:rPr>
      </w:pPr>
      <w:r>
        <w:rPr>
          <w:rFonts w:ascii="Courier New" w:cs="Courier New" w:eastAsia="Courier New" w:hAnsi="Courier New"/>
          <w:sz w:val="16"/>
          <w:szCs w:val="16"/>
          <w:color w:val="auto"/>
        </w:rPr>
        <w:t>The undersigned, being the President and Secretary of respectively of Gentner Electronics Corporation (the "Company"), a Utah corporation, hereby verify the following:</w:t>
      </w:r>
    </w:p>
    <w:p>
      <w:pPr>
        <w:spacing w:after="0" w:line="177" w:lineRule="exact"/>
        <w:rPr>
          <w:sz w:val="20"/>
          <w:szCs w:val="20"/>
          <w:color w:val="auto"/>
        </w:rPr>
      </w:pPr>
    </w:p>
    <w:p>
      <w:pPr>
        <w:ind w:left="1120" w:hanging="287"/>
        <w:spacing w:after="0"/>
        <w:tabs>
          <w:tab w:leader="none" w:pos="11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name of the Company is Gentner Electronics Corporation;</w:t>
      </w:r>
    </w:p>
    <w:p>
      <w:pPr>
        <w:spacing w:after="0" w:line="182" w:lineRule="exact"/>
        <w:rPr>
          <w:rFonts w:ascii="Courier New" w:cs="Courier New" w:eastAsia="Courier New" w:hAnsi="Courier New"/>
          <w:sz w:val="16"/>
          <w:szCs w:val="16"/>
          <w:color w:val="auto"/>
        </w:rPr>
      </w:pPr>
    </w:p>
    <w:p>
      <w:pPr>
        <w:ind w:right="2959" w:firstLine="833"/>
        <w:spacing w:after="0" w:line="235" w:lineRule="auto"/>
        <w:tabs>
          <w:tab w:leader="none" w:pos="1116"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Article I of the Articles of Incorporation of the Company has been amended to read in its entirety as follows: "The name of the Corporation is Gentner Communications Corporation."</w:t>
      </w:r>
    </w:p>
    <w:p>
      <w:pPr>
        <w:spacing w:after="0" w:line="177" w:lineRule="exact"/>
        <w:rPr>
          <w:rFonts w:ascii="Courier New" w:cs="Courier New" w:eastAsia="Courier New" w:hAnsi="Courier New"/>
          <w:sz w:val="16"/>
          <w:szCs w:val="16"/>
          <w:color w:val="auto"/>
        </w:rPr>
      </w:pPr>
    </w:p>
    <w:p>
      <w:pPr>
        <w:ind w:left="1120" w:hanging="287"/>
        <w:spacing w:after="0"/>
        <w:tabs>
          <w:tab w:leader="none" w:pos="11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amendment was adopted by the shareholders on July 1, 1991.</w:t>
      </w:r>
    </w:p>
    <w:p>
      <w:pPr>
        <w:spacing w:after="0" w:line="182" w:lineRule="exact"/>
        <w:rPr>
          <w:rFonts w:ascii="Courier New" w:cs="Courier New" w:eastAsia="Courier New" w:hAnsi="Courier New"/>
          <w:sz w:val="16"/>
          <w:szCs w:val="16"/>
          <w:color w:val="auto"/>
        </w:rPr>
      </w:pPr>
    </w:p>
    <w:p>
      <w:pPr>
        <w:ind w:right="2879" w:firstLine="833"/>
        <w:spacing w:after="0" w:line="235" w:lineRule="auto"/>
        <w:tabs>
          <w:tab w:leader="none" w:pos="1116"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of common stock that were outstanding on July 1, 1991 was 2,979,400 shares, all of which shares were entitled to vote on this amendment.</w:t>
      </w:r>
    </w:p>
    <w:p>
      <w:pPr>
        <w:spacing w:after="0" w:line="183" w:lineRule="exact"/>
        <w:rPr>
          <w:rFonts w:ascii="Courier New" w:cs="Courier New" w:eastAsia="Courier New" w:hAnsi="Courier New"/>
          <w:sz w:val="16"/>
          <w:szCs w:val="16"/>
          <w:color w:val="auto"/>
        </w:rPr>
      </w:pPr>
    </w:p>
    <w:p>
      <w:pPr>
        <w:ind w:right="3059" w:firstLine="833"/>
        <w:spacing w:after="0" w:line="235" w:lineRule="auto"/>
        <w:tabs>
          <w:tab w:leader="none" w:pos="1116"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that were voted for this amendment was 2,076,473 shares. The number of shares that were voted against this amendment were 0 shares.</w:t>
      </w:r>
    </w:p>
    <w:p>
      <w:pPr>
        <w:spacing w:after="0" w:line="183" w:lineRule="exact"/>
        <w:rPr>
          <w:sz w:val="20"/>
          <w:szCs w:val="20"/>
          <w:color w:val="auto"/>
        </w:rPr>
      </w:pPr>
    </w:p>
    <w:p>
      <w:pPr>
        <w:ind w:right="2959" w:firstLine="837"/>
        <w:spacing w:after="0" w:line="283" w:lineRule="auto"/>
        <w:rPr>
          <w:sz w:val="20"/>
          <w:szCs w:val="20"/>
          <w:color w:val="auto"/>
        </w:rPr>
      </w:pPr>
      <w:r>
        <w:rPr>
          <w:rFonts w:ascii="Courier New" w:cs="Courier New" w:eastAsia="Courier New" w:hAnsi="Courier New"/>
          <w:sz w:val="14"/>
          <w:szCs w:val="14"/>
          <w:color w:val="auto"/>
        </w:rPr>
        <w:t>IN WITNESS WHEREOF, these Articles of Amendment have been executed on this 1st day of July, 1991, and the President and Secretary each verify that they have each read these Articles of Amendment and that the same are true.</w:t>
      </w:r>
    </w:p>
    <w:p>
      <w:pPr>
        <w:spacing w:after="0" w:line="200" w:lineRule="exact"/>
        <w:rPr>
          <w:sz w:val="20"/>
          <w:szCs w:val="20"/>
          <w:color w:val="auto"/>
        </w:rPr>
      </w:pPr>
    </w:p>
    <w:p>
      <w:pPr>
        <w:spacing w:after="0" w:line="306" w:lineRule="exact"/>
        <w:rPr>
          <w:sz w:val="20"/>
          <w:szCs w:val="20"/>
          <w:color w:val="auto"/>
        </w:rPr>
      </w:pPr>
    </w:p>
    <w:p>
      <w:pPr>
        <w:ind w:left="4000"/>
        <w:spacing w:after="0"/>
        <w:tabs>
          <w:tab w:leader="none" w:pos="444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4"/>
          <w:szCs w:val="14"/>
          <w:color w:val="auto"/>
        </w:rPr>
        <w:t>/s/ William V. Trowbridge, Jr.</w:t>
      </w:r>
    </w:p>
    <w:p>
      <w:pPr>
        <w:spacing w:after="0" w:line="4" w:lineRule="exact"/>
        <w:rPr>
          <w:sz w:val="20"/>
          <w:szCs w:val="20"/>
          <w:color w:val="auto"/>
        </w:rPr>
      </w:pPr>
    </w:p>
    <w:p>
      <w:pPr>
        <w:ind w:left="42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William V. Trowbridge, Jr.</w:t>
      </w:r>
    </w:p>
    <w:p>
      <w:pPr>
        <w:ind w:left="4460"/>
        <w:spacing w:after="0" w:line="236" w:lineRule="auto"/>
        <w:rPr>
          <w:sz w:val="20"/>
          <w:szCs w:val="20"/>
          <w:color w:val="auto"/>
        </w:rPr>
      </w:pPr>
      <w:r>
        <w:rPr>
          <w:rFonts w:ascii="Courier New" w:cs="Courier New" w:eastAsia="Courier New" w:hAnsi="Courier New"/>
          <w:sz w:val="16"/>
          <w:szCs w:val="16"/>
          <w:color w:val="auto"/>
        </w:rPr>
        <w:t>President</w:t>
      </w:r>
    </w:p>
    <w:p>
      <w:pPr>
        <w:spacing w:after="0" w:line="200" w:lineRule="exact"/>
        <w:rPr>
          <w:sz w:val="20"/>
          <w:szCs w:val="20"/>
          <w:color w:val="auto"/>
        </w:rPr>
      </w:pPr>
    </w:p>
    <w:p>
      <w:pPr>
        <w:spacing w:after="0" w:line="335" w:lineRule="exact"/>
        <w:rPr>
          <w:sz w:val="20"/>
          <w:szCs w:val="20"/>
          <w:color w:val="auto"/>
        </w:rPr>
      </w:pPr>
    </w:p>
    <w:p>
      <w:pPr>
        <w:jc w:val="center"/>
        <w:spacing w:after="0"/>
        <w:tabs>
          <w:tab w:leader="none" w:pos="16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4"/>
          <w:szCs w:val="14"/>
          <w:color w:val="auto"/>
        </w:rPr>
        <w:t>/s/ David L. Harmon</w:t>
      </w:r>
    </w:p>
    <w:p>
      <w:pPr>
        <w:spacing w:after="0" w:line="4" w:lineRule="exact"/>
        <w:rPr>
          <w:sz w:val="20"/>
          <w:szCs w:val="20"/>
          <w:color w:val="auto"/>
        </w:rPr>
      </w:pPr>
    </w:p>
    <w:p>
      <w:pPr>
        <w:ind w:left="42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David L. Harmon</w:t>
      </w:r>
    </w:p>
    <w:p>
      <w:pPr>
        <w:ind w:left="4460"/>
        <w:spacing w:after="0" w:line="236" w:lineRule="auto"/>
        <w:rPr>
          <w:sz w:val="20"/>
          <w:szCs w:val="20"/>
          <w:color w:val="auto"/>
        </w:rPr>
      </w:pPr>
      <w:r>
        <w:rPr>
          <w:rFonts w:ascii="Courier New" w:cs="Courier New" w:eastAsia="Courier New" w:hAnsi="Courier New"/>
          <w:sz w:val="16"/>
          <w:szCs w:val="16"/>
          <w:color w:val="auto"/>
        </w:rPr>
        <w:t>Secretary</w:t>
      </w:r>
    </w:p>
    <w:p>
      <w:pPr>
        <w:sectPr>
          <w:pgSz w:w="11900" w:h="16838" w:orient="portrait"/>
          <w:cols w:equalWidth="0" w:num="1">
            <w:col w:w="10219"/>
          </w:cols>
          <w:pgMar w:left="240" w:top="136" w:right="1440" w:bottom="1440" w:gutter="0" w:footer="0" w:header="0"/>
        </w:sectPr>
      </w:pPr>
    </w:p>
    <w:bookmarkStart w:id="62" w:name="page63"/>
    <w:bookmarkEnd w:id="62"/>
    <w:p>
      <w:pPr>
        <w:jc w:val="right"/>
        <w:ind w:right="2779"/>
        <w:spacing w:after="0"/>
        <w:rPr>
          <w:sz w:val="20"/>
          <w:szCs w:val="20"/>
          <w:color w:val="auto"/>
        </w:rPr>
      </w:pPr>
      <w:r>
        <w:rPr>
          <w:rFonts w:ascii="Courier New" w:cs="Courier New" w:eastAsia="Courier New" w:hAnsi="Courier New"/>
          <w:sz w:val="16"/>
          <w:szCs w:val="16"/>
          <w:color w:val="auto"/>
        </w:rPr>
        <w:t>Exhibit 3.5</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ARTICLES OF AMENDMENT TO</w:t>
      </w:r>
    </w:p>
    <w:p>
      <w:pPr>
        <w:spacing w:after="0" w:line="177"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THE ARTICLES OF INCORPORATION</w:t>
      </w:r>
    </w:p>
    <w:p>
      <w:pPr>
        <w:spacing w:after="0" w:line="177"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OF GENTNER COMMUNICATIONS CORPORATION</w:t>
      </w:r>
    </w:p>
    <w:p>
      <w:pPr>
        <w:spacing w:after="0" w:line="177"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(hereafter ClearOne Communications, Inc.)</w:t>
      </w:r>
    </w:p>
    <w:p>
      <w:pPr>
        <w:spacing w:after="0" w:line="362" w:lineRule="exact"/>
        <w:rPr>
          <w:sz w:val="20"/>
          <w:szCs w:val="20"/>
          <w:color w:val="auto"/>
        </w:rPr>
      </w:pPr>
    </w:p>
    <w:p>
      <w:pPr>
        <w:ind w:right="3059" w:firstLine="837"/>
        <w:spacing w:after="0" w:line="235" w:lineRule="auto"/>
        <w:rPr>
          <w:sz w:val="20"/>
          <w:szCs w:val="20"/>
          <w:color w:val="auto"/>
        </w:rPr>
      </w:pPr>
      <w:r>
        <w:rPr>
          <w:rFonts w:ascii="Courier New" w:cs="Courier New" w:eastAsia="Courier New" w:hAnsi="Courier New"/>
          <w:sz w:val="16"/>
          <w:szCs w:val="16"/>
          <w:color w:val="auto"/>
        </w:rPr>
        <w:t>Pursuant to Sections 16-10a-1003 and 16-10a-1006 of the Utah Revised Business Corporation Act, the undersigned, James A. Valeo, being the Vice President of Gentner Communications Corporation, a Utah corporation (the "Corporation"), hereby certifies the following:</w:t>
      </w:r>
    </w:p>
    <w:p>
      <w:pPr>
        <w:spacing w:after="0" w:line="185" w:lineRule="exact"/>
        <w:rPr>
          <w:sz w:val="20"/>
          <w:szCs w:val="20"/>
          <w:color w:val="auto"/>
        </w:rPr>
      </w:pPr>
    </w:p>
    <w:p>
      <w:pPr>
        <w:ind w:left="640" w:right="2779" w:hanging="272"/>
        <w:spacing w:after="0" w:line="234" w:lineRule="auto"/>
        <w:tabs>
          <w:tab w:leader="none" w:pos="64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Articles I of the Articles of Incorporation of the Corporation is deleted in its entirety and the following is substituted therefore:</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ARTICLES I</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NAME</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The name of this corporation is ClearOne Communications Inc.</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[End of Article I]</w:t>
      </w:r>
    </w:p>
    <w:p>
      <w:pPr>
        <w:spacing w:after="0" w:line="183" w:lineRule="exact"/>
        <w:rPr>
          <w:sz w:val="20"/>
          <w:szCs w:val="20"/>
          <w:color w:val="auto"/>
        </w:rPr>
      </w:pPr>
    </w:p>
    <w:p>
      <w:pPr>
        <w:ind w:left="640" w:right="2879" w:hanging="272"/>
        <w:spacing w:after="0" w:line="235" w:lineRule="auto"/>
        <w:tabs>
          <w:tab w:leader="none" w:pos="64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Amendment to the Articles of Incorporation (the "Amendment") was adopted (i) by the Board of Directors of the Corporation as of September 17, 2001, and (ii) with the recommendation of the Board of Directors, at a meeting of the shareholders of the Corporation held on November 14, 2001.</w:t>
      </w:r>
    </w:p>
    <w:p>
      <w:pPr>
        <w:spacing w:after="0" w:line="185" w:lineRule="exact"/>
        <w:rPr>
          <w:rFonts w:ascii="Courier New" w:cs="Courier New" w:eastAsia="Courier New" w:hAnsi="Courier New"/>
          <w:sz w:val="16"/>
          <w:szCs w:val="16"/>
          <w:color w:val="auto"/>
        </w:rPr>
      </w:pPr>
    </w:p>
    <w:p>
      <w:pPr>
        <w:ind w:left="640" w:right="2779" w:hanging="272"/>
        <w:spacing w:after="0" w:line="236" w:lineRule="auto"/>
        <w:tabs>
          <w:tab w:leader="none" w:pos="64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date of the record date for the shareholders meeting referenced in paragraph 2, the Corporation had 8,628,478 shares of outstanding Common Stock all of which were entitled to vote on the above noted Amendment and 5,544,252 of which were indisputably present at the shareholder's meeting at which the vote was taken. Common Stock is the only class of stock of the Corporation. The Amendment was approved, receiving 5,468,778 votes, which constituted a majority of the outstanding shares of Common Stock of the Corporation.</w:t>
      </w:r>
    </w:p>
    <w:p>
      <w:pPr>
        <w:spacing w:after="0" w:line="184" w:lineRule="exact"/>
        <w:rPr>
          <w:rFonts w:ascii="Courier New" w:cs="Courier New" w:eastAsia="Courier New" w:hAnsi="Courier New"/>
          <w:sz w:val="16"/>
          <w:szCs w:val="16"/>
          <w:color w:val="auto"/>
        </w:rPr>
      </w:pPr>
    </w:p>
    <w:p>
      <w:pPr>
        <w:ind w:left="640" w:right="2779" w:hanging="272"/>
        <w:spacing w:after="0" w:line="234" w:lineRule="auto"/>
        <w:tabs>
          <w:tab w:leader="none" w:pos="64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Articles of Amendment to the Articles of Incorporation shall become effective on January 1, 2002.</w:t>
      </w:r>
    </w:p>
    <w:p>
      <w:pPr>
        <w:spacing w:after="0" w:line="183" w:lineRule="exact"/>
        <w:rPr>
          <w:sz w:val="20"/>
          <w:szCs w:val="20"/>
          <w:color w:val="auto"/>
        </w:rPr>
      </w:pPr>
    </w:p>
    <w:p>
      <w:pPr>
        <w:jc w:val="both"/>
        <w:ind w:right="3239" w:firstLine="837"/>
        <w:spacing w:after="0" w:line="235" w:lineRule="auto"/>
        <w:rPr>
          <w:sz w:val="20"/>
          <w:szCs w:val="20"/>
          <w:color w:val="auto"/>
        </w:rPr>
      </w:pPr>
      <w:r>
        <w:rPr>
          <w:rFonts w:ascii="Courier New" w:cs="Courier New" w:eastAsia="Courier New" w:hAnsi="Courier New"/>
          <w:sz w:val="16"/>
          <w:szCs w:val="16"/>
          <w:color w:val="auto"/>
        </w:rPr>
        <w:t>IN WITNESS WHEREOF, the undersigned has executed these Articles of Amendment to the Articles of Incorporation as of this 12th day of December, 2001.</w:t>
      </w:r>
    </w:p>
    <w:p>
      <w:pPr>
        <w:spacing w:after="0" w:line="17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GENTNER COMMUNICATIONS</w:t>
      </w:r>
    </w:p>
    <w:p>
      <w:pPr>
        <w:ind w:left="3900"/>
        <w:spacing w:after="0" w:line="236" w:lineRule="auto"/>
        <w:rPr>
          <w:sz w:val="20"/>
          <w:szCs w:val="20"/>
          <w:color w:val="auto"/>
        </w:rPr>
      </w:pPr>
      <w:r>
        <w:rPr>
          <w:rFonts w:ascii="Courier New" w:cs="Courier New" w:eastAsia="Courier New" w:hAnsi="Courier New"/>
          <w:sz w:val="16"/>
          <w:szCs w:val="16"/>
          <w:color w:val="auto"/>
        </w:rPr>
        <w:t>CORPORATION, a Utah corporation</w:t>
      </w:r>
    </w:p>
    <w:p>
      <w:pPr>
        <w:spacing w:after="0" w:line="356" w:lineRule="exact"/>
        <w:rPr>
          <w:sz w:val="20"/>
          <w:szCs w:val="20"/>
          <w:color w:val="auto"/>
        </w:rPr>
      </w:pPr>
    </w:p>
    <w:p>
      <w:pPr>
        <w:jc w:val="center"/>
        <w:ind w:right="-1120"/>
        <w:spacing w:after="0"/>
        <w:tabs>
          <w:tab w:leader="none" w:pos="160" w:val="left"/>
        </w:tabs>
        <w:rPr>
          <w:sz w:val="20"/>
          <w:szCs w:val="20"/>
          <w:color w:val="auto"/>
        </w:rPr>
      </w:pPr>
      <w:r>
        <w:rPr>
          <w:rFonts w:ascii="Courier New" w:cs="Courier New" w:eastAsia="Courier New" w:hAnsi="Courier New"/>
          <w:sz w:val="16"/>
          <w:szCs w:val="16"/>
          <w:color w:val="auto"/>
        </w:rPr>
        <w:t>By:</w:t>
        <w:tab/>
        <w:t>/s/ James A. Valeo</w:t>
      </w:r>
    </w:p>
    <w:p>
      <w:pPr>
        <w:ind w:left="4180"/>
        <w:spacing w:after="0" w:line="236" w:lineRule="auto"/>
        <w:rPr>
          <w:sz w:val="20"/>
          <w:szCs w:val="20"/>
          <w:color w:val="auto"/>
        </w:rPr>
      </w:pPr>
      <w:r>
        <w:rPr>
          <w:rFonts w:ascii="Courier New" w:cs="Courier New" w:eastAsia="Courier New" w:hAnsi="Courier New"/>
          <w:sz w:val="16"/>
          <w:szCs w:val="16"/>
          <w:color w:val="auto"/>
        </w:rPr>
        <w:t>--------------------------------</w:t>
      </w:r>
    </w:p>
    <w:p>
      <w:pPr>
        <w:ind w:left="4460"/>
        <w:spacing w:after="0" w:line="237" w:lineRule="auto"/>
        <w:rPr>
          <w:sz w:val="20"/>
          <w:szCs w:val="20"/>
          <w:color w:val="auto"/>
        </w:rPr>
      </w:pPr>
      <w:r>
        <w:rPr>
          <w:rFonts w:ascii="Courier New" w:cs="Courier New" w:eastAsia="Courier New" w:hAnsi="Courier New"/>
          <w:sz w:val="16"/>
          <w:szCs w:val="16"/>
          <w:color w:val="auto"/>
        </w:rPr>
        <w:t>James A. Valeo, Vice President</w:t>
      </w:r>
    </w:p>
    <w:p>
      <w:pPr>
        <w:sectPr>
          <w:pgSz w:w="11900" w:h="16838" w:orient="portrait"/>
          <w:cols w:equalWidth="0" w:num="1">
            <w:col w:w="10219"/>
          </w:cols>
          <w:pgMar w:left="240" w:top="135" w:right="1440" w:bottom="1440" w:gutter="0" w:footer="0" w:header="0"/>
        </w:sectPr>
      </w:pPr>
    </w:p>
    <w:bookmarkStart w:id="63" w:name="page64"/>
    <w:bookmarkEnd w:id="63"/>
    <w:p>
      <w:pPr>
        <w:jc w:val="right"/>
        <w:ind w:right="2779"/>
        <w:spacing w:after="0"/>
        <w:rPr>
          <w:sz w:val="20"/>
          <w:szCs w:val="20"/>
          <w:color w:val="auto"/>
        </w:rPr>
      </w:pPr>
      <w:r>
        <w:rPr>
          <w:rFonts w:ascii="Courier New" w:cs="Courier New" w:eastAsia="Courier New" w:hAnsi="Courier New"/>
          <w:sz w:val="16"/>
          <w:szCs w:val="16"/>
          <w:color w:val="auto"/>
        </w:rPr>
        <w:t>Exhibit 3.6</w:t>
      </w:r>
    </w:p>
    <w:p>
      <w:pPr>
        <w:spacing w:after="0" w:line="177" w:lineRule="exact"/>
        <w:rPr>
          <w:sz w:val="20"/>
          <w:szCs w:val="20"/>
          <w:color w:val="auto"/>
        </w:rPr>
      </w:pPr>
    </w:p>
    <w:p>
      <w:pPr>
        <w:ind w:left="2145"/>
        <w:spacing w:after="0"/>
        <w:rPr>
          <w:sz w:val="20"/>
          <w:szCs w:val="20"/>
          <w:color w:val="auto"/>
        </w:rPr>
      </w:pPr>
      <w:r>
        <w:rPr>
          <w:rFonts w:ascii="Courier New" w:cs="Courier New" w:eastAsia="Courier New" w:hAnsi="Courier New"/>
          <w:sz w:val="16"/>
          <w:szCs w:val="16"/>
          <w:color w:val="auto"/>
        </w:rPr>
        <w:t>Gentner Communications Corporation</w:t>
      </w:r>
    </w:p>
    <w:p>
      <w:pPr>
        <w:ind w:left="2145"/>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3445"/>
        <w:spacing w:after="0"/>
        <w:rPr>
          <w:sz w:val="20"/>
          <w:szCs w:val="20"/>
          <w:color w:val="auto"/>
        </w:rPr>
      </w:pPr>
      <w:r>
        <w:rPr>
          <w:rFonts w:ascii="Courier New" w:cs="Courier New" w:eastAsia="Courier New" w:hAnsi="Courier New"/>
          <w:sz w:val="16"/>
          <w:szCs w:val="16"/>
          <w:color w:val="auto"/>
        </w:rPr>
        <w:t>BYLAWS</w:t>
      </w:r>
    </w:p>
    <w:p>
      <w:pPr>
        <w:ind w:left="3445"/>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1765"/>
        <w:spacing w:after="0"/>
        <w:rPr>
          <w:sz w:val="20"/>
          <w:szCs w:val="20"/>
          <w:color w:val="auto"/>
        </w:rPr>
      </w:pPr>
      <w:r>
        <w:rPr>
          <w:rFonts w:ascii="Courier New" w:cs="Courier New" w:eastAsia="Courier New" w:hAnsi="Courier New"/>
          <w:sz w:val="16"/>
          <w:szCs w:val="16"/>
          <w:color w:val="auto"/>
        </w:rPr>
        <w:t>Adopted by Resolution dated August 24, 1993</w:t>
      </w:r>
    </w:p>
    <w:p>
      <w:pPr>
        <w:spacing w:after="0" w:line="200" w:lineRule="exact"/>
        <w:rPr>
          <w:sz w:val="20"/>
          <w:szCs w:val="20"/>
          <w:color w:val="auto"/>
        </w:rPr>
      </w:pPr>
    </w:p>
    <w:p>
      <w:pPr>
        <w:spacing w:after="0" w:line="334" w:lineRule="exact"/>
        <w:rPr>
          <w:sz w:val="20"/>
          <w:szCs w:val="20"/>
          <w:color w:val="auto"/>
        </w:rPr>
      </w:pPr>
    </w:p>
    <w:p>
      <w:pPr>
        <w:jc w:val="center"/>
        <w:ind w:right="2775"/>
        <w:spacing w:after="0"/>
        <w:rPr>
          <w:sz w:val="20"/>
          <w:szCs w:val="20"/>
          <w:color w:val="auto"/>
        </w:rPr>
      </w:pPr>
      <w:r>
        <w:rPr>
          <w:rFonts w:ascii="Courier New" w:cs="Courier New" w:eastAsia="Courier New" w:hAnsi="Courier New"/>
          <w:sz w:val="16"/>
          <w:szCs w:val="16"/>
          <w:color w:val="auto"/>
        </w:rPr>
        <w:t>ARTICLE I. OFFICES</w:t>
      </w:r>
    </w:p>
    <w:p>
      <w:pPr>
        <w:spacing w:after="0" w:line="183" w:lineRule="exact"/>
        <w:rPr>
          <w:sz w:val="20"/>
          <w:szCs w:val="20"/>
          <w:color w:val="auto"/>
        </w:rPr>
      </w:pPr>
    </w:p>
    <w:p>
      <w:pPr>
        <w:ind w:left="5" w:right="2879" w:firstLine="465"/>
        <w:spacing w:after="0" w:line="279" w:lineRule="auto"/>
        <w:rPr>
          <w:sz w:val="20"/>
          <w:szCs w:val="20"/>
          <w:color w:val="auto"/>
        </w:rPr>
      </w:pPr>
      <w:r>
        <w:rPr>
          <w:rFonts w:ascii="Courier New" w:cs="Courier New" w:eastAsia="Courier New" w:hAnsi="Courier New"/>
          <w:sz w:val="14"/>
          <w:szCs w:val="14"/>
          <w:color w:val="auto"/>
        </w:rPr>
        <w:t>1.1 Business Offices. The principal office of the corporation shall be located in such place as shall be designated by the board of directors. The corporation may have such other offices as the board of directors may designate or as the business of the corporation may require from time to time.</w:t>
      </w:r>
    </w:p>
    <w:p>
      <w:pPr>
        <w:spacing w:after="0" w:line="157"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1.2 Registered Office. The registered office of the corporation required to be kept by the Utah Revised Business Corporation Act (as it may be amended from time to time, the "Act") shall be located within the State of Utah and may be, but need not be, identical with the principal office. The address of the registered office may be changed from time to time.</w:t>
      </w:r>
    </w:p>
    <w:p>
      <w:pPr>
        <w:spacing w:after="0" w:line="180" w:lineRule="exact"/>
        <w:rPr>
          <w:sz w:val="20"/>
          <w:szCs w:val="20"/>
          <w:color w:val="auto"/>
        </w:rPr>
      </w:pPr>
    </w:p>
    <w:p>
      <w:pPr>
        <w:ind w:left="2605"/>
        <w:spacing w:after="0"/>
        <w:rPr>
          <w:sz w:val="20"/>
          <w:szCs w:val="20"/>
          <w:color w:val="auto"/>
        </w:rPr>
      </w:pPr>
      <w:r>
        <w:rPr>
          <w:rFonts w:ascii="Courier New" w:cs="Courier New" w:eastAsia="Courier New" w:hAnsi="Courier New"/>
          <w:sz w:val="16"/>
          <w:szCs w:val="16"/>
          <w:color w:val="auto"/>
        </w:rPr>
        <w:t>ARTICLE II. SHAREHOLDERS</w:t>
      </w:r>
    </w:p>
    <w:p>
      <w:pPr>
        <w:spacing w:after="0" w:line="183" w:lineRule="exact"/>
        <w:rPr>
          <w:sz w:val="20"/>
          <w:szCs w:val="20"/>
          <w:color w:val="auto"/>
        </w:rPr>
      </w:pPr>
    </w:p>
    <w:p>
      <w:pPr>
        <w:jc w:val="both"/>
        <w:ind w:left="5" w:right="2779" w:firstLine="465"/>
        <w:spacing w:after="0" w:line="235" w:lineRule="auto"/>
        <w:rPr>
          <w:sz w:val="20"/>
          <w:szCs w:val="20"/>
          <w:color w:val="auto"/>
        </w:rPr>
      </w:pPr>
      <w:r>
        <w:rPr>
          <w:rFonts w:ascii="Courier New" w:cs="Courier New" w:eastAsia="Courier New" w:hAnsi="Courier New"/>
          <w:sz w:val="16"/>
          <w:szCs w:val="16"/>
          <w:color w:val="auto"/>
        </w:rPr>
        <w:t>2.1 Annual Meeting. The annual meeting of the shareholders shall be held at such date and time as shall be fixed by the board of directors, for the purpose of electing directors and for the transaction of such other business as may come before the meeting.</w:t>
      </w:r>
    </w:p>
    <w:p>
      <w:pPr>
        <w:spacing w:after="0" w:line="185" w:lineRule="exact"/>
        <w:rPr>
          <w:sz w:val="20"/>
          <w:szCs w:val="20"/>
          <w:color w:val="auto"/>
        </w:rPr>
      </w:pPr>
    </w:p>
    <w:p>
      <w:pPr>
        <w:ind w:left="5" w:right="2779" w:firstLine="465"/>
        <w:spacing w:after="0" w:line="276" w:lineRule="auto"/>
        <w:rPr>
          <w:sz w:val="20"/>
          <w:szCs w:val="20"/>
          <w:color w:val="auto"/>
        </w:rPr>
      </w:pPr>
      <w:r>
        <w:rPr>
          <w:rFonts w:ascii="Courier New" w:cs="Courier New" w:eastAsia="Courier New" w:hAnsi="Courier New"/>
          <w:sz w:val="14"/>
          <w:szCs w:val="14"/>
          <w:color w:val="auto"/>
        </w:rPr>
        <w:t>2.2 Special Meetings. Special meetings of the shareholders, for any purpose or purposes described in the meeting notice, may be called by the chairman of the board of directors or by the president, and shall be called by the president at the written request of the directors of not less than one-tenth of all the votes entitled to be cast on any issue proposed to be considered at the meeting.</w:t>
      </w:r>
    </w:p>
    <w:p>
      <w:pPr>
        <w:spacing w:after="0" w:line="161"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2.3 Place of Meeting. The board of directors may designate any place as the place of meeting for any annual or any special meeting of the shareholders. If no designation is made by the directors, the place of meeting shall be the principal office of the corporation.</w:t>
      </w:r>
    </w:p>
    <w:p>
      <w:pPr>
        <w:spacing w:after="0" w:line="178"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2.4 Notice of Meeting</w:t>
      </w:r>
    </w:p>
    <w:p>
      <w:pPr>
        <w:spacing w:after="0" w:line="183" w:lineRule="exact"/>
        <w:rPr>
          <w:sz w:val="20"/>
          <w:szCs w:val="20"/>
          <w:color w:val="auto"/>
        </w:rPr>
      </w:pPr>
    </w:p>
    <w:p>
      <w:pPr>
        <w:ind w:left="5" w:right="2779" w:firstLine="926"/>
        <w:spacing w:after="0" w:line="236" w:lineRule="auto"/>
        <w:tabs>
          <w:tab w:leader="none" w:pos="1307"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Content and Mailings Requirements. Written notice stating the date, time and place of each annual or special shareholder meeting shall be delivered no fewer than 10 nor more than 40 days before the date of the meeting, either personally or by mail, by or at the direction of the president, the board of directors, or other persons calling the meeting, to each shareholder of record entitled to vote at such meeting and to any other shareholder entitled by the Act or the articles of incorporation to receive notice of the meeting. Notice of special shareholder meetings shall include a description of the purpose or purposes for which the meeting is called.</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97" w:lineRule="exact"/>
        <w:rPr>
          <w:rFonts w:ascii="Courier New" w:cs="Courier New" w:eastAsia="Courier New" w:hAnsi="Courier New"/>
          <w:sz w:val="16"/>
          <w:szCs w:val="16"/>
          <w:color w:val="auto"/>
        </w:rPr>
      </w:pPr>
    </w:p>
    <w:p>
      <w:pPr>
        <w:jc w:val="both"/>
        <w:ind w:left="5" w:right="2879" w:firstLine="926"/>
        <w:spacing w:after="0" w:line="235" w:lineRule="auto"/>
        <w:tabs>
          <w:tab w:leader="none" w:pos="1307"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Date. Written notice shall be deemed to be effective at the earlier of (1) when mailed, if addressed to the shareholder's address shown in the corporation's current record of shareholders; or (2) when received, if hand delivered or sent by electronic or facsimile transmission.</w:t>
      </w:r>
    </w:p>
    <w:p>
      <w:pPr>
        <w:spacing w:after="0" w:line="184" w:lineRule="exact"/>
        <w:rPr>
          <w:rFonts w:ascii="Courier New" w:cs="Courier New" w:eastAsia="Courier New" w:hAnsi="Courier New"/>
          <w:sz w:val="16"/>
          <w:szCs w:val="16"/>
          <w:color w:val="auto"/>
        </w:rPr>
      </w:pPr>
    </w:p>
    <w:p>
      <w:pPr>
        <w:ind w:left="5" w:right="2779" w:firstLine="926"/>
        <w:spacing w:after="0" w:line="236" w:lineRule="auto"/>
        <w:tabs>
          <w:tab w:leader="none" w:pos="1307"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 of Adjournment. If any shareholder meeting is adjourned to a different date, time or place, notice need not be given of the new date, time and place, if the new date, time and place is announced at the meeting before adjournment. If a new record date for the adjourned meeting is or must be fixed, then notice must be given pursuant to the requirements of this Section to shareholders of record.</w:t>
      </w:r>
    </w:p>
    <w:p>
      <w:pPr>
        <w:spacing w:after="0" w:line="177" w:lineRule="exact"/>
        <w:rPr>
          <w:sz w:val="20"/>
          <w:szCs w:val="20"/>
          <w:color w:val="auto"/>
        </w:rPr>
      </w:pPr>
    </w:p>
    <w:p>
      <w:pPr>
        <w:ind w:left="925"/>
        <w:spacing w:after="0"/>
        <w:rPr>
          <w:sz w:val="20"/>
          <w:szCs w:val="20"/>
          <w:color w:val="auto"/>
        </w:rPr>
      </w:pPr>
      <w:r>
        <w:rPr>
          <w:rFonts w:ascii="Courier New" w:cs="Courier New" w:eastAsia="Courier New" w:hAnsi="Courier New"/>
          <w:sz w:val="16"/>
          <w:szCs w:val="16"/>
          <w:color w:val="auto"/>
        </w:rPr>
        <w:t>2.5 Waiver of Notice</w:t>
      </w:r>
    </w:p>
    <w:p>
      <w:pPr>
        <w:spacing w:after="0" w:line="183" w:lineRule="exact"/>
        <w:rPr>
          <w:sz w:val="20"/>
          <w:szCs w:val="20"/>
          <w:color w:val="auto"/>
        </w:rPr>
      </w:pPr>
    </w:p>
    <w:p>
      <w:pPr>
        <w:ind w:left="5" w:right="2779" w:firstLine="926"/>
        <w:spacing w:after="0" w:line="235" w:lineRule="auto"/>
        <w:tabs>
          <w:tab w:leader="none" w:pos="1307"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Written Waiver. A shareholder may waive any notice required by the Act, the articles of incorporation or the bylaws, by a writing signed by the shareholder, entitled to the notice, which is delivered to the corporation (either before or after the date and time stated in the notice) for inclusion in the minutes or filing with the corporate records.</w:t>
      </w:r>
    </w:p>
    <w:p>
      <w:pPr>
        <w:spacing w:after="0" w:line="185" w:lineRule="exact"/>
        <w:rPr>
          <w:rFonts w:ascii="Courier New" w:cs="Courier New" w:eastAsia="Courier New" w:hAnsi="Courier New"/>
          <w:sz w:val="16"/>
          <w:szCs w:val="16"/>
          <w:color w:val="auto"/>
        </w:rPr>
      </w:pPr>
    </w:p>
    <w:p>
      <w:pPr>
        <w:ind w:left="1305" w:hanging="374"/>
        <w:spacing w:after="0"/>
        <w:tabs>
          <w:tab w:leader="none" w:pos="1305" w:val="left"/>
        </w:tabs>
        <w:numPr>
          <w:ilvl w:val="1"/>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Attendance at Meetings. A shareholder's attendance at a meeting:</w:t>
      </w:r>
    </w:p>
    <w:p>
      <w:pPr>
        <w:spacing w:after="0" w:line="20" w:lineRule="exact"/>
        <w:rPr>
          <w:rFonts w:ascii="Courier New" w:cs="Courier New" w:eastAsia="Courier New" w:hAnsi="Courier New"/>
          <w:sz w:val="14"/>
          <w:szCs w:val="14"/>
          <w:color w:val="auto"/>
        </w:rPr>
      </w:pPr>
    </w:p>
    <w:p>
      <w:pPr>
        <w:ind w:left="5" w:right="3059" w:hanging="5"/>
        <w:spacing w:after="0" w:line="236" w:lineRule="auto"/>
        <w:tabs>
          <w:tab w:leader="none" w:pos="377"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waives objection to lack of notice or defective notice of the meeting, unless the shareholder at the beginning of the melting objects to holding the meeting or transacting business at the meeting because of lack of notice or effective notice; and (2) waives objection to consideration of a particular matter at the meeting that is not within the purpose or purposes described in the meeting notice, unless the shareholder objects to considering the matter when it is presented.</w:t>
      </w:r>
    </w:p>
    <w:p>
      <w:pPr>
        <w:spacing w:after="0" w:line="177" w:lineRule="exact"/>
        <w:rPr>
          <w:sz w:val="20"/>
          <w:szCs w:val="20"/>
          <w:color w:val="auto"/>
        </w:rPr>
      </w:pPr>
    </w:p>
    <w:p>
      <w:pPr>
        <w:ind w:left="925"/>
        <w:spacing w:after="0"/>
        <w:rPr>
          <w:sz w:val="20"/>
          <w:szCs w:val="20"/>
          <w:color w:val="auto"/>
        </w:rPr>
      </w:pPr>
      <w:r>
        <w:rPr>
          <w:rFonts w:ascii="Courier New" w:cs="Courier New" w:eastAsia="Courier New" w:hAnsi="Courier New"/>
          <w:sz w:val="16"/>
          <w:szCs w:val="16"/>
          <w:color w:val="auto"/>
        </w:rPr>
        <w:t>2.6 Record Date</w:t>
      </w:r>
    </w:p>
    <w:p>
      <w:pPr>
        <w:spacing w:after="0" w:line="183" w:lineRule="exact"/>
        <w:rPr>
          <w:sz w:val="20"/>
          <w:szCs w:val="20"/>
          <w:color w:val="auto"/>
        </w:rPr>
      </w:pPr>
    </w:p>
    <w:p>
      <w:pPr>
        <w:jc w:val="both"/>
        <w:ind w:left="5" w:right="2779" w:firstLine="926"/>
        <w:spacing w:after="0" w:line="283" w:lineRule="auto"/>
        <w:tabs>
          <w:tab w:leader="none" w:pos="1307"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Fixing of Record Date. For the purpose of determining shareholders entitled to notice of or to vote at any meeting of shareholders, or shareholders entitled to receive payment of any distribution, or in order to make a</w:t>
      </w:r>
    </w:p>
    <w:p>
      <w:pPr>
        <w:sectPr>
          <w:pgSz w:w="11900" w:h="16838" w:orient="portrait"/>
          <w:cols w:equalWidth="0" w:num="1">
            <w:col w:w="10224"/>
          </w:cols>
          <w:pgMar w:left="235" w:top="136" w:right="1440" w:bottom="0" w:gutter="0" w:footer="0" w:header="0"/>
        </w:sectPr>
      </w:pPr>
    </w:p>
    <w:bookmarkStart w:id="64" w:name="page65"/>
    <w:bookmarkEnd w:id="64"/>
    <w:p>
      <w:pPr>
        <w:ind w:right="2779"/>
        <w:spacing w:after="0" w:line="236" w:lineRule="auto"/>
        <w:rPr>
          <w:sz w:val="20"/>
          <w:szCs w:val="20"/>
          <w:color w:val="auto"/>
        </w:rPr>
      </w:pPr>
      <w:r>
        <w:rPr>
          <w:rFonts w:ascii="Courier New" w:cs="Courier New" w:eastAsia="Courier New" w:hAnsi="Courier New"/>
          <w:sz w:val="16"/>
          <w:szCs w:val="16"/>
          <w:color w:val="auto"/>
        </w:rPr>
        <w:t>determination of shareholders for any other proper purpose, the board of directors may fix in advance a date as the record date. Such record date shall not be more than 70 days prior to the date on which the particular action requiring such determination of shareholders is to be taken. If no record date is so fixed by the board for the determination of shareholders entitled to notice of, or to vote at, a meeting of, shareholders, the record date for determination of such shareholders shall be at the close of business on the day before the first notice is delivered to shareholders. If no record date is fixed by the board for the determination of shareholders entitled to receive a distribution, the record date shall be the date the board authorizes the distribution. If no record date is fixed by the board for the determination of shareholders entitled to take action without a meeting, the record date shall be the date the first shareholder signs a consent.</w:t>
      </w:r>
    </w:p>
    <w:p>
      <w:pPr>
        <w:spacing w:after="0" w:line="188" w:lineRule="exact"/>
        <w:rPr>
          <w:sz w:val="20"/>
          <w:szCs w:val="20"/>
          <w:color w:val="auto"/>
        </w:rPr>
      </w:pPr>
    </w:p>
    <w:p>
      <w:pPr>
        <w:ind w:right="2879" w:firstLine="926"/>
        <w:spacing w:after="0" w:line="236" w:lineRule="auto"/>
        <w:tabs>
          <w:tab w:leader="none" w:pos="1302"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 of Adjournment. When a determination of shareholders entitled to vote at any meeting of shareholders has been made as provided in this section, such determination shall apply to any adjournment thereof unless the board of directors fixes a new record date, which it must do if the meeting is adjourned to a date more than 120 days after the date fixed for the original meeting.</w:t>
      </w:r>
    </w:p>
    <w:p>
      <w:pPr>
        <w:sectPr>
          <w:pgSz w:w="11900" w:h="16838" w:orient="portrait"/>
          <w:cols w:equalWidth="0" w:num="1">
            <w:col w:w="10219"/>
          </w:cols>
          <w:pgMar w:left="240" w:top="142" w:right="1440" w:bottom="1440" w:gutter="0" w:footer="0" w:header="0"/>
        </w:sectPr>
      </w:pPr>
    </w:p>
    <w:bookmarkStart w:id="65" w:name="page66"/>
    <w:bookmarkEnd w:id="65"/>
    <w:p>
      <w:pPr>
        <w:ind w:right="2879" w:firstLine="465"/>
        <w:spacing w:after="0" w:line="273" w:lineRule="auto"/>
        <w:rPr>
          <w:sz w:val="20"/>
          <w:szCs w:val="20"/>
          <w:color w:val="auto"/>
        </w:rPr>
      </w:pPr>
      <w:r>
        <w:rPr>
          <w:rFonts w:ascii="Courier New" w:cs="Courier New" w:eastAsia="Courier New" w:hAnsi="Courier New"/>
          <w:sz w:val="14"/>
          <w:szCs w:val="14"/>
          <w:color w:val="auto"/>
        </w:rPr>
        <w:t>2.7 Shareholder List. After fixing a record date for a shareholders' meeting, the corporation shall prepare a list of the names of its shareholders entitled to be given notice of the meeting. The list must be arranged by voting group and within each young group by class or series of shares, must be alphabetical within each class or series, and must show the address of, and the number of shares held by, each shareholder. The shareholder list must be available for inspection by any shareholder, beginning on the earlier of ten days before the meeting for which the list was prepared or two business days after notice of the meeting is given for which the list was prepared and continuing through the meeting and any adjournment thereof. The list shall be available at the corporation's principal office or at a place identified in the meeting notice in the city where the meeting will be held.</w:t>
      </w:r>
    </w:p>
    <w:p>
      <w:pPr>
        <w:spacing w:after="0" w:line="335"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2.8 Shareholder Quorum and Voting Requirements</w:t>
      </w:r>
    </w:p>
    <w:p>
      <w:pPr>
        <w:spacing w:after="0" w:line="183" w:lineRule="exact"/>
        <w:rPr>
          <w:sz w:val="20"/>
          <w:szCs w:val="20"/>
          <w:color w:val="auto"/>
        </w:rPr>
      </w:pPr>
    </w:p>
    <w:p>
      <w:pPr>
        <w:ind w:right="2879" w:firstLine="926"/>
        <w:spacing w:after="0" w:line="236" w:lineRule="auto"/>
        <w:tabs>
          <w:tab w:leader="none" w:pos="1302"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Quorum. Shares entitled to vote as a separate voting group may take action on a matter at a meeting only if a quorum of those shares exists with respect to that matter. Unless the articles of incorporation or the Act provide otherwise, the number of shares of a voting group that is present at a meeting shall constitute a quorum of that voting group for action on that matter. Once a share is represented for any purpose at a meeting, it is deemed present for quorum purposes for the remainder of the meeting and for any adjournment of that meeting unless a new record date is or must be set for that adjourned meeting.</w:t>
      </w:r>
    </w:p>
    <w:p>
      <w:pPr>
        <w:spacing w:after="0" w:line="184" w:lineRule="exact"/>
        <w:rPr>
          <w:rFonts w:ascii="Courier New" w:cs="Courier New" w:eastAsia="Courier New" w:hAnsi="Courier New"/>
          <w:sz w:val="16"/>
          <w:szCs w:val="16"/>
          <w:color w:val="auto"/>
        </w:rPr>
      </w:pPr>
    </w:p>
    <w:p>
      <w:pPr>
        <w:ind w:right="2779" w:firstLine="926"/>
        <w:spacing w:after="0" w:line="274" w:lineRule="auto"/>
        <w:tabs>
          <w:tab w:leader="none" w:pos="1302"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Groups. If the articles of incorporation or the Act provide for voting by a single voting group on a matter, action on that matter is taken when voted upon by that voting group. If the articles of incorporation or the Act provide for voting by two or more voting groups on a matter, action on that matter is taken only when voted upon by each of those voting groups counted separately. Action may be taken by one voting group on a matter even though no action is taken by another voting group entitled to vote on the matter.</w:t>
      </w:r>
    </w:p>
    <w:p>
      <w:pPr>
        <w:spacing w:after="0" w:line="163" w:lineRule="exact"/>
        <w:rPr>
          <w:rFonts w:ascii="Courier New" w:cs="Courier New" w:eastAsia="Courier New" w:hAnsi="Courier New"/>
          <w:sz w:val="14"/>
          <w:szCs w:val="14"/>
          <w:color w:val="auto"/>
        </w:rPr>
      </w:pPr>
    </w:p>
    <w:p>
      <w:pPr>
        <w:ind w:right="2779" w:firstLine="926"/>
        <w:spacing w:after="0" w:line="236" w:lineRule="auto"/>
        <w:tabs>
          <w:tab w:leader="none" w:pos="1302"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Shareholder Action. If a quorum exists, action on a matter, other than the election of directors, by a voting group is approved if the votes cast within the voting group favoring the action exceed the votes cast opposing the action, unless the articles of incorporation or the Act require a greater number of affirmative votes. Directors are elected by a plurality of the votes cast by the shares entitled to vote in the election at a meeting at which a quorum is present.</w:t>
      </w:r>
    </w:p>
    <w:p>
      <w:pPr>
        <w:spacing w:after="0" w:line="184"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2.9 Proxies. At all meetings of shareholders, a shareholder may vote in person or by proxy which is executed in writing by the shareholder or which is executed by his or her duly authorized attorney-in-fact. Such proxy shall be filed with the secretary of the corporation or other person authorized to tabulate votes before or at the time of the meeting. No proxy shall be valid after 11 months from the date of its execution unless otherwise provided in the proxy.</w:t>
      </w:r>
    </w:p>
    <w:p>
      <w:pPr>
        <w:spacing w:after="0" w:line="184"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2.10 Voting of Shares. Unless otherwise provided in the articles of incorporation or by applicable law, each outstanding share, regardless of class, is entitled to one vote upon each matter submitted to a vote at a meeting of shareholders. Except as provided by specific court order, no shares of the corporation owned, directly or indirectly, by a second corporation, domestic or foreign, shall be voted at any meeting or counted in determining the total number of outstanding shares at any given time for purposes of any meeting if a</w:t>
      </w:r>
    </w:p>
    <w:p>
      <w:pPr>
        <w:sectPr>
          <w:pgSz w:w="11900" w:h="16838" w:orient="portrait"/>
          <w:cols w:equalWidth="0" w:num="1">
            <w:col w:w="10219"/>
          </w:cols>
          <w:pgMar w:left="240" w:top="654" w:right="1440" w:bottom="1440" w:gutter="0" w:footer="0" w:header="0"/>
        </w:sectPr>
      </w:pPr>
    </w:p>
    <w:bookmarkStart w:id="66" w:name="page67"/>
    <w:bookmarkEnd w:id="66"/>
    <w:p>
      <w:pPr>
        <w:ind w:right="2779"/>
        <w:spacing w:after="0" w:line="235" w:lineRule="auto"/>
        <w:rPr>
          <w:sz w:val="20"/>
          <w:szCs w:val="20"/>
          <w:color w:val="auto"/>
        </w:rPr>
      </w:pPr>
      <w:r>
        <w:rPr>
          <w:rFonts w:ascii="Courier New" w:cs="Courier New" w:eastAsia="Courier New" w:hAnsi="Courier New"/>
          <w:sz w:val="16"/>
          <w:szCs w:val="16"/>
          <w:color w:val="auto"/>
        </w:rPr>
        <w:t>majority of the shares entitled to vote for the election of directors of such second corporation arc held by the corporation. The prior sentence shall not limit the power of the corporation to vote any shares, including its own shares, held by it in a fiduciary capacity.</w:t>
      </w:r>
    </w:p>
    <w:p>
      <w:pPr>
        <w:spacing w:after="0" w:line="185" w:lineRule="exact"/>
        <w:rPr>
          <w:sz w:val="20"/>
          <w:szCs w:val="20"/>
          <w:color w:val="auto"/>
        </w:rPr>
      </w:pPr>
    </w:p>
    <w:p>
      <w:pPr>
        <w:ind w:right="2779" w:firstLine="465"/>
        <w:spacing w:after="0" w:line="276" w:lineRule="auto"/>
        <w:rPr>
          <w:sz w:val="20"/>
          <w:szCs w:val="20"/>
          <w:color w:val="auto"/>
        </w:rPr>
      </w:pPr>
      <w:r>
        <w:rPr>
          <w:rFonts w:ascii="Courier New" w:cs="Courier New" w:eastAsia="Courier New" w:hAnsi="Courier New"/>
          <w:sz w:val="14"/>
          <w:szCs w:val="14"/>
          <w:color w:val="auto"/>
        </w:rPr>
        <w:t>2.11 Meetings by Telecommunications. Any or all shareholders may participate in an annual of special meeting by, or conduct the meeting through the use of, any means of communication by which all shareholders participating may hear each other during the meeting. A shareholder participating in a meeting by this means is deemed to be present in person at the meeting.</w:t>
      </w:r>
    </w:p>
    <w:p>
      <w:pPr>
        <w:spacing w:after="0" w:line="155"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2.12 Action Without a Meeting</w:t>
      </w:r>
    </w:p>
    <w:p>
      <w:pPr>
        <w:spacing w:after="0" w:line="183" w:lineRule="exact"/>
        <w:rPr>
          <w:sz w:val="20"/>
          <w:szCs w:val="20"/>
          <w:color w:val="auto"/>
        </w:rPr>
      </w:pPr>
    </w:p>
    <w:p>
      <w:pPr>
        <w:ind w:right="2779" w:firstLine="926"/>
        <w:spacing w:after="0" w:line="236" w:lineRule="auto"/>
        <w:tabs>
          <w:tab w:leader="none" w:pos="1302"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Written Consent. Any action which may be taken at a meeting of the shareholders may be taken without a meeting and without prior notice if one or more consents in writing, setting forth the action so taken, shall be signed by the holders of outstanding shares having not lass than the minimum number of votes that would be necessary to authorize or take such action at a meeting at which all shareholders entitled to vote with respect to the subject matter thereof were present and voted. Action taken under this Section has the same effect as action taken at a meeting of shareholders and may be described as such in any document.</w:t>
      </w:r>
    </w:p>
    <w:p>
      <w:pPr>
        <w:spacing w:after="0" w:line="184" w:lineRule="exact"/>
        <w:rPr>
          <w:rFonts w:ascii="Courier New" w:cs="Courier New" w:eastAsia="Courier New" w:hAnsi="Courier New"/>
          <w:sz w:val="16"/>
          <w:szCs w:val="16"/>
          <w:color w:val="auto"/>
        </w:rPr>
      </w:pPr>
    </w:p>
    <w:p>
      <w:pPr>
        <w:ind w:right="2879" w:firstLine="926"/>
        <w:spacing w:after="0" w:line="236" w:lineRule="auto"/>
        <w:tabs>
          <w:tab w:leader="none" w:pos="1302"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Post-Consent Notice. Unless the written consents of all shareholders entitled to vote have been obtained, notice of any shareholder approval without a meeting shall be given at least ten days before the consummation of the action authorized by such approval to: (1) those shareholders entitled to vote who have not consented in writing; and (2) those shareholders not entitled to vote and to whom the Act requires that notice of the proposed action be given. Any such notice must contain or be accompanied by the same material that is required under the Act to be sent in a notice of meeting at which the proposed action would have been submitted to the shareholders for action.</w:t>
      </w:r>
    </w:p>
    <w:p>
      <w:pPr>
        <w:spacing w:after="0" w:line="185" w:lineRule="exact"/>
        <w:rPr>
          <w:rFonts w:ascii="Courier New" w:cs="Courier New" w:eastAsia="Courier New" w:hAnsi="Courier New"/>
          <w:sz w:val="16"/>
          <w:szCs w:val="16"/>
          <w:color w:val="auto"/>
        </w:rPr>
      </w:pPr>
    </w:p>
    <w:p>
      <w:pPr>
        <w:ind w:right="2879" w:firstLine="926"/>
        <w:spacing w:after="0" w:line="236" w:lineRule="auto"/>
        <w:tabs>
          <w:tab w:leader="none" w:pos="1302"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Date and Revocation of Consents. No action taken pursuant to this Section 2.12 shall be effective unless all written consents on which the corporation relies for the taking of an action are received by the corporation within a 60-day period and not revoked. Such action is effective as of the date the last written consent. necessary to effect the action is received, unless all of the written consents specify a later date as the effective date of the action. If the corporation has received written consents signed by all shareholders entitled to vote with respect to the action, the effective date of the action may be any date that is specified in all the written consents as the effective date of the action. Any such writing may be received by the corporation by electronically transmitted facsimile or other form of communication providing the corporation with a complete copy thereof, including a copy of the signatures thereto. Any shareholder giving a written consent pursuant to this Section may revoke the consent by a signed writing describing the action and stating that the consent is revoked, provided that such writing is received by the corporation prior to the effective date of the action.</w:t>
      </w:r>
    </w:p>
    <w:p>
      <w:pPr>
        <w:spacing w:after="0" w:line="190" w:lineRule="exact"/>
        <w:rPr>
          <w:rFonts w:ascii="Courier New" w:cs="Courier New" w:eastAsia="Courier New" w:hAnsi="Courier New"/>
          <w:sz w:val="16"/>
          <w:szCs w:val="16"/>
          <w:color w:val="auto"/>
        </w:rPr>
      </w:pPr>
    </w:p>
    <w:p>
      <w:pPr>
        <w:ind w:right="2879" w:firstLine="926"/>
        <w:spacing w:after="0" w:line="235" w:lineRule="auto"/>
        <w:tabs>
          <w:tab w:leader="none" w:pos="1302"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Unanimous Consent for Election of Directors. Notwithstanding subsection (a) of this Section 2.12, directors may not be elected by written consent unless such consent is unanimous by all shares entitled to vote for the election of directors.</w:t>
      </w:r>
    </w:p>
    <w:p>
      <w:pPr>
        <w:sectPr>
          <w:pgSz w:w="11900" w:h="16838" w:orient="portrait"/>
          <w:cols w:equalWidth="0" w:num="1">
            <w:col w:w="10219"/>
          </w:cols>
          <w:pgMar w:left="240" w:top="654" w:right="1440" w:bottom="1440" w:gutter="0" w:footer="0" w:header="0"/>
        </w:sectPr>
      </w:pPr>
    </w:p>
    <w:bookmarkStart w:id="67" w:name="page68"/>
    <w:bookmarkEnd w:id="67"/>
    <w:p>
      <w:pPr>
        <w:ind w:left="2320"/>
        <w:spacing w:after="0"/>
        <w:rPr>
          <w:sz w:val="20"/>
          <w:szCs w:val="20"/>
          <w:color w:val="auto"/>
        </w:rPr>
      </w:pPr>
      <w:r>
        <w:rPr>
          <w:rFonts w:ascii="Courier New" w:cs="Courier New" w:eastAsia="Courier New" w:hAnsi="Courier New"/>
          <w:sz w:val="16"/>
          <w:szCs w:val="16"/>
          <w:color w:val="auto"/>
        </w:rPr>
        <w:t>ARTICLE III. BOARD OF DIRECTORS</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3.1 General Powers. All corporate powers shall be exercised by or under the authority of, and the business and affairs of the corporation shall be managed under the direction of, the board of directors.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3.2 Number, Tenure and Qualifications. The authorized number of directors shall be not less than three nor more than nine. The current number of directors shall be within the limits specified above, as determined (or as amended from time-to-time) by resolution adopted by either the shareholders or the directors. Each director shall hold office until the next annual mating of shareholders or until, the director's earlier death, resignation or removal. However, if a director's term expires, the director shall continue to serve until his or her successor shall have been elected and qualified, or until there is a decrease in the number of directors.</w:t>
      </w:r>
    </w:p>
    <w:p>
      <w:pPr>
        <w:spacing w:after="0" w:line="185"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3.3 Regular Meetings. The board of directors may provide, by resolution, the time and place for the holding of regular meetings without other notice than such resolution.</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3.4 Special Meetings. Special meetings of the board of directors may be called by or at the request of the chairman of the board of directors or the president. The person authorized to call special meetings of the board of directors may fix any place as the place for holding any special meeting of the board of directors.</w:t>
      </w:r>
    </w:p>
    <w:p>
      <w:pPr>
        <w:spacing w:after="0" w:line="186"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3.5 Notice of Special Meetings. Notice of the date, time and place of any special director meeting shall be given at least two days previously thereto either orally or in writing. Oral notice shall be effective when communicated in a comprehensive manner. Written notice is effective as to each director at the earlier of: (1) two days after mailing, if sent to the address of the director shown on the records of the corporation; or (2) when received, if sent by electronic or facsimile transmission. Any director may waive notice of any meeting before or after the dace and time of the meeting stated in the notice. Except as provided in the next sentence, the waiver must be in writing and signed by the director entitled to the notice. A director's attendance at or participation in a meeting shall constitute a waiver of notice of such meeting, unless the director at the beginning of the meeting, or promptly upon his or her arrival, objects to holding the meeting or transacting business at the meeting because of lack of or defective notice; and does not thereafter vote for or assent to action taken at the meeting. Unless required by the articles of incorporation, neither the business to be transacted at, nor the purpose of, any special meeting of the board of directors need be specified in the notice or waiver of notice of such meeting.</w:t>
      </w:r>
    </w:p>
    <w:p>
      <w:pPr>
        <w:spacing w:after="0" w:line="200" w:lineRule="exact"/>
        <w:rPr>
          <w:sz w:val="20"/>
          <w:szCs w:val="20"/>
          <w:color w:val="auto"/>
        </w:rPr>
      </w:pPr>
    </w:p>
    <w:p>
      <w:pPr>
        <w:spacing w:after="0" w:line="31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3.6 Quorum and Voting</w:t>
      </w:r>
    </w:p>
    <w:p>
      <w:pPr>
        <w:spacing w:after="0" w:line="183" w:lineRule="exact"/>
        <w:rPr>
          <w:sz w:val="20"/>
          <w:szCs w:val="20"/>
          <w:color w:val="auto"/>
        </w:rPr>
      </w:pPr>
    </w:p>
    <w:p>
      <w:pPr>
        <w:ind w:right="2879" w:firstLine="926"/>
        <w:spacing w:after="0" w:line="276" w:lineRule="auto"/>
        <w:tabs>
          <w:tab w:leader="none" w:pos="1302"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Quorum. A majority of the number of directors prescribed by resolution adopted pursuant to Section 3.2 of these Bylaws, or if no number is prescribed, the number in office immediately before the meeting begins, shall constitute a quorum for the transaction of business at any meeting of the board of directors, unless the articles of incorporation require a greater number.</w:t>
      </w:r>
    </w:p>
    <w:p>
      <w:pPr>
        <w:sectPr>
          <w:pgSz w:w="11900" w:h="16838" w:orient="portrait"/>
          <w:cols w:equalWidth="0" w:num="1">
            <w:col w:w="10219"/>
          </w:cols>
          <w:pgMar w:left="240" w:top="648" w:right="1440" w:bottom="1440" w:gutter="0" w:footer="0" w:header="0"/>
        </w:sectPr>
      </w:pPr>
    </w:p>
    <w:bookmarkStart w:id="68" w:name="page69"/>
    <w:bookmarkEnd w:id="68"/>
    <w:p>
      <w:pPr>
        <w:ind w:right="2959" w:firstLine="926"/>
        <w:spacing w:after="0" w:line="235" w:lineRule="auto"/>
        <w:tabs>
          <w:tab w:leader="none" w:pos="1302"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The act of the majority of the directors present at a meeting at which a quorum is present when the vote a taken shall be the act of the board of directors unless the articles of incorporation require a greater percentage.</w:t>
      </w:r>
    </w:p>
    <w:p>
      <w:pPr>
        <w:spacing w:after="0" w:line="184" w:lineRule="exact"/>
        <w:rPr>
          <w:rFonts w:ascii="Courier New" w:cs="Courier New" w:eastAsia="Courier New" w:hAnsi="Courier New"/>
          <w:sz w:val="16"/>
          <w:szCs w:val="16"/>
          <w:color w:val="auto"/>
        </w:rPr>
      </w:pPr>
    </w:p>
    <w:p>
      <w:pPr>
        <w:ind w:right="2879" w:firstLine="926"/>
        <w:spacing w:after="0" w:line="236" w:lineRule="auto"/>
        <w:tabs>
          <w:tab w:leader="none" w:pos="1302"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Presumption of Assent. A director who is present at a meeting of the board of directors or a committee of the board of directors when corporate action is taken is deemed to have assented to the action taken unless: (1) the director objects at the beginning of the meeting, or promptly upon his or her arrival, to holding or transacting business at the meeting and does not thereafter vote for or assent to any action taken at the meeting; (2) the director contemporaneously requests that his or her dissent or abstention as to any specific action be entered in the minutes of the meeting; or (3) the director causes written notice of his or her dissent or abstention as to any specific action be received by the presiding officer of the meeting before its adjournment of to the corporation immediately after adjournment of the meeting. The right of dissent or abstention is nor available to a director who votes in favor of the action taken.</w:t>
      </w:r>
    </w:p>
    <w:p>
      <w:pPr>
        <w:spacing w:after="0" w:line="188"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3.7 Meetings by Telecommunications. Any or all directors may participate in a regular or special meeting by, or conduct the meeting through the use of, any means of communication by which all directors participating may hear each other during the meeting. A director participating in a meeting by this means is deemed to be present in person at the meeting.</w:t>
      </w:r>
    </w:p>
    <w:p>
      <w:pPr>
        <w:spacing w:after="0" w:line="18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3.8 Action Without a Meeting. Any action required or permitted to be taken by the board of directors at a meeting may be taken without a meeting if all, the directors consent to such action in writing. Action taken by written consent is effective when the last director signs the consent, unless, prior to such time, any director has revoked a consent by a signed writing received by the corporation, or unless the consent specifies a different effective date. A signed consent has the effect of an action taken at a meeting of directors and may be described as such in any document.</w:t>
      </w:r>
    </w:p>
    <w:p>
      <w:pPr>
        <w:spacing w:after="0" w:line="184"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3.9 Resignation. A director may resign at any time by giving a written notice of resignation to the corporation. Such a resignation is effective when the notice is received by the corporation unless the notice specifies a later effective date, and the acceptance of such resignation shall not be necessary to make it effective.</w:t>
      </w:r>
    </w:p>
    <w:p>
      <w:pPr>
        <w:spacing w:after="0" w:line="18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3.10 Removal. The shareholders may remove one or more directors at a meeting called for that purpose if notice has been given that a purpose of the meeting is such removal. The removal may be with or without cause unless the articles of incorporation provide that directors may only be removed with cause. If a director is elected by a voting group of shareholders, only the shareholders of that voting group may participate in the vote to remove that director. A director may be removed only if the number of votes cast to remove him or her exceeds the number of votes cast not to remove him or her.</w:t>
      </w:r>
    </w:p>
    <w:p>
      <w:pPr>
        <w:spacing w:after="0" w:line="184"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3.11 Vacancies. Unless the articles of incorporation provide otherwise, if a vacancy occurs on the board of directors, including a vacancy resulting from an increase in the number of directors; the shareholders may fill the vacancy. During such time that the shareholders fail or are unable to fill such vacancies then and until the shareholders act: (1) the board of directors may fill the vacancy; or (2) if the directors remaining in office constitute fewer than a quorum of the board, they may fill the vacancy by the affirmative vote of a</w:t>
      </w:r>
    </w:p>
    <w:p>
      <w:pPr>
        <w:sectPr>
          <w:pgSz w:w="11900" w:h="16838" w:orient="portrait"/>
          <w:cols w:equalWidth="0" w:num="1">
            <w:col w:w="10219"/>
          </w:cols>
          <w:pgMar w:left="240" w:top="654" w:right="1440" w:bottom="1440" w:gutter="0" w:footer="0" w:header="0"/>
        </w:sectPr>
      </w:pPr>
    </w:p>
    <w:bookmarkStart w:id="69" w:name="page70"/>
    <w:bookmarkEnd w:id="69"/>
    <w:p>
      <w:pPr>
        <w:ind w:right="2779"/>
        <w:spacing w:after="0" w:line="236" w:lineRule="auto"/>
        <w:rPr>
          <w:sz w:val="20"/>
          <w:szCs w:val="20"/>
          <w:color w:val="auto"/>
        </w:rPr>
      </w:pPr>
      <w:r>
        <w:rPr>
          <w:rFonts w:ascii="Courier New" w:cs="Courier New" w:eastAsia="Courier New" w:hAnsi="Courier New"/>
          <w:sz w:val="16"/>
          <w:szCs w:val="16"/>
          <w:color w:val="auto"/>
        </w:rPr>
        <w:t>majority of all the directors remaining in office. If the vacant office was held by a director elected by a voting group of shareholders; (1) if one or more directors are elected by the same voting group, only such directors are entitled to vote to fill the vacancy if it is filled by the directors; and (2) only the holders of shares of that voting group are entitled to vote to fill the vacancy if it is filled by the shareholders. A vacancy that will occur at a specific later date (by reason of a resignation effective at a later date) may be filled before the vacancy occurs but the new director may not take office until the vacancy occurs.</w:t>
      </w:r>
    </w:p>
    <w:p>
      <w:pPr>
        <w:spacing w:after="0" w:line="185"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3.12 Compensation. By resolution of the board of directors, each director may be paid his or her expenses, if any, of attendance at each meeting of the board of directors and may be paid a stated salary as director or a fixed sum for attendance at each meeting of the board of directors or both. No such payment shall preclude any director from serving the corporation in any other capacity and receiving compensation therefor.</w:t>
      </w:r>
    </w:p>
    <w:p>
      <w:pPr>
        <w:spacing w:after="0" w:line="183" w:lineRule="exact"/>
        <w:rPr>
          <w:sz w:val="20"/>
          <w:szCs w:val="20"/>
          <w:color w:val="auto"/>
        </w:rPr>
      </w:pPr>
    </w:p>
    <w:p>
      <w:pPr>
        <w:ind w:right="2959" w:firstLine="465"/>
        <w:spacing w:after="0" w:line="275" w:lineRule="auto"/>
        <w:rPr>
          <w:sz w:val="20"/>
          <w:szCs w:val="20"/>
          <w:color w:val="auto"/>
        </w:rPr>
      </w:pPr>
      <w:r>
        <w:rPr>
          <w:rFonts w:ascii="Courier New" w:cs="Courier New" w:eastAsia="Courier New" w:hAnsi="Courier New"/>
          <w:sz w:val="14"/>
          <w:szCs w:val="14"/>
          <w:color w:val="auto"/>
        </w:rPr>
        <w:t>3.13 Committees. The board of directors may create one or more committees and appoint members of the board of directors to serve on them. Each committee must have two or more members, who serve at the pleasure of the board of directors. Those sections of this Article 3 which govern meetings, action without meetings, notice and waiver of notice, and quorum and voting requirements of the board of directors, apply to committees and their members.</w:t>
      </w:r>
    </w:p>
    <w:p>
      <w:pPr>
        <w:spacing w:after="0" w:line="156"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ARTICLE IV. OFFICERS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4.1 Number. The officers of the corporation shall be a chief executive officer, a chief operating officer, a president, a chief financial officer, and a secretary, each of whom shall be appointed by the board of directors. Such other officers and assistant officers as may be deemed necessary, including any vice presidents, may also be appointed by the board of directors. If specifically authorized by the board of directors, an officer may appoint one or more officers or assistant officers. The same individual may simultaneously hold more than one office in the corporation.</w:t>
      </w:r>
    </w:p>
    <w:p>
      <w:pPr>
        <w:spacing w:after="0" w:line="18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4.2 Appointment and Term of Office. The officers of the corporation shall be appointed by the board of directors, for a term as determined by the board of directors. The designation of a specified term does not grant to the officer any contract rights, and the board can remove the officer at any time prior to the termination of such term. If no term is specified, the officer shall hold office until he or she resigns, dies or until he or she is removed in the manner provided in Section 4.3 of these Bylaws.</w:t>
      </w:r>
    </w:p>
    <w:p>
      <w:pPr>
        <w:spacing w:after="0" w:line="184"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4.3 Removal. Any officer or agent may be removed by the board of directors at any time, with or without cause. Such removal shall be subject to any rights and obligations that such person may have under any contract with the corporation.</w:t>
      </w:r>
    </w:p>
    <w:p>
      <w:pPr>
        <w:spacing w:after="0" w:line="185"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4.4 Resignation. Any officer may resign at any time, subject to any rights or obligation under any existing contracts between the officer and the corporation, by giving notice to the president or board of directors. An officer's resignation shall be effective when received by the corporation, unless the notice specifies a later effective date, and the acceptance of such resignation shall not be necessary to make it effective.</w:t>
      </w:r>
    </w:p>
    <w:p>
      <w:pPr>
        <w:sectPr>
          <w:pgSz w:w="11900" w:h="16838" w:orient="portrait"/>
          <w:cols w:equalWidth="0" w:num="1">
            <w:col w:w="10219"/>
          </w:cols>
          <w:pgMar w:left="240" w:top="654" w:right="1440" w:bottom="1440" w:gutter="0" w:footer="0" w:header="0"/>
        </w:sectPr>
      </w:pPr>
    </w:p>
    <w:bookmarkStart w:id="70" w:name="page71"/>
    <w:bookmarkEnd w:id="70"/>
    <w:p>
      <w:pPr>
        <w:ind w:right="2779" w:firstLine="465"/>
        <w:spacing w:after="0" w:line="235" w:lineRule="auto"/>
        <w:rPr>
          <w:sz w:val="20"/>
          <w:szCs w:val="20"/>
          <w:color w:val="auto"/>
        </w:rPr>
      </w:pPr>
      <w:r>
        <w:rPr>
          <w:rFonts w:ascii="Courier New" w:cs="Courier New" w:eastAsia="Courier New" w:hAnsi="Courier New"/>
          <w:sz w:val="16"/>
          <w:szCs w:val="16"/>
          <w:color w:val="auto"/>
        </w:rPr>
        <w:t>4.5 Authority and Duties of Officers. The officers of the corporation shall have the authority and shall exercise the powers and perform the duties specified below and as may be additionally specified by the board of directors or these Bylaws, except that in each event each officer shall exercise such powers and perform such duties as may be required by law.</w:t>
      </w:r>
    </w:p>
    <w:p>
      <w:pPr>
        <w:spacing w:after="0" w:line="186" w:lineRule="exact"/>
        <w:rPr>
          <w:sz w:val="20"/>
          <w:szCs w:val="20"/>
          <w:color w:val="auto"/>
        </w:rPr>
      </w:pPr>
    </w:p>
    <w:p>
      <w:pPr>
        <w:ind w:right="2779" w:firstLine="926"/>
        <w:spacing w:after="0" w:line="235" w:lineRule="auto"/>
        <w:tabs>
          <w:tab w:leader="none" w:pos="1302"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Chief Executive Officer. The chief executive officer shall supervise and control all the business and affairs of the corporation, subject to the direction of the board of directors. Unless a chairman of the board has been appointed, the chief executive officer shall preside at all meetings of the board of directors or shareholders.</w:t>
      </w:r>
    </w:p>
    <w:p>
      <w:pPr>
        <w:spacing w:after="0" w:line="185" w:lineRule="exact"/>
        <w:rPr>
          <w:rFonts w:ascii="Courier New" w:cs="Courier New" w:eastAsia="Courier New" w:hAnsi="Courier New"/>
          <w:sz w:val="16"/>
          <w:szCs w:val="16"/>
          <w:color w:val="auto"/>
        </w:rPr>
      </w:pPr>
    </w:p>
    <w:p>
      <w:pPr>
        <w:ind w:right="2779" w:firstLine="926"/>
        <w:spacing w:after="0" w:line="235" w:lineRule="auto"/>
        <w:tabs>
          <w:tab w:leader="none" w:pos="1302"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Chief Operating Officer. The chief operating officer shall be responsible for overseeing all the operations of the corporation, subject to the direction of the chief executive officer.</w:t>
      </w:r>
    </w:p>
    <w:p>
      <w:pPr>
        <w:spacing w:after="0" w:line="183" w:lineRule="exact"/>
        <w:rPr>
          <w:rFonts w:ascii="Courier New" w:cs="Courier New" w:eastAsia="Courier New" w:hAnsi="Courier New"/>
          <w:sz w:val="16"/>
          <w:szCs w:val="16"/>
          <w:color w:val="auto"/>
        </w:rPr>
      </w:pPr>
    </w:p>
    <w:p>
      <w:pPr>
        <w:ind w:right="2879" w:firstLine="926"/>
        <w:spacing w:after="0" w:line="273" w:lineRule="auto"/>
        <w:tabs>
          <w:tab w:leader="none" w:pos="1302"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President. The president shall manage the day-to-day affairs of the corporation, subject to the direction of the chief executive and chief operating officers. The president may sign, with the secretary or any other proper officer of the corporation thereunto authorized by the board of directors, certificates for shares of the corporation and deeds, mortgages, bonds, contracts, or other instruments which the board of directors has authorized to be executed, except in cases where the signing and execution thereof shall be expressly delegated by the board of directors or by these Bylaws to some other officer or agent of the corporation, or shall be required by law to be otherwise signed or executed. In general, the president shall perform all duties incident to the office of president and such other duties as may be prescribed by the board of directors from time to time.</w:t>
      </w:r>
    </w:p>
    <w:p>
      <w:pPr>
        <w:spacing w:after="0" w:line="341" w:lineRule="exact"/>
        <w:rPr>
          <w:rFonts w:ascii="Courier New" w:cs="Courier New" w:eastAsia="Courier New" w:hAnsi="Courier New"/>
          <w:sz w:val="14"/>
          <w:szCs w:val="14"/>
          <w:color w:val="auto"/>
        </w:rPr>
      </w:pPr>
    </w:p>
    <w:p>
      <w:pPr>
        <w:ind w:right="2779" w:firstLine="926"/>
        <w:spacing w:after="0" w:line="273" w:lineRule="auto"/>
        <w:tabs>
          <w:tab w:leader="none" w:pos="1302"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Vice-President. If appointed, the vice-president (or if there is more than one, each vice-president) shall assist the president and shall perform such duties as may be assigned to him or her by the president or by the board of directors. If appointed, in the absence of the president or in the event of his death, inability or refusal to act, the vice-president (or in the event there is more than one vice-president, the vice presidents in the order designated at the time of their election, or in the absence of, any designation, then in the order of their appointment) shall perform the duties of the president, and when so acting, shall have all the powers of and be subject to all the restrictions upon the president. (If there is no vice-president, then the chief financial officer shall perform such duties of the president.)</w:t>
      </w:r>
    </w:p>
    <w:p>
      <w:pPr>
        <w:spacing w:after="0" w:line="342" w:lineRule="exact"/>
        <w:rPr>
          <w:rFonts w:ascii="Courier New" w:cs="Courier New" w:eastAsia="Courier New" w:hAnsi="Courier New"/>
          <w:sz w:val="14"/>
          <w:szCs w:val="14"/>
          <w:color w:val="auto"/>
        </w:rPr>
      </w:pPr>
    </w:p>
    <w:p>
      <w:pPr>
        <w:ind w:right="2779" w:firstLine="926"/>
        <w:spacing w:after="0" w:line="273" w:lineRule="auto"/>
        <w:tabs>
          <w:tab w:leader="none" w:pos="1302"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Chief Financial Officer. The chief financial officer shall: (i) have charge and custody of and be responsible for all funds and securities of the corporation; (ii) receive and give receipts for moneys due and payable to the corporation from any source whatsoever, and deposit all such moneys in the name of the corporation in such banks, trust companies, or other depositaries as shall be selected by the board of directors; and (iii) in general, perform all of the duties incident to the office of chief financial officer and such other duties as from time to time may be assigned by the president or by the board of directors. If required by the board of directors, the chief financial officer shall give a bond for the faithful discharge of his or her duties in such sum and with such surety or sureties as the board of directors shall determine. A controller may be appointed to assist the chief financial officer.</w:t>
      </w:r>
    </w:p>
    <w:p>
      <w:pPr>
        <w:sectPr>
          <w:pgSz w:w="11900" w:h="16838" w:orient="portrait"/>
          <w:cols w:equalWidth="0" w:num="1">
            <w:col w:w="10219"/>
          </w:cols>
          <w:pgMar w:left="240" w:top="654" w:right="1440" w:bottom="1440" w:gutter="0" w:footer="0" w:header="0"/>
        </w:sectPr>
      </w:pPr>
    </w:p>
    <w:bookmarkStart w:id="71" w:name="page72"/>
    <w:bookmarkEnd w:id="71"/>
    <w:p>
      <w:pPr>
        <w:ind w:right="2779" w:firstLine="926"/>
        <w:spacing w:after="0" w:line="236" w:lineRule="auto"/>
        <w:tabs>
          <w:tab w:leader="none" w:pos="1302"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Secretary. The secretary shall: (i) keep the minutes of the proceedings of the shareholders, the board of directors and any committees of the board in one or more books provided for that purpose; (ii) see that all notices are duly given in accordance with the provisions of these bylaws or as required by law; (iii) be custodian of the corporate records; (iv) when requested or required, authenticate any records of the corporation; (v) keep a register of the post office address of each shareholder which shall be furnished to the secretary by such shareholder; (vi) sign with the president, or a vice-president, certificates for shares of the corporation, the issuance of which shall have been authorized by resolution of the board of directors; (vii) have general charge of the stock transfer books of the corporation; and (viii) in general, perform all duties incident to the office of secretary and such other duties as from time to time may be assigned by the president or by the board of directors. Assistant secretaries if any, shall have the same duties and powers, subject to the supervision of the secretary.</w:t>
      </w:r>
    </w:p>
    <w:p>
      <w:pPr>
        <w:spacing w:after="0" w:line="189" w:lineRule="exact"/>
        <w:rPr>
          <w:sz w:val="20"/>
          <w:szCs w:val="20"/>
          <w:color w:val="auto"/>
        </w:rPr>
      </w:pPr>
    </w:p>
    <w:p>
      <w:pPr>
        <w:ind w:right="2779" w:firstLine="465"/>
        <w:spacing w:after="0" w:line="234" w:lineRule="auto"/>
        <w:rPr>
          <w:sz w:val="20"/>
          <w:szCs w:val="20"/>
          <w:color w:val="auto"/>
        </w:rPr>
      </w:pPr>
      <w:r>
        <w:rPr>
          <w:rFonts w:ascii="Courier New" w:cs="Courier New" w:eastAsia="Courier New" w:hAnsi="Courier New"/>
          <w:sz w:val="16"/>
          <w:szCs w:val="16"/>
          <w:color w:val="auto"/>
        </w:rPr>
        <w:t>4.6 Compensation. The salaries, bonuses, and other benefits of the officers shall be fixed from time to time by the board of directors.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ARTICLE V. INDEMNIFICATION OF DIRECTORS, OFFICERS, AGENTS AND EMPLOYEES</w:t>
      </w:r>
    </w:p>
    <w:p>
      <w:pPr>
        <w:spacing w:after="0" w:line="183"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5.1 Indemnification of Directors. The corporation shall indemnify any individual made a party to a proceeding because the individual is or was a director of the corporation, against liability incurred in the proceeding, but only if such indemnification is both (i) determined permissible and (ii) authorized, as such are defined in subsection (a) of this Section 5.1. Such indemnification is further subject to the limitation specified in subsection 5.1(c).</w:t>
      </w:r>
    </w:p>
    <w:p>
      <w:pPr>
        <w:spacing w:after="0" w:line="184" w:lineRule="exact"/>
        <w:rPr>
          <w:sz w:val="20"/>
          <w:szCs w:val="20"/>
          <w:color w:val="auto"/>
        </w:rPr>
      </w:pPr>
    </w:p>
    <w:p>
      <w:pPr>
        <w:ind w:right="3519" w:firstLine="926"/>
        <w:spacing w:after="0" w:line="234" w:lineRule="auto"/>
        <w:tabs>
          <w:tab w:leader="none" w:pos="1302"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Determination and Authorization. The corporation shall not indemnify a director under this section unless:</w:t>
      </w:r>
    </w:p>
    <w:p>
      <w:pPr>
        <w:spacing w:after="0" w:line="183" w:lineRule="exact"/>
        <w:rPr>
          <w:sz w:val="20"/>
          <w:szCs w:val="20"/>
          <w:color w:val="auto"/>
        </w:rPr>
      </w:pPr>
    </w:p>
    <w:p>
      <w:pPr>
        <w:ind w:left="460" w:right="3059" w:firstLine="466"/>
        <w:spacing w:after="0" w:line="283" w:lineRule="auto"/>
        <w:tabs>
          <w:tab w:leader="none" w:pos="1297"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determination has been made in accordance with the procedures set forth in Section 16-10a-906(2) of the Act that the director met the standard of conduct set forth in subsection (b) below; and</w:t>
      </w:r>
    </w:p>
    <w:p>
      <w:pPr>
        <w:spacing w:after="0" w:line="154" w:lineRule="exact"/>
        <w:rPr>
          <w:rFonts w:ascii="Courier New" w:cs="Courier New" w:eastAsia="Courier New" w:hAnsi="Courier New"/>
          <w:sz w:val="14"/>
          <w:szCs w:val="14"/>
          <w:color w:val="auto"/>
        </w:rPr>
      </w:pPr>
    </w:p>
    <w:p>
      <w:pPr>
        <w:ind w:left="460" w:right="2879" w:firstLine="466"/>
        <w:spacing w:after="0" w:line="276" w:lineRule="auto"/>
        <w:tabs>
          <w:tab w:leader="none" w:pos="1297"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has been authorized in accordance with the procedures set forth in Section 16-10a-906(4) of the Act based on a conclusion that the expenses are reasonable, the corporation has the financial ability to make the payment, and the financial resources of-the corporation should be devoted to this use rather than some other use by the corporation.</w:t>
      </w:r>
    </w:p>
    <w:p>
      <w:pPr>
        <w:spacing w:after="0" w:line="155" w:lineRule="exact"/>
        <w:rPr>
          <w:sz w:val="20"/>
          <w:szCs w:val="20"/>
          <w:color w:val="auto"/>
        </w:rPr>
      </w:pPr>
    </w:p>
    <w:p>
      <w:pPr>
        <w:ind w:left="1300" w:hanging="374"/>
        <w:spacing w:after="0"/>
        <w:tabs>
          <w:tab w:leader="none" w:pos="130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Standard of Conduct. The individual shall demonstrate that:</w:t>
      </w:r>
    </w:p>
    <w:p>
      <w:pPr>
        <w:spacing w:after="0" w:line="176" w:lineRule="exact"/>
        <w:rPr>
          <w:rFonts w:ascii="Courier New" w:cs="Courier New" w:eastAsia="Courier New" w:hAnsi="Courier New"/>
          <w:sz w:val="16"/>
          <w:szCs w:val="16"/>
          <w:color w:val="auto"/>
        </w:rPr>
      </w:pPr>
    </w:p>
    <w:p>
      <w:pPr>
        <w:ind w:left="9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 his or her conduct was in good faith; and</w:t>
      </w:r>
    </w:p>
    <w:p>
      <w:pPr>
        <w:spacing w:after="0" w:line="183" w:lineRule="exact"/>
        <w:rPr>
          <w:sz w:val="20"/>
          <w:szCs w:val="20"/>
          <w:color w:val="auto"/>
        </w:rPr>
      </w:pPr>
    </w:p>
    <w:p>
      <w:pPr>
        <w:ind w:left="460" w:right="2959" w:firstLine="466"/>
        <w:spacing w:after="0" w:line="234" w:lineRule="auto"/>
        <w:tabs>
          <w:tab w:leader="none" w:pos="1297"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 or she reasonably believed that his or her conduct was in, or not opposed to, the corporation's best interests; and</w:t>
      </w:r>
    </w:p>
    <w:p>
      <w:pPr>
        <w:spacing w:after="0" w:line="183" w:lineRule="exact"/>
        <w:rPr>
          <w:rFonts w:ascii="Courier New" w:cs="Courier New" w:eastAsia="Courier New" w:hAnsi="Courier New"/>
          <w:sz w:val="16"/>
          <w:szCs w:val="16"/>
          <w:color w:val="auto"/>
        </w:rPr>
      </w:pPr>
    </w:p>
    <w:p>
      <w:pPr>
        <w:ind w:left="460" w:right="3719" w:firstLine="466"/>
        <w:spacing w:after="0" w:line="295" w:lineRule="auto"/>
        <w:tabs>
          <w:tab w:leader="none" w:pos="1297"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any criminal proceeding, he or she had no reasonable cause to believe his or her conduct was unlawful.</w:t>
      </w:r>
    </w:p>
    <w:p>
      <w:pPr>
        <w:sectPr>
          <w:pgSz w:w="11900" w:h="16838" w:orient="portrait"/>
          <w:cols w:equalWidth="0" w:num="1">
            <w:col w:w="10219"/>
          </w:cols>
          <w:pgMar w:left="240" w:top="654" w:right="1440" w:bottom="1440" w:gutter="0" w:footer="0" w:header="0"/>
        </w:sectPr>
      </w:pPr>
    </w:p>
    <w:bookmarkStart w:id="72" w:name="page73"/>
    <w:bookmarkEnd w:id="72"/>
    <w:p>
      <w:pPr>
        <w:ind w:right="2779" w:firstLine="926"/>
        <w:spacing w:after="0" w:line="234" w:lineRule="auto"/>
        <w:tabs>
          <w:tab w:leader="none" w:pos="1302"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Indemnification in Certain Circumstances. The corporation shall not indemnify a director under this Section 5.1:</w:t>
      </w:r>
    </w:p>
    <w:p>
      <w:pPr>
        <w:spacing w:after="0" w:line="183" w:lineRule="exact"/>
        <w:rPr>
          <w:sz w:val="20"/>
          <w:szCs w:val="20"/>
          <w:color w:val="auto"/>
        </w:rPr>
      </w:pPr>
    </w:p>
    <w:p>
      <w:pPr>
        <w:ind w:left="460" w:right="2959" w:firstLine="466"/>
        <w:spacing w:after="0" w:line="235" w:lineRule="auto"/>
        <w:tabs>
          <w:tab w:leader="none" w:pos="1297"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a proceeding by or in the right of the corporation in which the director was adjudged liable to the corporation; or</w:t>
      </w:r>
    </w:p>
    <w:p>
      <w:pPr>
        <w:spacing w:after="0" w:line="183" w:lineRule="exact"/>
        <w:rPr>
          <w:rFonts w:ascii="Courier New" w:cs="Courier New" w:eastAsia="Courier New" w:hAnsi="Courier New"/>
          <w:sz w:val="16"/>
          <w:szCs w:val="16"/>
          <w:color w:val="auto"/>
        </w:rPr>
      </w:pPr>
    </w:p>
    <w:p>
      <w:pPr>
        <w:ind w:left="460" w:right="2779" w:firstLine="466"/>
        <w:spacing w:after="0" w:line="279" w:lineRule="auto"/>
        <w:tabs>
          <w:tab w:leader="none" w:pos="1297"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any other proceeding charging that the director derived an improper personal benefit, whether or not involving action in his or her official capacity, in which proceeding he or she was adjudged liable on the basis that he or she derived an improper personal benefit.</w:t>
      </w:r>
    </w:p>
    <w:p>
      <w:pPr>
        <w:spacing w:after="0" w:line="157" w:lineRule="exact"/>
        <w:rPr>
          <w:sz w:val="20"/>
          <w:szCs w:val="20"/>
          <w:color w:val="auto"/>
        </w:rPr>
      </w:pPr>
    </w:p>
    <w:p>
      <w:pPr>
        <w:ind w:right="3059" w:firstLine="926"/>
        <w:spacing w:after="0" w:line="235" w:lineRule="auto"/>
        <w:tabs>
          <w:tab w:leader="none" w:pos="1302"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in Derivative Actions Limited. Indemnification permitted under this Section 5.1 in connection with a proceeding by or in the right of the corporation is limited to reasonable expenses incurred in connection with the proceeding.</w:t>
      </w:r>
    </w:p>
    <w:p>
      <w:pPr>
        <w:spacing w:after="0" w:line="18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5.2 Advance of Expenses for Directors. If a determination is made, following the procedures of Section 16-10a-906(2) of the Act, that the director has met the following requirements and if an authorization of payment is made following the procedures and standards set forth in Section 16-10a-906(4) of the Act, then the corporation shall pay for or reimburse the reasonable expenses incurred by a director who is a party to a proceeding in advance of final disposition of the proceeding, if:</w:t>
      </w:r>
    </w:p>
    <w:p>
      <w:pPr>
        <w:spacing w:after="0" w:line="184" w:lineRule="exact"/>
        <w:rPr>
          <w:sz w:val="20"/>
          <w:szCs w:val="20"/>
          <w:color w:val="auto"/>
        </w:rPr>
      </w:pPr>
    </w:p>
    <w:p>
      <w:pPr>
        <w:ind w:right="3059" w:firstLine="926"/>
        <w:spacing w:after="0" w:line="235" w:lineRule="auto"/>
        <w:tabs>
          <w:tab w:leader="none" w:pos="1302"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director furnishes the corporation a written affirmation of his or her good faith belief that he or she has met, the standard of conduct described in Section 5.1;</w:t>
      </w:r>
    </w:p>
    <w:p>
      <w:pPr>
        <w:spacing w:after="0" w:line="183" w:lineRule="exact"/>
        <w:rPr>
          <w:rFonts w:ascii="Courier New" w:cs="Courier New" w:eastAsia="Courier New" w:hAnsi="Courier New"/>
          <w:sz w:val="16"/>
          <w:szCs w:val="16"/>
          <w:color w:val="auto"/>
        </w:rPr>
      </w:pPr>
    </w:p>
    <w:p>
      <w:pPr>
        <w:ind w:right="2959" w:firstLine="926"/>
        <w:spacing w:after="0" w:line="283" w:lineRule="auto"/>
        <w:tabs>
          <w:tab w:leader="none" w:pos="1302"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director furnishes the corporation a written undertaking, executed personally or on his or her behalf, to repay the advance if it is ultimately determined that he or she did not meet the standard of conduct; and</w:t>
      </w:r>
    </w:p>
    <w:p>
      <w:pPr>
        <w:spacing w:after="0" w:line="154" w:lineRule="exact"/>
        <w:rPr>
          <w:rFonts w:ascii="Courier New" w:cs="Courier New" w:eastAsia="Courier New" w:hAnsi="Courier New"/>
          <w:sz w:val="14"/>
          <w:szCs w:val="14"/>
          <w:color w:val="auto"/>
        </w:rPr>
      </w:pPr>
    </w:p>
    <w:p>
      <w:pPr>
        <w:jc w:val="both"/>
        <w:ind w:right="2879" w:firstLine="926"/>
        <w:spacing w:after="0" w:line="235" w:lineRule="auto"/>
        <w:tabs>
          <w:tab w:leader="none" w:pos="1302"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determination is made that the facts then known to those making the determination would not preclude indemnification under Section 5.1 of these Bylaws or Part 9 of the Act.</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5.3 Indemnification of Officers, Agents and Employee Who Are Not Directors. The board of directors may indemnify and advance expenses to any officer, employee or agent of the corporation who is not a director of the corporation to any extent consistent with public policy, as determined by the general or specific actions of the board of directors.</w:t>
      </w:r>
    </w:p>
    <w:p>
      <w:pPr>
        <w:spacing w:after="0" w:line="186"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5.4 Insurance. By action of the board of directors, notwithstanding any interest of the directors in such action, the corporation may purchase and maintain liability insurance on behalf of a person who is or was a director, officer, employee, fiduciary or agent of the corporation, against any liability asserted against or incurred by such person in that capacity or arising from such person's status as a director, officer, employee, fiduciary or agent, whether or not the corporation would have the power to indemnify such person under the applicable provisions of the Act.</w:t>
      </w:r>
    </w:p>
    <w:p>
      <w:pPr>
        <w:sectPr>
          <w:pgSz w:w="11900" w:h="16838" w:orient="portrait"/>
          <w:cols w:equalWidth="0" w:num="1">
            <w:col w:w="10219"/>
          </w:cols>
          <w:pgMar w:left="240" w:top="654" w:right="1440" w:bottom="1440" w:gutter="0" w:footer="0" w:header="0"/>
        </w:sectPr>
      </w:pPr>
    </w:p>
    <w:bookmarkStart w:id="73" w:name="page74"/>
    <w:bookmarkEnd w:id="73"/>
    <w:p>
      <w:pPr>
        <w:jc w:val="center"/>
        <w:ind w:right="2699"/>
        <w:spacing w:after="0"/>
        <w:rPr>
          <w:sz w:val="20"/>
          <w:szCs w:val="20"/>
          <w:color w:val="auto"/>
        </w:rPr>
      </w:pPr>
      <w:r>
        <w:rPr>
          <w:rFonts w:ascii="Courier New" w:cs="Courier New" w:eastAsia="Courier New" w:hAnsi="Courier New"/>
          <w:sz w:val="16"/>
          <w:szCs w:val="16"/>
          <w:color w:val="auto"/>
        </w:rPr>
        <w:t>ARTICLE VI. STOCK</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6.1 Issuance of Shares. The corporation may issue the number of shares of each class or series of capital stock authorized by the articles of incorporation. The issuance or sale by the corporation of any shares of its authorized capital stock of any class shall be made only upon authorization by the board of directors, unless otherwise provided by statute. The board of directors may authorize the issuance of shares for consideration consisting of any tangible or intangible properly or benefit to the corporation, including cash, promissory notes, services performed, contracts or arrangements for services to be performed, or other securities of the corporation. Shares shall be issued for such consideration as shall be fixed from time to time by the board of directors. The terms of any issuance of stock in exchange for property or services to be received by the corporation in the future shall be set forth in writing.</w:t>
      </w:r>
    </w:p>
    <w:p>
      <w:pPr>
        <w:spacing w:after="0" w:line="18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6.2 Certificates for Shares</w:t>
      </w:r>
    </w:p>
    <w:p>
      <w:pPr>
        <w:spacing w:after="0" w:line="183" w:lineRule="exact"/>
        <w:rPr>
          <w:sz w:val="20"/>
          <w:szCs w:val="20"/>
          <w:color w:val="auto"/>
        </w:rPr>
      </w:pPr>
    </w:p>
    <w:p>
      <w:pPr>
        <w:ind w:right="2779" w:firstLine="926"/>
        <w:spacing w:after="0" w:line="273" w:lineRule="auto"/>
        <w:tabs>
          <w:tab w:leader="none" w:pos="1302"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Content. Shares may but need not be represented by certificates in such form as determined by the board of directors and stating on their face, at a minimum, the name of the corporation and that it is formed under the laws of the State of Utah, the name of the person to whom issued, and the number and class of shares and the designation of the series, if any, the certificate represents. Such certificates shall be signed (either manually or by facsimile) by the president or a vice-president and by the secretary or an assistant secretary and may be sealed with a corporate seal or a facsimile thereof. Each certificate for shares shall be consecutively numbered or otherwise identified.</w:t>
      </w:r>
    </w:p>
    <w:p>
      <w:pPr>
        <w:spacing w:after="0" w:line="165" w:lineRule="exact"/>
        <w:rPr>
          <w:rFonts w:ascii="Courier New" w:cs="Courier New" w:eastAsia="Courier New" w:hAnsi="Courier New"/>
          <w:sz w:val="14"/>
          <w:szCs w:val="14"/>
          <w:color w:val="auto"/>
        </w:rPr>
      </w:pPr>
    </w:p>
    <w:p>
      <w:pPr>
        <w:ind w:right="2779" w:firstLine="926"/>
        <w:spacing w:after="0" w:line="236" w:lineRule="auto"/>
        <w:tabs>
          <w:tab w:leader="none" w:pos="1302"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Legend as to Class or Series. If the corporation is authorized to issue different classes of shares or different series within a class, the designations, relative rights, preferences and limitations applicable to each class and the variations in rights, preferences and limitations determined for each series (and the authority of the board of directors to determine variations for future series) must be summarized on the front or back of each certificate. Alternatively, each certificate may state conspicuously on its front or back that the corporation will furnish the shareholder this information on request in writing and without charge.</w:t>
      </w:r>
    </w:p>
    <w:p>
      <w:pPr>
        <w:spacing w:after="0" w:line="184" w:lineRule="exact"/>
        <w:rPr>
          <w:rFonts w:ascii="Courier New" w:cs="Courier New" w:eastAsia="Courier New" w:hAnsi="Courier New"/>
          <w:sz w:val="16"/>
          <w:szCs w:val="16"/>
          <w:color w:val="auto"/>
        </w:rPr>
      </w:pPr>
    </w:p>
    <w:p>
      <w:pPr>
        <w:ind w:right="2959" w:firstLine="926"/>
        <w:spacing w:after="0" w:line="283" w:lineRule="auto"/>
        <w:tabs>
          <w:tab w:leader="none" w:pos="1302"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 List. The name and address of the person to whom the shares represented thereby are issued, with the number of shares and date of issue, shall be entered on the stock transfer books of the corporation.</w:t>
      </w:r>
    </w:p>
    <w:p>
      <w:pPr>
        <w:spacing w:after="0" w:line="154" w:lineRule="exact"/>
        <w:rPr>
          <w:rFonts w:ascii="Courier New" w:cs="Courier New" w:eastAsia="Courier New" w:hAnsi="Courier New"/>
          <w:sz w:val="14"/>
          <w:szCs w:val="14"/>
          <w:color w:val="auto"/>
        </w:rPr>
      </w:pPr>
    </w:p>
    <w:p>
      <w:pPr>
        <w:ind w:right="2879" w:firstLine="926"/>
        <w:spacing w:after="0" w:line="236" w:lineRule="auto"/>
        <w:tabs>
          <w:tab w:leader="none" w:pos="1302"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Transferring Shares. All certificates surrendered to the corporation for transfer shall be cancelled and no new certificate shall be issued until the former certificate for a like number of shares shall have been surrendered and cancelled, except that in case of a lost, destroyed, or mutilated certificate, a new one may be issued therefor upon such terms and indemnity to the corporation as the board of directors may prescribe.</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6.3 Shares Without Certificates. The board of directors may authorize the issuance of some or all of the shares of any or all of its classes or series without certificates. Within a reasonable time after the issuance or transfer of shares without certificates. the corporation shall send the shareholder a written statement of the information required on certificates under Section 6.2 of these Bylaws.</w:t>
      </w:r>
    </w:p>
    <w:p>
      <w:pPr>
        <w:sectPr>
          <w:pgSz w:w="11900" w:h="16838" w:orient="portrait"/>
          <w:cols w:equalWidth="0" w:num="1">
            <w:col w:w="10219"/>
          </w:cols>
          <w:pgMar w:left="240" w:top="648" w:right="1440" w:bottom="1440" w:gutter="0" w:footer="0" w:header="0"/>
        </w:sectPr>
      </w:pPr>
    </w:p>
    <w:bookmarkStart w:id="74" w:name="page75"/>
    <w:bookmarkEnd w:id="74"/>
    <w:p>
      <w:pPr>
        <w:ind w:right="2779" w:firstLine="465"/>
        <w:spacing w:after="0" w:line="236" w:lineRule="auto"/>
        <w:rPr>
          <w:sz w:val="20"/>
          <w:szCs w:val="20"/>
          <w:color w:val="auto"/>
        </w:rPr>
      </w:pPr>
      <w:r>
        <w:rPr>
          <w:rFonts w:ascii="Courier New" w:cs="Courier New" w:eastAsia="Courier New" w:hAnsi="Courier New"/>
          <w:sz w:val="16"/>
          <w:szCs w:val="16"/>
          <w:color w:val="auto"/>
        </w:rPr>
        <w:t>6.4 Registration of the Transfer of Shares. Registration of the transfer of shares of the corporation shall be made only on the stock transfer books of the corporation. In order to register a transfer, the record owner shall surrender the shares to the corporation for cancellation, properly endorsed by the appropriate person or persons with reasonable assurances that the endorsements are genuine and effective. Unless the corporation has established a procedure by which a beneficial owner of shares held by a nominee is to be recognized by the corporation as the owner, the person in whose name shares stand in the books of the corporation shall be deemed by the corporation to be the owner thereof for all purposes.</w:t>
      </w:r>
    </w:p>
    <w:p>
      <w:pPr>
        <w:spacing w:after="0" w:line="179"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ARTICLE VII. MISCELLANEOUS</w:t>
      </w:r>
    </w:p>
    <w:p>
      <w:pPr>
        <w:spacing w:after="0" w:line="183"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7.1 Inspection of Records by Shareholders and Directors. A shareholder or director of a corporation is entitled to inspect and copy, during regular business hours at the corporation's principal office, any of the records of the corporation required to be maintained by the corporation under the Act, if such person gives the corporation written notice of the demand at least five business days before the date on which such a person wishes to inspect and copy. The scope of such inspection right shall be as provided under the Act.</w:t>
      </w:r>
    </w:p>
    <w:p>
      <w:pPr>
        <w:spacing w:after="0" w:line="164"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7.2 Corporate Seal. The board of directors may provide a corporate seal which may be circular in form and have inscribed thereon any designation including the name of the corporation, the state of incorporation, and the words "Corporate Seal."</w:t>
      </w:r>
    </w:p>
    <w:p>
      <w:pPr>
        <w:spacing w:after="0" w:line="185" w:lineRule="exact"/>
        <w:rPr>
          <w:sz w:val="20"/>
          <w:szCs w:val="20"/>
          <w:color w:val="auto"/>
        </w:rPr>
      </w:pPr>
    </w:p>
    <w:p>
      <w:pPr>
        <w:ind w:right="3059" w:firstLine="465"/>
        <w:spacing w:after="0" w:line="234" w:lineRule="auto"/>
        <w:rPr>
          <w:sz w:val="20"/>
          <w:szCs w:val="20"/>
          <w:color w:val="auto"/>
        </w:rPr>
      </w:pPr>
      <w:r>
        <w:rPr>
          <w:rFonts w:ascii="Courier New" w:cs="Courier New" w:eastAsia="Courier New" w:hAnsi="Courier New"/>
          <w:sz w:val="16"/>
          <w:szCs w:val="16"/>
          <w:color w:val="auto"/>
        </w:rPr>
        <w:t>7.3 Amendments. The corporation's board of directors may amend or repeal the corporation's Bylaws at any time unless:</w:t>
      </w:r>
    </w:p>
    <w:p>
      <w:pPr>
        <w:spacing w:after="0" w:line="183" w:lineRule="exact"/>
        <w:rPr>
          <w:sz w:val="20"/>
          <w:szCs w:val="20"/>
          <w:color w:val="auto"/>
        </w:rPr>
      </w:pPr>
    </w:p>
    <w:p>
      <w:pPr>
        <w:ind w:right="3439" w:firstLine="926"/>
        <w:spacing w:after="0" w:line="234" w:lineRule="auto"/>
        <w:tabs>
          <w:tab w:leader="none" w:pos="1302"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articles of incorporation or the Act reserve this power exclusively to the shareholders in whole or part; or</w:t>
      </w:r>
    </w:p>
    <w:p>
      <w:pPr>
        <w:spacing w:after="0" w:line="183" w:lineRule="exact"/>
        <w:rPr>
          <w:rFonts w:ascii="Courier New" w:cs="Courier New" w:eastAsia="Courier New" w:hAnsi="Courier New"/>
          <w:sz w:val="16"/>
          <w:szCs w:val="16"/>
          <w:color w:val="auto"/>
        </w:rPr>
      </w:pPr>
    </w:p>
    <w:p>
      <w:pPr>
        <w:ind w:right="2879" w:firstLine="926"/>
        <w:spacing w:after="0" w:line="235" w:lineRule="auto"/>
        <w:tabs>
          <w:tab w:leader="none" w:pos="1302"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shareholders, in adopting, amending or repealing a particular bylaw, provide expressly that the board of directors may not amend or repeal that bylaw; or</w:t>
      </w:r>
    </w:p>
    <w:p>
      <w:pPr>
        <w:spacing w:after="0" w:line="183" w:lineRule="exact"/>
        <w:rPr>
          <w:rFonts w:ascii="Courier New" w:cs="Courier New" w:eastAsia="Courier New" w:hAnsi="Courier New"/>
          <w:sz w:val="16"/>
          <w:szCs w:val="16"/>
          <w:color w:val="auto"/>
        </w:rPr>
      </w:pPr>
    </w:p>
    <w:p>
      <w:pPr>
        <w:ind w:right="3619" w:firstLine="926"/>
        <w:spacing w:after="0" w:line="234" w:lineRule="auto"/>
        <w:tabs>
          <w:tab w:leader="none" w:pos="1302"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bylaw either establishes, amends or deletes a greater shareholder quorum or voting requirement.</w:t>
      </w:r>
    </w:p>
    <w:p>
      <w:pPr>
        <w:spacing w:after="0" w:line="183" w:lineRule="exact"/>
        <w:rPr>
          <w:sz w:val="20"/>
          <w:szCs w:val="20"/>
          <w:color w:val="auto"/>
        </w:rPr>
      </w:pPr>
    </w:p>
    <w:p>
      <w:pPr>
        <w:ind w:right="2879"/>
        <w:spacing w:after="0" w:line="279" w:lineRule="auto"/>
        <w:rPr>
          <w:sz w:val="20"/>
          <w:szCs w:val="20"/>
          <w:color w:val="auto"/>
        </w:rPr>
      </w:pPr>
      <w:r>
        <w:rPr>
          <w:rFonts w:ascii="Courier New" w:cs="Courier New" w:eastAsia="Courier New" w:hAnsi="Courier New"/>
          <w:sz w:val="14"/>
          <w:szCs w:val="14"/>
          <w:color w:val="auto"/>
        </w:rPr>
        <w:t>Any amendment which changes the voting or quorum requirement for the board must meet the same quorum requirement and be adopted by the same vote and voting groups required to take action under the quorum and voting requirements then in effect or proposed to be adopted, whichever are greater.</w:t>
      </w:r>
    </w:p>
    <w:p>
      <w:pPr>
        <w:spacing w:after="0" w:line="157" w:lineRule="exact"/>
        <w:rPr>
          <w:sz w:val="20"/>
          <w:szCs w:val="20"/>
          <w:color w:val="auto"/>
        </w:rPr>
      </w:pPr>
    </w:p>
    <w:p>
      <w:pPr>
        <w:ind w:right="2779" w:firstLine="465"/>
        <w:spacing w:after="0" w:line="234" w:lineRule="auto"/>
        <w:rPr>
          <w:sz w:val="20"/>
          <w:szCs w:val="20"/>
          <w:color w:val="auto"/>
        </w:rPr>
      </w:pPr>
      <w:r>
        <w:rPr>
          <w:rFonts w:ascii="Courier New" w:cs="Courier New" w:eastAsia="Courier New" w:hAnsi="Courier New"/>
          <w:sz w:val="16"/>
          <w:szCs w:val="16"/>
          <w:color w:val="auto"/>
        </w:rPr>
        <w:t>7.4 Fiscal Year. The fiscal year of the corporation shall be established by the board of directors.</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[End of Bylaws]</w:t>
      </w:r>
    </w:p>
    <w:p>
      <w:pPr>
        <w:sectPr>
          <w:pgSz w:w="11900" w:h="16838" w:orient="portrait"/>
          <w:cols w:equalWidth="0" w:num="1">
            <w:col w:w="10219"/>
          </w:cols>
          <w:pgMar w:left="240" w:top="654" w:right="1440" w:bottom="1440" w:gutter="0" w:footer="0" w:header="0"/>
        </w:sectPr>
      </w:pPr>
    </w:p>
    <w:bookmarkStart w:id="75" w:name="page76"/>
    <w:bookmarkEnd w:id="75"/>
    <w:p>
      <w:pPr>
        <w:ind w:left="6420"/>
        <w:spacing w:after="0"/>
        <w:rPr>
          <w:sz w:val="20"/>
          <w:szCs w:val="20"/>
          <w:color w:val="auto"/>
        </w:rPr>
      </w:pPr>
      <w:r>
        <w:rPr>
          <w:rFonts w:ascii="Courier New" w:cs="Courier New" w:eastAsia="Courier New" w:hAnsi="Courier New"/>
          <w:sz w:val="16"/>
          <w:szCs w:val="16"/>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CLEARONE COMMUNICATIONS, INC.,</w:t>
      </w:r>
    </w:p>
    <w:p>
      <w:pPr>
        <w:spacing w:after="0" w:line="177"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as Issuer</w:t>
      </w:r>
    </w:p>
    <w:p>
      <w:pPr>
        <w:spacing w:after="0" w:line="177"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and</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THE BANK OF NEW YORK,</w:t>
      </w:r>
    </w:p>
    <w:p>
      <w:pPr>
        <w:spacing w:after="0" w:line="17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as Trustee</w:t>
      </w:r>
    </w:p>
    <w:p>
      <w:pPr>
        <w:spacing w:after="0" w:line="200" w:lineRule="exact"/>
        <w:rPr>
          <w:sz w:val="20"/>
          <w:szCs w:val="20"/>
          <w:color w:val="auto"/>
        </w:rPr>
      </w:pPr>
    </w:p>
    <w:p>
      <w:pPr>
        <w:spacing w:after="0" w:line="334"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Indenture</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Dated as of _____ , 200_</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Providing for the Issuance</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of</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Senior Debt Securities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CLEARONE COMMUNICATIONS, INC.</w:t>
      </w:r>
    </w:p>
    <w:p>
      <w:pPr>
        <w:ind w:left="1020"/>
        <w:spacing w:after="0" w:line="236" w:lineRule="auto"/>
        <w:rPr>
          <w:sz w:val="20"/>
          <w:szCs w:val="20"/>
          <w:color w:val="auto"/>
        </w:rPr>
      </w:pPr>
      <w:r>
        <w:rPr>
          <w:rFonts w:ascii="Courier New" w:cs="Courier New" w:eastAsia="Courier New" w:hAnsi="Courier New"/>
          <w:sz w:val="16"/>
          <w:szCs w:val="16"/>
          <w:color w:val="auto"/>
        </w:rPr>
        <w:t>Reconciliation and tie between Trust Indenture Act of 1939</w:t>
      </w:r>
    </w:p>
    <w:p>
      <w:pPr>
        <w:ind w:left="1660"/>
        <w:spacing w:after="0" w:line="237" w:lineRule="auto"/>
        <w:rPr>
          <w:sz w:val="20"/>
          <w:szCs w:val="20"/>
          <w:color w:val="auto"/>
        </w:rPr>
      </w:pPr>
      <w:r>
        <w:rPr>
          <w:rFonts w:ascii="Courier New" w:cs="Courier New" w:eastAsia="Courier New" w:hAnsi="Courier New"/>
          <w:sz w:val="16"/>
          <w:szCs w:val="16"/>
          <w:color w:val="auto"/>
        </w:rPr>
        <w:t>and Indenture dated as of __________ __, 2002</w:t>
      </w:r>
    </w:p>
    <w:p>
      <w:pPr>
        <w:spacing w:after="0" w:line="177" w:lineRule="exact"/>
        <w:rPr>
          <w:sz w:val="20"/>
          <w:szCs w:val="20"/>
          <w:color w:val="auto"/>
        </w:rPr>
      </w:pPr>
    </w:p>
    <w:p>
      <w:pPr>
        <w:spacing w:after="0"/>
        <w:tabs>
          <w:tab w:leader="none" w:pos="5380" w:val="left"/>
        </w:tabs>
        <w:rPr>
          <w:sz w:val="20"/>
          <w:szCs w:val="20"/>
          <w:color w:val="auto"/>
        </w:rPr>
      </w:pPr>
      <w:r>
        <w:rPr>
          <w:rFonts w:ascii="Courier New" w:cs="Courier New" w:eastAsia="Courier New" w:hAnsi="Courier New"/>
          <w:sz w:val="16"/>
          <w:szCs w:val="16"/>
          <w:color w:val="auto"/>
        </w:rPr>
        <w:t>TRUST INDENTURE ACT SECTION</w:t>
      </w:r>
      <w:r>
        <w:rPr>
          <w:sz w:val="20"/>
          <w:szCs w:val="20"/>
          <w:color w:val="auto"/>
        </w:rPr>
        <w:tab/>
      </w:r>
      <w:r>
        <w:rPr>
          <w:rFonts w:ascii="Courier New" w:cs="Courier New" w:eastAsia="Courier New" w:hAnsi="Courier New"/>
          <w:sz w:val="14"/>
          <w:szCs w:val="14"/>
          <w:color w:val="auto"/>
        </w:rPr>
        <w:t>INDENTURE SECTION</w:t>
      </w:r>
    </w:p>
    <w:p>
      <w:pPr>
        <w:spacing w:after="0"/>
        <w:tabs>
          <w:tab w:leader="none" w:pos="538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4"/>
          <w:szCs w:val="14"/>
          <w:color w:val="auto"/>
        </w:rPr>
        <w:t>---------------------</w:t>
      </w:r>
    </w:p>
    <w:p>
      <w:pPr>
        <w:spacing w:after="0"/>
        <w:tabs>
          <w:tab w:leader="dot" w:pos="6020" w:val="left"/>
        </w:tabs>
        <w:rPr>
          <w:sz w:val="20"/>
          <w:szCs w:val="20"/>
          <w:color w:val="auto"/>
        </w:rPr>
      </w:pPr>
      <w:r>
        <w:rPr>
          <w:rFonts w:ascii="Courier New" w:cs="Courier New" w:eastAsia="Courier New" w:hAnsi="Courier New"/>
          <w:sz w:val="16"/>
          <w:szCs w:val="16"/>
          <w:color w:val="auto"/>
        </w:rPr>
        <w:t>Section 310(a)(1)</w:t>
      </w:r>
      <w:r>
        <w:rPr>
          <w:sz w:val="20"/>
          <w:szCs w:val="20"/>
          <w:color w:val="auto"/>
        </w:rPr>
        <w:tab/>
      </w:r>
      <w:r>
        <w:rPr>
          <w:rFonts w:ascii="Courier New" w:cs="Courier New" w:eastAsia="Courier New" w:hAnsi="Courier New"/>
          <w:sz w:val="14"/>
          <w:szCs w:val="14"/>
          <w:color w:val="auto"/>
        </w:rPr>
        <w:t>607</w:t>
      </w:r>
    </w:p>
    <w:p>
      <w:pPr>
        <w:ind w:left="1120"/>
        <w:spacing w:after="0"/>
        <w:tabs>
          <w:tab w:leader="dot" w:pos="6020" w:val="left"/>
        </w:tabs>
        <w:rPr>
          <w:sz w:val="20"/>
          <w:szCs w:val="20"/>
          <w:color w:val="auto"/>
        </w:rPr>
      </w:pPr>
      <w:r>
        <w:rPr>
          <w:rFonts w:ascii="Courier New" w:cs="Courier New" w:eastAsia="Courier New" w:hAnsi="Courier New"/>
          <w:sz w:val="16"/>
          <w:szCs w:val="16"/>
          <w:color w:val="auto"/>
        </w:rPr>
        <w:t>(a)(2)</w:t>
      </w:r>
      <w:r>
        <w:rPr>
          <w:sz w:val="20"/>
          <w:szCs w:val="20"/>
          <w:color w:val="auto"/>
        </w:rPr>
        <w:tab/>
      </w:r>
      <w:r>
        <w:rPr>
          <w:rFonts w:ascii="Courier New" w:cs="Courier New" w:eastAsia="Courier New" w:hAnsi="Courier New"/>
          <w:sz w:val="14"/>
          <w:szCs w:val="14"/>
          <w:color w:val="auto"/>
        </w:rPr>
        <w:t>607</w:t>
      </w:r>
    </w:p>
    <w:p>
      <w:pPr>
        <w:ind w:left="1120"/>
        <w:spacing w:after="0"/>
        <w:tabs>
          <w:tab w:leader="dot" w:pos="6020" w:val="left"/>
        </w:tabs>
        <w:rPr>
          <w:sz w:val="20"/>
          <w:szCs w:val="20"/>
          <w:color w:val="auto"/>
        </w:rPr>
      </w:pPr>
      <w:r>
        <w:rPr>
          <w:rFonts w:ascii="Courier New" w:cs="Courier New" w:eastAsia="Courier New" w:hAnsi="Courier New"/>
          <w:sz w:val="16"/>
          <w:szCs w:val="16"/>
          <w:color w:val="auto"/>
        </w:rPr>
        <w:t>(b)</w:t>
      </w:r>
      <w:r>
        <w:rPr>
          <w:sz w:val="20"/>
          <w:szCs w:val="20"/>
          <w:color w:val="auto"/>
        </w:rPr>
        <w:tab/>
      </w:r>
      <w:r>
        <w:rPr>
          <w:rFonts w:ascii="Courier New" w:cs="Courier New" w:eastAsia="Courier New" w:hAnsi="Courier New"/>
          <w:sz w:val="14"/>
          <w:szCs w:val="14"/>
          <w:color w:val="auto"/>
        </w:rPr>
        <w:t>608</w:t>
      </w:r>
    </w:p>
    <w:p>
      <w:pPr>
        <w:spacing w:after="0"/>
        <w:tabs>
          <w:tab w:leader="dot" w:pos="6020" w:val="left"/>
        </w:tabs>
        <w:rPr>
          <w:sz w:val="20"/>
          <w:szCs w:val="20"/>
          <w:color w:val="auto"/>
        </w:rPr>
      </w:pPr>
      <w:r>
        <w:rPr>
          <w:rFonts w:ascii="Courier New" w:cs="Courier New" w:eastAsia="Courier New" w:hAnsi="Courier New"/>
          <w:sz w:val="16"/>
          <w:szCs w:val="16"/>
          <w:color w:val="auto"/>
        </w:rPr>
        <w:t>Section 312(c)</w:t>
      </w:r>
      <w:r>
        <w:rPr>
          <w:sz w:val="20"/>
          <w:szCs w:val="20"/>
          <w:color w:val="auto"/>
        </w:rPr>
        <w:tab/>
      </w:r>
      <w:r>
        <w:rPr>
          <w:rFonts w:ascii="Courier New" w:cs="Courier New" w:eastAsia="Courier New" w:hAnsi="Courier New"/>
          <w:sz w:val="14"/>
          <w:szCs w:val="14"/>
          <w:color w:val="auto"/>
        </w:rPr>
        <w:t>701</w:t>
      </w:r>
    </w:p>
    <w:p>
      <w:pPr>
        <w:spacing w:after="0"/>
        <w:tabs>
          <w:tab w:leader="dot" w:pos="6020" w:val="left"/>
        </w:tabs>
        <w:rPr>
          <w:sz w:val="20"/>
          <w:szCs w:val="20"/>
          <w:color w:val="auto"/>
        </w:rPr>
      </w:pPr>
      <w:r>
        <w:rPr>
          <w:rFonts w:ascii="Courier New" w:cs="Courier New" w:eastAsia="Courier New" w:hAnsi="Courier New"/>
          <w:sz w:val="16"/>
          <w:szCs w:val="16"/>
          <w:color w:val="auto"/>
        </w:rPr>
        <w:t>Section 314(a)</w:t>
      </w:r>
      <w:r>
        <w:rPr>
          <w:sz w:val="20"/>
          <w:szCs w:val="20"/>
          <w:color w:val="auto"/>
        </w:rPr>
        <w:tab/>
      </w:r>
      <w:r>
        <w:rPr>
          <w:rFonts w:ascii="Courier New" w:cs="Courier New" w:eastAsia="Courier New" w:hAnsi="Courier New"/>
          <w:sz w:val="14"/>
          <w:szCs w:val="14"/>
          <w:color w:val="auto"/>
        </w:rPr>
        <w:t>703</w:t>
      </w:r>
    </w:p>
    <w:p>
      <w:pPr>
        <w:ind w:left="1120"/>
        <w:spacing w:after="0"/>
        <w:tabs>
          <w:tab w:leader="dot" w:pos="5920" w:val="left"/>
        </w:tabs>
        <w:rPr>
          <w:sz w:val="20"/>
          <w:szCs w:val="20"/>
          <w:color w:val="auto"/>
        </w:rPr>
      </w:pPr>
      <w:r>
        <w:rPr>
          <w:rFonts w:ascii="Courier New" w:cs="Courier New" w:eastAsia="Courier New" w:hAnsi="Courier New"/>
          <w:sz w:val="16"/>
          <w:szCs w:val="16"/>
          <w:color w:val="auto"/>
        </w:rPr>
        <w:t>(a)(4)</w:t>
      </w:r>
      <w:r>
        <w:rPr>
          <w:sz w:val="20"/>
          <w:szCs w:val="20"/>
          <w:color w:val="auto"/>
        </w:rPr>
        <w:tab/>
      </w:r>
      <w:r>
        <w:rPr>
          <w:rFonts w:ascii="Courier New" w:cs="Courier New" w:eastAsia="Courier New" w:hAnsi="Courier New"/>
          <w:sz w:val="14"/>
          <w:szCs w:val="14"/>
          <w:color w:val="auto"/>
        </w:rPr>
        <w:t>1005</w:t>
      </w:r>
    </w:p>
    <w:p>
      <w:pPr>
        <w:ind w:left="1120"/>
        <w:spacing w:after="0"/>
        <w:tabs>
          <w:tab w:leader="dot" w:pos="6020" w:val="left"/>
        </w:tabs>
        <w:rPr>
          <w:sz w:val="20"/>
          <w:szCs w:val="20"/>
          <w:color w:val="auto"/>
        </w:rPr>
      </w:pPr>
      <w:r>
        <w:rPr>
          <w:rFonts w:ascii="Courier New" w:cs="Courier New" w:eastAsia="Courier New" w:hAnsi="Courier New"/>
          <w:sz w:val="16"/>
          <w:szCs w:val="16"/>
          <w:color w:val="auto"/>
        </w:rPr>
        <w:t>(c)(1)</w:t>
      </w:r>
      <w:r>
        <w:rPr>
          <w:sz w:val="20"/>
          <w:szCs w:val="20"/>
          <w:color w:val="auto"/>
        </w:rPr>
        <w:tab/>
      </w:r>
      <w:r>
        <w:rPr>
          <w:rFonts w:ascii="Courier New" w:cs="Courier New" w:eastAsia="Courier New" w:hAnsi="Courier New"/>
          <w:sz w:val="14"/>
          <w:szCs w:val="14"/>
          <w:color w:val="auto"/>
        </w:rPr>
        <w:t>102</w:t>
      </w:r>
    </w:p>
    <w:p>
      <w:pPr>
        <w:ind w:left="1120"/>
        <w:spacing w:after="0"/>
        <w:tabs>
          <w:tab w:leader="dot" w:pos="6020" w:val="left"/>
        </w:tabs>
        <w:rPr>
          <w:sz w:val="20"/>
          <w:szCs w:val="20"/>
          <w:color w:val="auto"/>
        </w:rPr>
      </w:pPr>
      <w:r>
        <w:rPr>
          <w:rFonts w:ascii="Courier New" w:cs="Courier New" w:eastAsia="Courier New" w:hAnsi="Courier New"/>
          <w:sz w:val="16"/>
          <w:szCs w:val="16"/>
          <w:color w:val="auto"/>
        </w:rPr>
        <w:t>(c)(2)</w:t>
      </w:r>
      <w:r>
        <w:rPr>
          <w:sz w:val="20"/>
          <w:szCs w:val="20"/>
          <w:color w:val="auto"/>
        </w:rPr>
        <w:tab/>
      </w:r>
      <w:r>
        <w:rPr>
          <w:rFonts w:ascii="Courier New" w:cs="Courier New" w:eastAsia="Courier New" w:hAnsi="Courier New"/>
          <w:sz w:val="14"/>
          <w:szCs w:val="14"/>
          <w:color w:val="auto"/>
        </w:rPr>
        <w:t>102</w:t>
      </w:r>
    </w:p>
    <w:p>
      <w:pPr>
        <w:ind w:left="1120"/>
        <w:spacing w:after="0"/>
        <w:tabs>
          <w:tab w:leader="dot" w:pos="6020" w:val="left"/>
        </w:tabs>
        <w:rPr>
          <w:sz w:val="20"/>
          <w:szCs w:val="20"/>
          <w:color w:val="auto"/>
        </w:rPr>
      </w:pPr>
      <w:r>
        <w:rPr>
          <w:rFonts w:ascii="Courier New" w:cs="Courier New" w:eastAsia="Courier New" w:hAnsi="Courier New"/>
          <w:sz w:val="16"/>
          <w:szCs w:val="16"/>
          <w:color w:val="auto"/>
        </w:rPr>
        <w:t>(e)</w:t>
      </w:r>
      <w:r>
        <w:rPr>
          <w:sz w:val="20"/>
          <w:szCs w:val="20"/>
          <w:color w:val="auto"/>
        </w:rPr>
        <w:tab/>
      </w:r>
      <w:r>
        <w:rPr>
          <w:rFonts w:ascii="Courier New" w:cs="Courier New" w:eastAsia="Courier New" w:hAnsi="Courier New"/>
          <w:sz w:val="14"/>
          <w:szCs w:val="14"/>
          <w:color w:val="auto"/>
        </w:rPr>
        <w:t>102</w:t>
      </w:r>
    </w:p>
    <w:p>
      <w:pPr>
        <w:spacing w:after="0"/>
        <w:tabs>
          <w:tab w:leader="dot" w:pos="6020" w:val="left"/>
        </w:tabs>
        <w:rPr>
          <w:sz w:val="20"/>
          <w:szCs w:val="20"/>
          <w:color w:val="auto"/>
        </w:rPr>
      </w:pPr>
      <w:r>
        <w:rPr>
          <w:rFonts w:ascii="Courier New" w:cs="Courier New" w:eastAsia="Courier New" w:hAnsi="Courier New"/>
          <w:sz w:val="16"/>
          <w:szCs w:val="16"/>
          <w:color w:val="auto"/>
        </w:rPr>
        <w:t>Section 315(b)</w:t>
      </w:r>
      <w:r>
        <w:rPr>
          <w:sz w:val="20"/>
          <w:szCs w:val="20"/>
          <w:color w:val="auto"/>
        </w:rPr>
        <w:tab/>
      </w:r>
      <w:r>
        <w:rPr>
          <w:rFonts w:ascii="Courier New" w:cs="Courier New" w:eastAsia="Courier New" w:hAnsi="Courier New"/>
          <w:sz w:val="14"/>
          <w:szCs w:val="14"/>
          <w:color w:val="auto"/>
        </w:rPr>
        <w:t>601</w:t>
      </w:r>
    </w:p>
    <w:p>
      <w:pPr>
        <w:spacing w:after="0"/>
        <w:tabs>
          <w:tab w:leader="dot" w:pos="5280" w:val="left"/>
        </w:tabs>
        <w:rPr>
          <w:sz w:val="20"/>
          <w:szCs w:val="20"/>
          <w:color w:val="auto"/>
        </w:rPr>
      </w:pPr>
      <w:r>
        <w:rPr>
          <w:rFonts w:ascii="Courier New" w:cs="Courier New" w:eastAsia="Courier New" w:hAnsi="Courier New"/>
          <w:sz w:val="16"/>
          <w:szCs w:val="16"/>
          <w:color w:val="auto"/>
        </w:rPr>
        <w:t>Section 316(a) (last sentence)</w:t>
      </w:r>
      <w:r>
        <w:rPr>
          <w:sz w:val="20"/>
          <w:szCs w:val="20"/>
          <w:color w:val="auto"/>
        </w:rPr>
        <w:tab/>
      </w:r>
      <w:r>
        <w:rPr>
          <w:rFonts w:ascii="Courier New" w:cs="Courier New" w:eastAsia="Courier New" w:hAnsi="Courier New"/>
          <w:sz w:val="14"/>
          <w:szCs w:val="14"/>
          <w:color w:val="auto"/>
        </w:rPr>
        <w:t>101 ("Outstanding")</w:t>
      </w:r>
    </w:p>
    <w:p>
      <w:pPr>
        <w:ind w:left="1120"/>
        <w:spacing w:after="0"/>
        <w:tabs>
          <w:tab w:leader="dot" w:pos="5740" w:val="left"/>
        </w:tabs>
        <w:rPr>
          <w:sz w:val="20"/>
          <w:szCs w:val="20"/>
          <w:color w:val="auto"/>
        </w:rPr>
      </w:pPr>
      <w:r>
        <w:rPr>
          <w:rFonts w:ascii="Courier New" w:cs="Courier New" w:eastAsia="Courier New" w:hAnsi="Courier New"/>
          <w:sz w:val="16"/>
          <w:szCs w:val="16"/>
          <w:color w:val="auto"/>
        </w:rPr>
        <w:t>(a)(1)(A)</w:t>
      </w:r>
      <w:r>
        <w:rPr>
          <w:sz w:val="20"/>
          <w:szCs w:val="20"/>
          <w:color w:val="auto"/>
        </w:rPr>
        <w:tab/>
      </w:r>
      <w:r>
        <w:rPr>
          <w:rFonts w:ascii="Courier New" w:cs="Courier New" w:eastAsia="Courier New" w:hAnsi="Courier New"/>
          <w:sz w:val="14"/>
          <w:szCs w:val="14"/>
          <w:color w:val="auto"/>
        </w:rPr>
        <w:t>502, 512</w:t>
      </w:r>
    </w:p>
    <w:p>
      <w:pPr>
        <w:ind w:left="1120"/>
        <w:spacing w:after="0"/>
        <w:tabs>
          <w:tab w:leader="dot" w:pos="6020" w:val="left"/>
        </w:tabs>
        <w:rPr>
          <w:sz w:val="20"/>
          <w:szCs w:val="20"/>
          <w:color w:val="auto"/>
        </w:rPr>
      </w:pPr>
      <w:r>
        <w:rPr>
          <w:rFonts w:ascii="Courier New" w:cs="Courier New" w:eastAsia="Courier New" w:hAnsi="Courier New"/>
          <w:sz w:val="16"/>
          <w:szCs w:val="16"/>
          <w:color w:val="auto"/>
        </w:rPr>
        <w:t>(a)(1)(B)</w:t>
      </w:r>
      <w:r>
        <w:rPr>
          <w:sz w:val="20"/>
          <w:szCs w:val="20"/>
          <w:color w:val="auto"/>
        </w:rPr>
        <w:tab/>
      </w:r>
      <w:r>
        <w:rPr>
          <w:rFonts w:ascii="Courier New" w:cs="Courier New" w:eastAsia="Courier New" w:hAnsi="Courier New"/>
          <w:sz w:val="14"/>
          <w:szCs w:val="14"/>
          <w:color w:val="auto"/>
        </w:rPr>
        <w:t>513</w:t>
      </w:r>
    </w:p>
    <w:p>
      <w:pPr>
        <w:ind w:left="1120"/>
        <w:spacing w:after="0"/>
        <w:tabs>
          <w:tab w:leader="dot" w:pos="6020" w:val="left"/>
        </w:tabs>
        <w:rPr>
          <w:sz w:val="20"/>
          <w:szCs w:val="20"/>
          <w:color w:val="auto"/>
        </w:rPr>
      </w:pPr>
      <w:r>
        <w:rPr>
          <w:rFonts w:ascii="Courier New" w:cs="Courier New" w:eastAsia="Courier New" w:hAnsi="Courier New"/>
          <w:sz w:val="16"/>
          <w:szCs w:val="16"/>
          <w:color w:val="auto"/>
        </w:rPr>
        <w:t>(b)</w:t>
      </w:r>
      <w:r>
        <w:rPr>
          <w:sz w:val="20"/>
          <w:szCs w:val="20"/>
          <w:color w:val="auto"/>
        </w:rPr>
        <w:tab/>
      </w:r>
      <w:r>
        <w:rPr>
          <w:rFonts w:ascii="Courier New" w:cs="Courier New" w:eastAsia="Courier New" w:hAnsi="Courier New"/>
          <w:sz w:val="14"/>
          <w:szCs w:val="14"/>
          <w:color w:val="auto"/>
        </w:rPr>
        <w:t>508</w:t>
      </w:r>
    </w:p>
    <w:p>
      <w:pPr>
        <w:spacing w:after="0"/>
        <w:tabs>
          <w:tab w:leader="dot" w:pos="6020" w:val="left"/>
        </w:tabs>
        <w:rPr>
          <w:sz w:val="20"/>
          <w:szCs w:val="20"/>
          <w:color w:val="auto"/>
        </w:rPr>
      </w:pPr>
      <w:r>
        <w:rPr>
          <w:rFonts w:ascii="Courier New" w:cs="Courier New" w:eastAsia="Courier New" w:hAnsi="Courier New"/>
          <w:sz w:val="16"/>
          <w:szCs w:val="16"/>
          <w:color w:val="auto"/>
        </w:rPr>
        <w:t>Section 317(a)(1)</w:t>
      </w:r>
      <w:r>
        <w:rPr>
          <w:sz w:val="20"/>
          <w:szCs w:val="20"/>
          <w:color w:val="auto"/>
        </w:rPr>
        <w:tab/>
      </w:r>
      <w:r>
        <w:rPr>
          <w:rFonts w:ascii="Courier New" w:cs="Courier New" w:eastAsia="Courier New" w:hAnsi="Courier New"/>
          <w:sz w:val="14"/>
          <w:szCs w:val="14"/>
          <w:color w:val="auto"/>
        </w:rPr>
        <w:t>503</w:t>
      </w:r>
    </w:p>
    <w:p>
      <w:pPr>
        <w:ind w:left="1120"/>
        <w:spacing w:after="0"/>
        <w:tabs>
          <w:tab w:leader="dot" w:pos="6020" w:val="left"/>
        </w:tabs>
        <w:rPr>
          <w:sz w:val="20"/>
          <w:szCs w:val="20"/>
          <w:color w:val="auto"/>
        </w:rPr>
      </w:pPr>
      <w:r>
        <w:rPr>
          <w:rFonts w:ascii="Courier New" w:cs="Courier New" w:eastAsia="Courier New" w:hAnsi="Courier New"/>
          <w:sz w:val="16"/>
          <w:szCs w:val="16"/>
          <w:color w:val="auto"/>
        </w:rPr>
        <w:t>(a)(2)</w:t>
      </w:r>
      <w:r>
        <w:rPr>
          <w:sz w:val="20"/>
          <w:szCs w:val="20"/>
          <w:color w:val="auto"/>
        </w:rPr>
        <w:tab/>
      </w:r>
      <w:r>
        <w:rPr>
          <w:rFonts w:ascii="Courier New" w:cs="Courier New" w:eastAsia="Courier New" w:hAnsi="Courier New"/>
          <w:sz w:val="14"/>
          <w:szCs w:val="14"/>
          <w:color w:val="auto"/>
        </w:rPr>
        <w:t>504</w:t>
      </w:r>
    </w:p>
    <w:p>
      <w:pPr>
        <w:spacing w:after="0"/>
        <w:tabs>
          <w:tab w:leader="dot" w:pos="6020" w:val="left"/>
        </w:tabs>
        <w:rPr>
          <w:sz w:val="20"/>
          <w:szCs w:val="20"/>
          <w:color w:val="auto"/>
        </w:rPr>
      </w:pPr>
      <w:r>
        <w:rPr>
          <w:rFonts w:ascii="Courier New" w:cs="Courier New" w:eastAsia="Courier New" w:hAnsi="Courier New"/>
          <w:sz w:val="16"/>
          <w:szCs w:val="16"/>
          <w:color w:val="auto"/>
        </w:rPr>
        <w:t>Section 318(a)</w:t>
      </w:r>
      <w:r>
        <w:rPr>
          <w:sz w:val="20"/>
          <w:szCs w:val="20"/>
          <w:color w:val="auto"/>
        </w:rPr>
        <w:tab/>
      </w:r>
      <w:r>
        <w:rPr>
          <w:rFonts w:ascii="Courier New" w:cs="Courier New" w:eastAsia="Courier New" w:hAnsi="Courier New"/>
          <w:sz w:val="14"/>
          <w:szCs w:val="14"/>
          <w:color w:val="auto"/>
        </w:rPr>
        <w:t>111</w:t>
      </w:r>
    </w:p>
    <w:p>
      <w:pPr>
        <w:ind w:left="1120"/>
        <w:spacing w:after="0"/>
        <w:tabs>
          <w:tab w:leader="dot" w:pos="6020" w:val="left"/>
        </w:tabs>
        <w:rPr>
          <w:sz w:val="20"/>
          <w:szCs w:val="20"/>
          <w:color w:val="auto"/>
        </w:rPr>
      </w:pPr>
      <w:r>
        <w:rPr>
          <w:rFonts w:ascii="Courier New" w:cs="Courier New" w:eastAsia="Courier New" w:hAnsi="Courier New"/>
          <w:sz w:val="16"/>
          <w:szCs w:val="16"/>
          <w:color w:val="auto"/>
        </w:rPr>
        <w:t>(c)</w:t>
      </w:r>
      <w:r>
        <w:rPr>
          <w:sz w:val="20"/>
          <w:szCs w:val="20"/>
          <w:color w:val="auto"/>
        </w:rPr>
        <w:tab/>
      </w:r>
      <w:r>
        <w:rPr>
          <w:rFonts w:ascii="Courier New" w:cs="Courier New" w:eastAsia="Courier New" w:hAnsi="Courier New"/>
          <w:sz w:val="14"/>
          <w:szCs w:val="14"/>
          <w:color w:val="auto"/>
        </w:rPr>
        <w:t>111</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99" w:lineRule="exact"/>
        <w:rPr>
          <w:sz w:val="20"/>
          <w:szCs w:val="20"/>
          <w:color w:val="auto"/>
        </w:rPr>
      </w:pPr>
    </w:p>
    <w:p>
      <w:pPr>
        <w:ind w:right="2879"/>
        <w:spacing w:after="0" w:line="234" w:lineRule="auto"/>
        <w:rPr>
          <w:sz w:val="20"/>
          <w:szCs w:val="20"/>
          <w:color w:val="auto"/>
        </w:rPr>
      </w:pPr>
      <w:r>
        <w:rPr>
          <w:rFonts w:ascii="Courier New" w:cs="Courier New" w:eastAsia="Courier New" w:hAnsi="Courier New"/>
          <w:sz w:val="16"/>
          <w:szCs w:val="16"/>
          <w:color w:val="auto"/>
        </w:rPr>
        <w:t>NOTE: This reconciliation and tie shall not, for any purpose, be deemed to be a part of the Indenture.</w:t>
      </w:r>
    </w:p>
    <w:p>
      <w:pPr>
        <w:sectPr>
          <w:pgSz w:w="11900" w:h="16838" w:orient="portrait"/>
          <w:cols w:equalWidth="0" w:num="1">
            <w:col w:w="10219"/>
          </w:cols>
          <w:pgMar w:left="240" w:top="136" w:right="1440" w:bottom="1440" w:gutter="0" w:footer="0" w:header="0"/>
        </w:sectPr>
      </w:pPr>
    </w:p>
    <w:bookmarkStart w:id="76" w:name="page77"/>
    <w:bookmarkEnd w:id="76"/>
    <w:p>
      <w:pPr>
        <w:ind w:left="2980"/>
        <w:spacing w:after="0"/>
        <w:rPr>
          <w:sz w:val="20"/>
          <w:szCs w:val="20"/>
          <w:color w:val="auto"/>
        </w:rPr>
      </w:pPr>
      <w:r>
        <w:rPr>
          <w:rFonts w:ascii="Courier New" w:cs="Courier New" w:eastAsia="Courier New" w:hAnsi="Courier New"/>
          <w:sz w:val="16"/>
          <w:szCs w:val="16"/>
          <w:color w:val="auto"/>
        </w:rPr>
        <w:t>TABLE OF CONTENTS</w:t>
      </w:r>
    </w:p>
    <w:p>
      <w:pPr>
        <w:spacing w:after="0" w:line="177"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Page</w:t>
      </w:r>
    </w:p>
    <w:p>
      <w:pPr>
        <w:jc w:val="right"/>
        <w:ind w:right="2779"/>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ARTICLE ONE</w:t>
      </w:r>
    </w:p>
    <w:p>
      <w:pPr>
        <w:ind w:left="1200"/>
        <w:spacing w:after="0" w:line="236" w:lineRule="auto"/>
        <w:rPr>
          <w:sz w:val="20"/>
          <w:szCs w:val="20"/>
          <w:color w:val="auto"/>
        </w:rPr>
      </w:pPr>
      <w:r>
        <w:rPr>
          <w:rFonts w:ascii="Courier New" w:cs="Courier New" w:eastAsia="Courier New" w:hAnsi="Courier New"/>
          <w:sz w:val="16"/>
          <w:szCs w:val="16"/>
          <w:color w:val="auto"/>
        </w:rPr>
        <w:t>DEFINITIONS AND OTHER PROVISIONS OF GENERAL APPLICATION</w:t>
      </w:r>
    </w:p>
    <w:p>
      <w:pPr>
        <w:spacing w:after="0" w:line="177" w:lineRule="exact"/>
        <w:rPr>
          <w:sz w:val="20"/>
          <w:szCs w:val="20"/>
          <w:color w:val="auto"/>
        </w:rPr>
      </w:pPr>
    </w:p>
    <w:p>
      <w:pPr>
        <w:spacing w:after="0"/>
        <w:tabs>
          <w:tab w:leader="none" w:pos="1380" w:val="left"/>
          <w:tab w:leader="dot" w:pos="7320" w:val="left"/>
        </w:tabs>
        <w:rPr>
          <w:sz w:val="20"/>
          <w:szCs w:val="20"/>
          <w:color w:val="auto"/>
        </w:rPr>
      </w:pPr>
      <w:r>
        <w:rPr>
          <w:rFonts w:ascii="Courier New" w:cs="Courier New" w:eastAsia="Courier New" w:hAnsi="Courier New"/>
          <w:sz w:val="16"/>
          <w:szCs w:val="16"/>
          <w:color w:val="auto"/>
        </w:rPr>
        <w:t>SECTION 101.</w:t>
      </w:r>
      <w:r>
        <w:rPr>
          <w:sz w:val="20"/>
          <w:szCs w:val="20"/>
          <w:color w:val="auto"/>
        </w:rPr>
        <w:tab/>
      </w:r>
      <w:r>
        <w:rPr>
          <w:rFonts w:ascii="Courier New" w:cs="Courier New" w:eastAsia="Courier New" w:hAnsi="Courier New"/>
          <w:sz w:val="16"/>
          <w:szCs w:val="16"/>
          <w:color w:val="auto"/>
        </w:rPr>
        <w:t>Definitions</w:t>
      </w:r>
      <w:r>
        <w:rPr>
          <w:sz w:val="20"/>
          <w:szCs w:val="20"/>
          <w:color w:val="auto"/>
        </w:rPr>
        <w:tab/>
      </w:r>
      <w:r>
        <w:rPr>
          <w:rFonts w:ascii="Courier New" w:cs="Courier New" w:eastAsia="Courier New" w:hAnsi="Courier New"/>
          <w:sz w:val="16"/>
          <w:szCs w:val="16"/>
          <w:color w:val="auto"/>
        </w:rPr>
        <w:t>1</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102.</w:t>
      </w:r>
      <w:r>
        <w:rPr>
          <w:sz w:val="20"/>
          <w:szCs w:val="20"/>
          <w:color w:val="auto"/>
        </w:rPr>
        <w:tab/>
      </w:r>
      <w:r>
        <w:rPr>
          <w:rFonts w:ascii="Courier New" w:cs="Courier New" w:eastAsia="Courier New" w:hAnsi="Courier New"/>
          <w:sz w:val="16"/>
          <w:szCs w:val="16"/>
          <w:color w:val="auto"/>
        </w:rPr>
        <w:t>Compliance Certificates and Opinions</w:t>
      </w:r>
      <w:r>
        <w:rPr>
          <w:sz w:val="20"/>
          <w:szCs w:val="20"/>
          <w:color w:val="auto"/>
        </w:rPr>
        <w:tab/>
      </w:r>
      <w:r>
        <w:rPr>
          <w:rFonts w:ascii="Courier New" w:cs="Courier New" w:eastAsia="Courier New" w:hAnsi="Courier New"/>
          <w:sz w:val="14"/>
          <w:szCs w:val="14"/>
          <w:color w:val="auto"/>
        </w:rPr>
        <w:t>10</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103.</w:t>
      </w:r>
      <w:r>
        <w:rPr>
          <w:sz w:val="20"/>
          <w:szCs w:val="20"/>
          <w:color w:val="auto"/>
        </w:rPr>
        <w:tab/>
      </w:r>
      <w:r>
        <w:rPr>
          <w:rFonts w:ascii="Courier New" w:cs="Courier New" w:eastAsia="Courier New" w:hAnsi="Courier New"/>
          <w:sz w:val="16"/>
          <w:szCs w:val="16"/>
          <w:color w:val="auto"/>
        </w:rPr>
        <w:t>Form of Documents Delivered to Trustee</w:t>
      </w:r>
      <w:r>
        <w:rPr>
          <w:sz w:val="20"/>
          <w:szCs w:val="20"/>
          <w:color w:val="auto"/>
        </w:rPr>
        <w:tab/>
      </w:r>
      <w:r>
        <w:rPr>
          <w:rFonts w:ascii="Courier New" w:cs="Courier New" w:eastAsia="Courier New" w:hAnsi="Courier New"/>
          <w:sz w:val="14"/>
          <w:szCs w:val="14"/>
          <w:color w:val="auto"/>
        </w:rPr>
        <w:t>11</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104.</w:t>
      </w:r>
      <w:r>
        <w:rPr>
          <w:sz w:val="20"/>
          <w:szCs w:val="20"/>
          <w:color w:val="auto"/>
        </w:rPr>
        <w:tab/>
      </w:r>
      <w:r>
        <w:rPr>
          <w:rFonts w:ascii="Courier New" w:cs="Courier New" w:eastAsia="Courier New" w:hAnsi="Courier New"/>
          <w:sz w:val="16"/>
          <w:szCs w:val="16"/>
          <w:color w:val="auto"/>
        </w:rPr>
        <w:t>Acts of Holders</w:t>
      </w:r>
      <w:r>
        <w:rPr>
          <w:sz w:val="20"/>
          <w:szCs w:val="20"/>
          <w:color w:val="auto"/>
        </w:rPr>
        <w:tab/>
      </w:r>
      <w:r>
        <w:rPr>
          <w:rFonts w:ascii="Courier New" w:cs="Courier New" w:eastAsia="Courier New" w:hAnsi="Courier New"/>
          <w:sz w:val="14"/>
          <w:szCs w:val="14"/>
          <w:color w:val="auto"/>
        </w:rPr>
        <w:t>11</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105.</w:t>
      </w:r>
      <w:r>
        <w:rPr>
          <w:sz w:val="20"/>
          <w:szCs w:val="20"/>
          <w:color w:val="auto"/>
        </w:rPr>
        <w:tab/>
      </w:r>
      <w:r>
        <w:rPr>
          <w:rFonts w:ascii="Courier New" w:cs="Courier New" w:eastAsia="Courier New" w:hAnsi="Courier New"/>
          <w:sz w:val="16"/>
          <w:szCs w:val="16"/>
          <w:color w:val="auto"/>
        </w:rPr>
        <w:t>Notices, Etc., to Trustee and Company</w:t>
      </w:r>
      <w:r>
        <w:rPr>
          <w:sz w:val="20"/>
          <w:szCs w:val="20"/>
          <w:color w:val="auto"/>
        </w:rPr>
        <w:tab/>
      </w:r>
      <w:r>
        <w:rPr>
          <w:rFonts w:ascii="Courier New" w:cs="Courier New" w:eastAsia="Courier New" w:hAnsi="Courier New"/>
          <w:sz w:val="14"/>
          <w:szCs w:val="14"/>
          <w:color w:val="auto"/>
        </w:rPr>
        <w:t>13</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106.</w:t>
      </w:r>
      <w:r>
        <w:rPr>
          <w:sz w:val="20"/>
          <w:szCs w:val="20"/>
          <w:color w:val="auto"/>
        </w:rPr>
        <w:tab/>
      </w:r>
      <w:r>
        <w:rPr>
          <w:rFonts w:ascii="Courier New" w:cs="Courier New" w:eastAsia="Courier New" w:hAnsi="Courier New"/>
          <w:sz w:val="16"/>
          <w:szCs w:val="16"/>
          <w:color w:val="auto"/>
        </w:rPr>
        <w:t>Notice to Holders; Waiver</w:t>
      </w:r>
      <w:r>
        <w:rPr>
          <w:sz w:val="20"/>
          <w:szCs w:val="20"/>
          <w:color w:val="auto"/>
        </w:rPr>
        <w:tab/>
      </w:r>
      <w:r>
        <w:rPr>
          <w:rFonts w:ascii="Courier New" w:cs="Courier New" w:eastAsia="Courier New" w:hAnsi="Courier New"/>
          <w:sz w:val="14"/>
          <w:szCs w:val="14"/>
          <w:color w:val="auto"/>
        </w:rPr>
        <w:t>13</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107.</w:t>
      </w:r>
      <w:r>
        <w:rPr>
          <w:sz w:val="20"/>
          <w:szCs w:val="20"/>
          <w:color w:val="auto"/>
        </w:rPr>
        <w:tab/>
      </w:r>
      <w:r>
        <w:rPr>
          <w:rFonts w:ascii="Courier New" w:cs="Courier New" w:eastAsia="Courier New" w:hAnsi="Courier New"/>
          <w:sz w:val="16"/>
          <w:szCs w:val="16"/>
          <w:color w:val="auto"/>
        </w:rPr>
        <w:t>Effect of Headings and Table of Contents</w:t>
      </w:r>
      <w:r>
        <w:rPr>
          <w:sz w:val="20"/>
          <w:szCs w:val="20"/>
          <w:color w:val="auto"/>
        </w:rPr>
        <w:tab/>
      </w:r>
      <w:r>
        <w:rPr>
          <w:rFonts w:ascii="Courier New" w:cs="Courier New" w:eastAsia="Courier New" w:hAnsi="Courier New"/>
          <w:sz w:val="14"/>
          <w:szCs w:val="14"/>
          <w:color w:val="auto"/>
        </w:rPr>
        <w:t>14</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108.</w:t>
      </w:r>
      <w:r>
        <w:rPr>
          <w:sz w:val="20"/>
          <w:szCs w:val="20"/>
          <w:color w:val="auto"/>
        </w:rPr>
        <w:tab/>
      </w:r>
      <w:r>
        <w:rPr>
          <w:rFonts w:ascii="Courier New" w:cs="Courier New" w:eastAsia="Courier New" w:hAnsi="Courier New"/>
          <w:sz w:val="16"/>
          <w:szCs w:val="16"/>
          <w:color w:val="auto"/>
        </w:rPr>
        <w:t>Successors and Assigns</w:t>
      </w:r>
      <w:r>
        <w:rPr>
          <w:sz w:val="20"/>
          <w:szCs w:val="20"/>
          <w:color w:val="auto"/>
        </w:rPr>
        <w:tab/>
      </w:r>
      <w:r>
        <w:rPr>
          <w:rFonts w:ascii="Courier New" w:cs="Courier New" w:eastAsia="Courier New" w:hAnsi="Courier New"/>
          <w:sz w:val="14"/>
          <w:szCs w:val="14"/>
          <w:color w:val="auto"/>
        </w:rPr>
        <w:t>14</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109.</w:t>
      </w:r>
      <w:r>
        <w:rPr>
          <w:sz w:val="20"/>
          <w:szCs w:val="20"/>
          <w:color w:val="auto"/>
        </w:rPr>
        <w:tab/>
      </w:r>
      <w:r>
        <w:rPr>
          <w:rFonts w:ascii="Courier New" w:cs="Courier New" w:eastAsia="Courier New" w:hAnsi="Courier New"/>
          <w:sz w:val="16"/>
          <w:szCs w:val="16"/>
          <w:color w:val="auto"/>
        </w:rPr>
        <w:t>Separability Clause</w:t>
      </w:r>
      <w:r>
        <w:rPr>
          <w:sz w:val="20"/>
          <w:szCs w:val="20"/>
          <w:color w:val="auto"/>
        </w:rPr>
        <w:tab/>
      </w:r>
      <w:r>
        <w:rPr>
          <w:rFonts w:ascii="Courier New" w:cs="Courier New" w:eastAsia="Courier New" w:hAnsi="Courier New"/>
          <w:sz w:val="14"/>
          <w:szCs w:val="14"/>
          <w:color w:val="auto"/>
        </w:rPr>
        <w:t>15</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110.</w:t>
      </w:r>
      <w:r>
        <w:rPr>
          <w:sz w:val="20"/>
          <w:szCs w:val="20"/>
          <w:color w:val="auto"/>
        </w:rPr>
        <w:tab/>
      </w:r>
      <w:r>
        <w:rPr>
          <w:rFonts w:ascii="Courier New" w:cs="Courier New" w:eastAsia="Courier New" w:hAnsi="Courier New"/>
          <w:sz w:val="16"/>
          <w:szCs w:val="16"/>
          <w:color w:val="auto"/>
        </w:rPr>
        <w:t>Benefits of Indenture</w:t>
      </w:r>
      <w:r>
        <w:rPr>
          <w:sz w:val="20"/>
          <w:szCs w:val="20"/>
          <w:color w:val="auto"/>
        </w:rPr>
        <w:tab/>
      </w:r>
      <w:r>
        <w:rPr>
          <w:rFonts w:ascii="Courier New" w:cs="Courier New" w:eastAsia="Courier New" w:hAnsi="Courier New"/>
          <w:sz w:val="14"/>
          <w:szCs w:val="14"/>
          <w:color w:val="auto"/>
        </w:rPr>
        <w:t>15</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111.</w:t>
      </w:r>
      <w:r>
        <w:rPr>
          <w:sz w:val="20"/>
          <w:szCs w:val="20"/>
          <w:color w:val="auto"/>
        </w:rPr>
        <w:tab/>
      </w:r>
      <w:r>
        <w:rPr>
          <w:rFonts w:ascii="Courier New" w:cs="Courier New" w:eastAsia="Courier New" w:hAnsi="Courier New"/>
          <w:sz w:val="16"/>
          <w:szCs w:val="16"/>
          <w:color w:val="auto"/>
        </w:rPr>
        <w:t>Governing Law</w:t>
      </w:r>
      <w:r>
        <w:rPr>
          <w:sz w:val="20"/>
          <w:szCs w:val="20"/>
          <w:color w:val="auto"/>
        </w:rPr>
        <w:tab/>
      </w:r>
      <w:r>
        <w:rPr>
          <w:rFonts w:ascii="Courier New" w:cs="Courier New" w:eastAsia="Courier New" w:hAnsi="Courier New"/>
          <w:sz w:val="14"/>
          <w:szCs w:val="14"/>
          <w:color w:val="auto"/>
        </w:rPr>
        <w:t>15</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112.</w:t>
      </w:r>
      <w:r>
        <w:rPr>
          <w:sz w:val="20"/>
          <w:szCs w:val="20"/>
          <w:color w:val="auto"/>
        </w:rPr>
        <w:tab/>
      </w:r>
      <w:r>
        <w:rPr>
          <w:rFonts w:ascii="Courier New" w:cs="Courier New" w:eastAsia="Courier New" w:hAnsi="Courier New"/>
          <w:sz w:val="16"/>
          <w:szCs w:val="16"/>
          <w:color w:val="auto"/>
        </w:rPr>
        <w:t>Legal Holidays</w:t>
      </w:r>
      <w:r>
        <w:rPr>
          <w:sz w:val="20"/>
          <w:szCs w:val="20"/>
          <w:color w:val="auto"/>
        </w:rPr>
        <w:tab/>
      </w:r>
      <w:r>
        <w:rPr>
          <w:rFonts w:ascii="Courier New" w:cs="Courier New" w:eastAsia="Courier New" w:hAnsi="Courier New"/>
          <w:sz w:val="14"/>
          <w:szCs w:val="14"/>
          <w:color w:val="auto"/>
        </w:rPr>
        <w:t>15</w:t>
      </w:r>
    </w:p>
    <w:p>
      <w:pPr>
        <w:spacing w:after="0"/>
        <w:tabs>
          <w:tab w:leader="none" w:pos="1380" w:val="left"/>
        </w:tabs>
        <w:rPr>
          <w:sz w:val="20"/>
          <w:szCs w:val="20"/>
          <w:color w:val="auto"/>
        </w:rPr>
      </w:pPr>
      <w:r>
        <w:rPr>
          <w:rFonts w:ascii="Courier New" w:cs="Courier New" w:eastAsia="Courier New" w:hAnsi="Courier New"/>
          <w:sz w:val="16"/>
          <w:szCs w:val="16"/>
          <w:color w:val="auto"/>
        </w:rPr>
        <w:t>SECTION 113.</w:t>
      </w:r>
      <w:r>
        <w:rPr>
          <w:sz w:val="20"/>
          <w:szCs w:val="20"/>
          <w:color w:val="auto"/>
        </w:rPr>
        <w:tab/>
      </w:r>
      <w:r>
        <w:rPr>
          <w:rFonts w:ascii="Courier New" w:cs="Courier New" w:eastAsia="Courier New" w:hAnsi="Courier New"/>
          <w:sz w:val="14"/>
          <w:szCs w:val="14"/>
          <w:color w:val="auto"/>
        </w:rPr>
        <w:t>Conflict of Any Provision of Indenture with Trust</w:t>
      </w:r>
    </w:p>
    <w:p>
      <w:pPr>
        <w:jc w:val="right"/>
        <w:ind w:right="2779"/>
        <w:spacing w:after="0"/>
        <w:tabs>
          <w:tab w:leader="dot" w:pos="160" w:val="left"/>
        </w:tabs>
        <w:rPr>
          <w:sz w:val="20"/>
          <w:szCs w:val="20"/>
          <w:color w:val="auto"/>
        </w:rPr>
      </w:pPr>
      <w:r>
        <w:rPr>
          <w:rFonts w:ascii="Courier New" w:cs="Courier New" w:eastAsia="Courier New" w:hAnsi="Courier New"/>
          <w:sz w:val="16"/>
          <w:szCs w:val="16"/>
          <w:color w:val="auto"/>
        </w:rPr>
        <w:t>Indenture Act</w:t>
      </w:r>
      <w:r>
        <w:rPr>
          <w:sz w:val="20"/>
          <w:szCs w:val="20"/>
          <w:color w:val="auto"/>
        </w:rPr>
        <w:tab/>
      </w:r>
      <w:r>
        <w:rPr>
          <w:rFonts w:ascii="Courier New" w:cs="Courier New" w:eastAsia="Courier New" w:hAnsi="Courier New"/>
          <w:sz w:val="14"/>
          <w:szCs w:val="14"/>
          <w:color w:val="auto"/>
        </w:rPr>
        <w:t>15</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114.</w:t>
      </w:r>
      <w:r>
        <w:rPr>
          <w:sz w:val="20"/>
          <w:szCs w:val="20"/>
          <w:color w:val="auto"/>
        </w:rPr>
        <w:tab/>
      </w:r>
      <w:r>
        <w:rPr>
          <w:rFonts w:ascii="Courier New" w:cs="Courier New" w:eastAsia="Courier New" w:hAnsi="Courier New"/>
          <w:sz w:val="16"/>
          <w:szCs w:val="16"/>
          <w:color w:val="auto"/>
        </w:rPr>
        <w:t>No Recourse against Others</w:t>
      </w:r>
      <w:r>
        <w:rPr>
          <w:sz w:val="20"/>
          <w:szCs w:val="20"/>
          <w:color w:val="auto"/>
        </w:rPr>
        <w:tab/>
      </w:r>
      <w:r>
        <w:rPr>
          <w:rFonts w:ascii="Courier New" w:cs="Courier New" w:eastAsia="Courier New" w:hAnsi="Courier New"/>
          <w:sz w:val="14"/>
          <w:szCs w:val="14"/>
          <w:color w:val="auto"/>
        </w:rPr>
        <w:t>15</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115.</w:t>
      </w:r>
      <w:r>
        <w:rPr>
          <w:sz w:val="20"/>
          <w:szCs w:val="20"/>
          <w:color w:val="auto"/>
        </w:rPr>
        <w:tab/>
      </w:r>
      <w:r>
        <w:rPr>
          <w:rFonts w:ascii="Courier New" w:cs="Courier New" w:eastAsia="Courier New" w:hAnsi="Courier New"/>
          <w:sz w:val="16"/>
          <w:szCs w:val="16"/>
          <w:color w:val="auto"/>
        </w:rPr>
        <w:t>Waiver of Trial by Jury</w:t>
      </w:r>
      <w:r>
        <w:rPr>
          <w:sz w:val="20"/>
          <w:szCs w:val="20"/>
          <w:color w:val="auto"/>
        </w:rPr>
        <w:tab/>
      </w:r>
      <w:r>
        <w:rPr>
          <w:rFonts w:ascii="Courier New" w:cs="Courier New" w:eastAsia="Courier New" w:hAnsi="Courier New"/>
          <w:sz w:val="14"/>
          <w:szCs w:val="14"/>
          <w:color w:val="auto"/>
        </w:rPr>
        <w:t>16</w:t>
      </w:r>
    </w:p>
    <w:p>
      <w:pPr>
        <w:spacing w:after="0" w:line="17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ARTICLE TWO</w:t>
      </w:r>
    </w:p>
    <w:p>
      <w:pPr>
        <w:ind w:left="2980"/>
        <w:spacing w:after="0" w:line="236" w:lineRule="auto"/>
        <w:rPr>
          <w:sz w:val="20"/>
          <w:szCs w:val="20"/>
          <w:color w:val="auto"/>
        </w:rPr>
      </w:pPr>
      <w:r>
        <w:rPr>
          <w:rFonts w:ascii="Courier New" w:cs="Courier New" w:eastAsia="Courier New" w:hAnsi="Courier New"/>
          <w:sz w:val="16"/>
          <w:szCs w:val="16"/>
          <w:color w:val="auto"/>
        </w:rPr>
        <w:t>SECURITIES FORMS</w:t>
      </w:r>
    </w:p>
    <w:p>
      <w:pPr>
        <w:spacing w:after="0" w:line="177" w:lineRule="exact"/>
        <w:rPr>
          <w:sz w:val="20"/>
          <w:szCs w:val="20"/>
          <w:color w:val="auto"/>
        </w:rPr>
      </w:pP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201.</w:t>
      </w:r>
      <w:r>
        <w:rPr>
          <w:sz w:val="20"/>
          <w:szCs w:val="20"/>
          <w:color w:val="auto"/>
        </w:rPr>
        <w:tab/>
      </w:r>
      <w:r>
        <w:rPr>
          <w:rFonts w:ascii="Courier New" w:cs="Courier New" w:eastAsia="Courier New" w:hAnsi="Courier New"/>
          <w:sz w:val="16"/>
          <w:szCs w:val="16"/>
          <w:color w:val="auto"/>
        </w:rPr>
        <w:t>Forms of Securities</w:t>
      </w:r>
      <w:r>
        <w:rPr>
          <w:sz w:val="20"/>
          <w:szCs w:val="20"/>
          <w:color w:val="auto"/>
        </w:rPr>
        <w:tab/>
      </w:r>
      <w:r>
        <w:rPr>
          <w:rFonts w:ascii="Courier New" w:cs="Courier New" w:eastAsia="Courier New" w:hAnsi="Courier New"/>
          <w:sz w:val="14"/>
          <w:szCs w:val="14"/>
          <w:color w:val="auto"/>
        </w:rPr>
        <w:t>16</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202.</w:t>
      </w:r>
      <w:r>
        <w:rPr>
          <w:sz w:val="20"/>
          <w:szCs w:val="20"/>
          <w:color w:val="auto"/>
        </w:rPr>
        <w:tab/>
      </w:r>
      <w:r>
        <w:rPr>
          <w:rFonts w:ascii="Courier New" w:cs="Courier New" w:eastAsia="Courier New" w:hAnsi="Courier New"/>
          <w:sz w:val="16"/>
          <w:szCs w:val="16"/>
          <w:color w:val="auto"/>
        </w:rPr>
        <w:t>Form of Trustee's Certificate of Authentication</w:t>
      </w:r>
      <w:r>
        <w:rPr>
          <w:sz w:val="20"/>
          <w:szCs w:val="20"/>
          <w:color w:val="auto"/>
        </w:rPr>
        <w:tab/>
      </w:r>
      <w:r>
        <w:rPr>
          <w:rFonts w:ascii="Courier New" w:cs="Courier New" w:eastAsia="Courier New" w:hAnsi="Courier New"/>
          <w:sz w:val="14"/>
          <w:szCs w:val="14"/>
          <w:color w:val="auto"/>
        </w:rPr>
        <w:t>17</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203.</w:t>
      </w:r>
      <w:r>
        <w:rPr>
          <w:sz w:val="20"/>
          <w:szCs w:val="20"/>
          <w:color w:val="auto"/>
        </w:rPr>
        <w:tab/>
      </w:r>
      <w:r>
        <w:rPr>
          <w:rFonts w:ascii="Courier New" w:cs="Courier New" w:eastAsia="Courier New" w:hAnsi="Courier New"/>
          <w:sz w:val="16"/>
          <w:szCs w:val="16"/>
          <w:color w:val="auto"/>
        </w:rPr>
        <w:t>Securities Issuable in Global Form</w:t>
      </w:r>
      <w:r>
        <w:rPr>
          <w:sz w:val="20"/>
          <w:szCs w:val="20"/>
          <w:color w:val="auto"/>
        </w:rPr>
        <w:tab/>
      </w:r>
      <w:r>
        <w:rPr>
          <w:rFonts w:ascii="Courier New" w:cs="Courier New" w:eastAsia="Courier New" w:hAnsi="Courier New"/>
          <w:sz w:val="14"/>
          <w:szCs w:val="14"/>
          <w:color w:val="auto"/>
        </w:rPr>
        <w:t>17</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204.</w:t>
      </w:r>
      <w:r>
        <w:rPr>
          <w:sz w:val="20"/>
          <w:szCs w:val="20"/>
          <w:color w:val="auto"/>
        </w:rPr>
        <w:tab/>
      </w:r>
      <w:r>
        <w:rPr>
          <w:rFonts w:ascii="Courier New" w:cs="Courier New" w:eastAsia="Courier New" w:hAnsi="Courier New"/>
          <w:sz w:val="16"/>
          <w:szCs w:val="16"/>
          <w:color w:val="auto"/>
        </w:rPr>
        <w:t>Form of Legend for Book-Entry Securities</w:t>
      </w:r>
      <w:r>
        <w:rPr>
          <w:sz w:val="20"/>
          <w:szCs w:val="20"/>
          <w:color w:val="auto"/>
        </w:rPr>
        <w:tab/>
      </w:r>
      <w:r>
        <w:rPr>
          <w:rFonts w:ascii="Courier New" w:cs="Courier New" w:eastAsia="Courier New" w:hAnsi="Courier New"/>
          <w:sz w:val="14"/>
          <w:szCs w:val="14"/>
          <w:color w:val="auto"/>
        </w:rPr>
        <w:t>18</w:t>
      </w:r>
    </w:p>
    <w:p>
      <w:pPr>
        <w:spacing w:after="0" w:line="17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ARTICLE THREE</w:t>
      </w:r>
    </w:p>
    <w:p>
      <w:pPr>
        <w:ind w:left="3060"/>
        <w:spacing w:after="0" w:line="236" w:lineRule="auto"/>
        <w:rPr>
          <w:sz w:val="20"/>
          <w:szCs w:val="20"/>
          <w:color w:val="auto"/>
        </w:rPr>
      </w:pPr>
      <w:r>
        <w:rPr>
          <w:rFonts w:ascii="Courier New" w:cs="Courier New" w:eastAsia="Courier New" w:hAnsi="Courier New"/>
          <w:sz w:val="16"/>
          <w:szCs w:val="16"/>
          <w:color w:val="auto"/>
        </w:rPr>
        <w:t>THE SECURITIES</w:t>
      </w:r>
    </w:p>
    <w:p>
      <w:pPr>
        <w:spacing w:after="0" w:line="177" w:lineRule="exact"/>
        <w:rPr>
          <w:sz w:val="20"/>
          <w:szCs w:val="20"/>
          <w:color w:val="auto"/>
        </w:rPr>
      </w:pP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301.</w:t>
      </w:r>
      <w:r>
        <w:rPr>
          <w:sz w:val="20"/>
          <w:szCs w:val="20"/>
          <w:color w:val="auto"/>
        </w:rPr>
        <w:tab/>
      </w:r>
      <w:r>
        <w:rPr>
          <w:rFonts w:ascii="Courier New" w:cs="Courier New" w:eastAsia="Courier New" w:hAnsi="Courier New"/>
          <w:sz w:val="16"/>
          <w:szCs w:val="16"/>
          <w:color w:val="auto"/>
        </w:rPr>
        <w:t>Amount Unlimited; Issuable in Series</w:t>
      </w:r>
      <w:r>
        <w:rPr>
          <w:sz w:val="20"/>
          <w:szCs w:val="20"/>
          <w:color w:val="auto"/>
        </w:rPr>
        <w:tab/>
      </w:r>
      <w:r>
        <w:rPr>
          <w:rFonts w:ascii="Courier New" w:cs="Courier New" w:eastAsia="Courier New" w:hAnsi="Courier New"/>
          <w:sz w:val="14"/>
          <w:szCs w:val="14"/>
          <w:color w:val="auto"/>
        </w:rPr>
        <w:t>18</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302.</w:t>
      </w:r>
      <w:r>
        <w:rPr>
          <w:sz w:val="20"/>
          <w:szCs w:val="20"/>
          <w:color w:val="auto"/>
        </w:rPr>
        <w:tab/>
      </w:r>
      <w:r>
        <w:rPr>
          <w:rFonts w:ascii="Courier New" w:cs="Courier New" w:eastAsia="Courier New" w:hAnsi="Courier New"/>
          <w:sz w:val="16"/>
          <w:szCs w:val="16"/>
          <w:color w:val="auto"/>
        </w:rPr>
        <w:t>Denominations</w:t>
      </w:r>
      <w:r>
        <w:rPr>
          <w:sz w:val="20"/>
          <w:szCs w:val="20"/>
          <w:color w:val="auto"/>
        </w:rPr>
        <w:tab/>
      </w:r>
      <w:r>
        <w:rPr>
          <w:rFonts w:ascii="Courier New" w:cs="Courier New" w:eastAsia="Courier New" w:hAnsi="Courier New"/>
          <w:sz w:val="14"/>
          <w:szCs w:val="14"/>
          <w:color w:val="auto"/>
        </w:rPr>
        <w:t>23</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303.</w:t>
      </w:r>
      <w:r>
        <w:rPr>
          <w:sz w:val="20"/>
          <w:szCs w:val="20"/>
          <w:color w:val="auto"/>
        </w:rPr>
        <w:tab/>
      </w:r>
      <w:r>
        <w:rPr>
          <w:rFonts w:ascii="Courier New" w:cs="Courier New" w:eastAsia="Courier New" w:hAnsi="Courier New"/>
          <w:sz w:val="16"/>
          <w:szCs w:val="16"/>
          <w:color w:val="auto"/>
        </w:rPr>
        <w:t>Execution, Authentication, Delivery and Dating</w:t>
      </w:r>
      <w:r>
        <w:rPr>
          <w:sz w:val="20"/>
          <w:szCs w:val="20"/>
          <w:color w:val="auto"/>
        </w:rPr>
        <w:tab/>
      </w:r>
      <w:r>
        <w:rPr>
          <w:rFonts w:ascii="Courier New" w:cs="Courier New" w:eastAsia="Courier New" w:hAnsi="Courier New"/>
          <w:sz w:val="14"/>
          <w:szCs w:val="14"/>
          <w:color w:val="auto"/>
        </w:rPr>
        <w:t>23</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304.</w:t>
      </w:r>
      <w:r>
        <w:rPr>
          <w:sz w:val="20"/>
          <w:szCs w:val="20"/>
          <w:color w:val="auto"/>
        </w:rPr>
        <w:tab/>
      </w:r>
      <w:r>
        <w:rPr>
          <w:rFonts w:ascii="Courier New" w:cs="Courier New" w:eastAsia="Courier New" w:hAnsi="Courier New"/>
          <w:sz w:val="16"/>
          <w:szCs w:val="16"/>
          <w:color w:val="auto"/>
        </w:rPr>
        <w:t>Temporary Securities</w:t>
      </w:r>
      <w:r>
        <w:rPr>
          <w:sz w:val="20"/>
          <w:szCs w:val="20"/>
          <w:color w:val="auto"/>
        </w:rPr>
        <w:tab/>
      </w:r>
      <w:r>
        <w:rPr>
          <w:rFonts w:ascii="Courier New" w:cs="Courier New" w:eastAsia="Courier New" w:hAnsi="Courier New"/>
          <w:sz w:val="14"/>
          <w:szCs w:val="14"/>
          <w:color w:val="auto"/>
        </w:rPr>
        <w:t>25</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305.</w:t>
      </w:r>
      <w:r>
        <w:rPr>
          <w:sz w:val="20"/>
          <w:szCs w:val="20"/>
          <w:color w:val="auto"/>
        </w:rPr>
        <w:tab/>
      </w:r>
      <w:r>
        <w:rPr>
          <w:rFonts w:ascii="Courier New" w:cs="Courier New" w:eastAsia="Courier New" w:hAnsi="Courier New"/>
          <w:sz w:val="16"/>
          <w:szCs w:val="16"/>
          <w:color w:val="auto"/>
        </w:rPr>
        <w:t>Registration, Registration of Transfer and Exchange</w:t>
      </w:r>
      <w:r>
        <w:rPr>
          <w:sz w:val="20"/>
          <w:szCs w:val="20"/>
          <w:color w:val="auto"/>
        </w:rPr>
        <w:tab/>
      </w:r>
      <w:r>
        <w:rPr>
          <w:rFonts w:ascii="Courier New" w:cs="Courier New" w:eastAsia="Courier New" w:hAnsi="Courier New"/>
          <w:sz w:val="14"/>
          <w:szCs w:val="14"/>
          <w:color w:val="auto"/>
        </w:rPr>
        <w:t>28</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306.</w:t>
      </w:r>
      <w:r>
        <w:rPr>
          <w:sz w:val="20"/>
          <w:szCs w:val="20"/>
          <w:color w:val="auto"/>
        </w:rPr>
        <w:tab/>
      </w:r>
      <w:r>
        <w:rPr>
          <w:rFonts w:ascii="Courier New" w:cs="Courier New" w:eastAsia="Courier New" w:hAnsi="Courier New"/>
          <w:sz w:val="16"/>
          <w:szCs w:val="16"/>
          <w:color w:val="auto"/>
        </w:rPr>
        <w:t>Mutilated, Destroyed, Lost and Stolen Securities</w:t>
      </w:r>
      <w:r>
        <w:rPr>
          <w:sz w:val="20"/>
          <w:szCs w:val="20"/>
          <w:color w:val="auto"/>
        </w:rPr>
        <w:tab/>
      </w:r>
      <w:r>
        <w:rPr>
          <w:rFonts w:ascii="Courier New" w:cs="Courier New" w:eastAsia="Courier New" w:hAnsi="Courier New"/>
          <w:sz w:val="14"/>
          <w:szCs w:val="14"/>
          <w:color w:val="auto"/>
        </w:rPr>
        <w:t>31</w:t>
      </w:r>
    </w:p>
    <w:p>
      <w:pPr>
        <w:spacing w:after="0"/>
        <w:tabs>
          <w:tab w:leader="none" w:pos="1380" w:val="left"/>
        </w:tabs>
        <w:rPr>
          <w:sz w:val="20"/>
          <w:szCs w:val="20"/>
          <w:color w:val="auto"/>
        </w:rPr>
      </w:pPr>
      <w:r>
        <w:rPr>
          <w:rFonts w:ascii="Courier New" w:cs="Courier New" w:eastAsia="Courier New" w:hAnsi="Courier New"/>
          <w:sz w:val="16"/>
          <w:szCs w:val="16"/>
          <w:color w:val="auto"/>
        </w:rPr>
        <w:t>SECTION 307.</w:t>
      </w:r>
      <w:r>
        <w:rPr>
          <w:sz w:val="20"/>
          <w:szCs w:val="20"/>
          <w:color w:val="auto"/>
        </w:rPr>
        <w:tab/>
      </w:r>
      <w:r>
        <w:rPr>
          <w:rFonts w:ascii="Courier New" w:cs="Courier New" w:eastAsia="Courier New" w:hAnsi="Courier New"/>
          <w:sz w:val="14"/>
          <w:szCs w:val="14"/>
          <w:color w:val="auto"/>
        </w:rPr>
        <w:t>Payment of Interest; Interest Rights Preserved; Optional</w:t>
      </w:r>
    </w:p>
    <w:p>
      <w:pPr>
        <w:jc w:val="right"/>
        <w:ind w:right="2779"/>
        <w:spacing w:after="0"/>
        <w:tabs>
          <w:tab w:leader="dot" w:pos="160" w:val="left"/>
        </w:tabs>
        <w:rPr>
          <w:sz w:val="20"/>
          <w:szCs w:val="20"/>
          <w:color w:val="auto"/>
        </w:rPr>
      </w:pPr>
      <w:r>
        <w:rPr>
          <w:rFonts w:ascii="Courier New" w:cs="Courier New" w:eastAsia="Courier New" w:hAnsi="Courier New"/>
          <w:sz w:val="16"/>
          <w:szCs w:val="16"/>
          <w:color w:val="auto"/>
        </w:rPr>
        <w:t>Interest Reset</w:t>
      </w:r>
      <w:r>
        <w:rPr>
          <w:sz w:val="20"/>
          <w:szCs w:val="20"/>
          <w:color w:val="auto"/>
        </w:rPr>
        <w:tab/>
      </w:r>
      <w:r>
        <w:rPr>
          <w:rFonts w:ascii="Courier New" w:cs="Courier New" w:eastAsia="Courier New" w:hAnsi="Courier New"/>
          <w:sz w:val="14"/>
          <w:szCs w:val="14"/>
          <w:color w:val="auto"/>
        </w:rPr>
        <w:t>32</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308.</w:t>
      </w:r>
      <w:r>
        <w:rPr>
          <w:sz w:val="20"/>
          <w:szCs w:val="20"/>
          <w:color w:val="auto"/>
        </w:rPr>
        <w:tab/>
      </w:r>
      <w:r>
        <w:rPr>
          <w:rFonts w:ascii="Courier New" w:cs="Courier New" w:eastAsia="Courier New" w:hAnsi="Courier New"/>
          <w:sz w:val="16"/>
          <w:szCs w:val="16"/>
          <w:color w:val="auto"/>
        </w:rPr>
        <w:t>Optional Extension of Maturity</w:t>
      </w:r>
      <w:r>
        <w:rPr>
          <w:sz w:val="20"/>
          <w:szCs w:val="20"/>
          <w:color w:val="auto"/>
        </w:rPr>
        <w:tab/>
      </w:r>
      <w:r>
        <w:rPr>
          <w:rFonts w:ascii="Courier New" w:cs="Courier New" w:eastAsia="Courier New" w:hAnsi="Courier New"/>
          <w:sz w:val="14"/>
          <w:szCs w:val="14"/>
          <w:color w:val="auto"/>
        </w:rPr>
        <w:t>35</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309.</w:t>
      </w:r>
      <w:r>
        <w:rPr>
          <w:sz w:val="20"/>
          <w:szCs w:val="20"/>
          <w:color w:val="auto"/>
        </w:rPr>
        <w:tab/>
      </w:r>
      <w:r>
        <w:rPr>
          <w:rFonts w:ascii="Courier New" w:cs="Courier New" w:eastAsia="Courier New" w:hAnsi="Courier New"/>
          <w:sz w:val="16"/>
          <w:szCs w:val="16"/>
          <w:color w:val="auto"/>
        </w:rPr>
        <w:t>Persons Deemed Owners</w:t>
      </w:r>
      <w:r>
        <w:rPr>
          <w:sz w:val="20"/>
          <w:szCs w:val="20"/>
          <w:color w:val="auto"/>
        </w:rPr>
        <w:tab/>
      </w:r>
      <w:r>
        <w:rPr>
          <w:rFonts w:ascii="Courier New" w:cs="Courier New" w:eastAsia="Courier New" w:hAnsi="Courier New"/>
          <w:sz w:val="14"/>
          <w:szCs w:val="14"/>
          <w:color w:val="auto"/>
        </w:rPr>
        <w:t>36</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310.</w:t>
      </w:r>
      <w:r>
        <w:rPr>
          <w:sz w:val="20"/>
          <w:szCs w:val="20"/>
          <w:color w:val="auto"/>
        </w:rPr>
        <w:tab/>
      </w:r>
      <w:r>
        <w:rPr>
          <w:rFonts w:ascii="Courier New" w:cs="Courier New" w:eastAsia="Courier New" w:hAnsi="Courier New"/>
          <w:sz w:val="16"/>
          <w:szCs w:val="16"/>
          <w:color w:val="auto"/>
        </w:rPr>
        <w:t>Cancellation</w:t>
      </w:r>
      <w:r>
        <w:rPr>
          <w:sz w:val="20"/>
          <w:szCs w:val="20"/>
          <w:color w:val="auto"/>
        </w:rPr>
        <w:tab/>
      </w:r>
      <w:r>
        <w:rPr>
          <w:rFonts w:ascii="Courier New" w:cs="Courier New" w:eastAsia="Courier New" w:hAnsi="Courier New"/>
          <w:sz w:val="14"/>
          <w:szCs w:val="14"/>
          <w:color w:val="auto"/>
        </w:rPr>
        <w:t>36</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311.</w:t>
      </w:r>
      <w:r>
        <w:rPr>
          <w:sz w:val="20"/>
          <w:szCs w:val="20"/>
          <w:color w:val="auto"/>
        </w:rPr>
        <w:tab/>
      </w:r>
      <w:r>
        <w:rPr>
          <w:rFonts w:ascii="Courier New" w:cs="Courier New" w:eastAsia="Courier New" w:hAnsi="Courier New"/>
          <w:sz w:val="16"/>
          <w:szCs w:val="16"/>
          <w:color w:val="auto"/>
        </w:rPr>
        <w:t>Computation of Interest</w:t>
      </w:r>
      <w:r>
        <w:rPr>
          <w:sz w:val="20"/>
          <w:szCs w:val="20"/>
          <w:color w:val="auto"/>
        </w:rPr>
        <w:tab/>
      </w:r>
      <w:r>
        <w:rPr>
          <w:rFonts w:ascii="Courier New" w:cs="Courier New" w:eastAsia="Courier New" w:hAnsi="Courier New"/>
          <w:sz w:val="14"/>
          <w:szCs w:val="14"/>
          <w:color w:val="auto"/>
        </w:rPr>
        <w:t>37</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312.</w:t>
      </w:r>
      <w:r>
        <w:rPr>
          <w:sz w:val="20"/>
          <w:szCs w:val="20"/>
          <w:color w:val="auto"/>
        </w:rPr>
        <w:tab/>
      </w:r>
      <w:r>
        <w:rPr>
          <w:rFonts w:ascii="Courier New" w:cs="Courier New" w:eastAsia="Courier New" w:hAnsi="Courier New"/>
          <w:sz w:val="16"/>
          <w:szCs w:val="16"/>
          <w:color w:val="auto"/>
        </w:rPr>
        <w:t>Currency and Manner of Payments in Respect of Securities</w:t>
      </w:r>
      <w:r>
        <w:rPr>
          <w:sz w:val="20"/>
          <w:szCs w:val="20"/>
          <w:color w:val="auto"/>
        </w:rPr>
        <w:tab/>
      </w:r>
      <w:r>
        <w:rPr>
          <w:rFonts w:ascii="Courier New" w:cs="Courier New" w:eastAsia="Courier New" w:hAnsi="Courier New"/>
          <w:sz w:val="14"/>
          <w:szCs w:val="14"/>
          <w:color w:val="auto"/>
        </w:rPr>
        <w:t>37</w:t>
      </w:r>
    </w:p>
    <w:p>
      <w:pPr>
        <w:spacing w:after="0"/>
        <w:tabs>
          <w:tab w:leader="none" w:pos="1380" w:val="left"/>
        </w:tabs>
        <w:rPr>
          <w:sz w:val="20"/>
          <w:szCs w:val="20"/>
          <w:color w:val="auto"/>
        </w:rPr>
      </w:pPr>
      <w:r>
        <w:rPr>
          <w:rFonts w:ascii="Courier New" w:cs="Courier New" w:eastAsia="Courier New" w:hAnsi="Courier New"/>
          <w:sz w:val="16"/>
          <w:szCs w:val="16"/>
          <w:color w:val="auto"/>
        </w:rPr>
        <w:t>SECTION 313.</w:t>
      </w:r>
      <w:r>
        <w:rPr>
          <w:sz w:val="20"/>
          <w:szCs w:val="20"/>
          <w:color w:val="auto"/>
        </w:rPr>
        <w:tab/>
      </w:r>
      <w:r>
        <w:rPr>
          <w:rFonts w:ascii="Courier New" w:cs="Courier New" w:eastAsia="Courier New" w:hAnsi="Courier New"/>
          <w:sz w:val="14"/>
          <w:szCs w:val="14"/>
          <w:color w:val="auto"/>
        </w:rPr>
        <w:t>Appointment and Resignation of Successor Exchange Rate</w:t>
      </w:r>
    </w:p>
    <w:p>
      <w:pPr>
        <w:jc w:val="right"/>
        <w:ind w:right="2779"/>
        <w:spacing w:after="0"/>
        <w:tabs>
          <w:tab w:leader="dot" w:pos="160" w:val="left"/>
        </w:tabs>
        <w:rPr>
          <w:sz w:val="20"/>
          <w:szCs w:val="20"/>
          <w:color w:val="auto"/>
        </w:rPr>
      </w:pPr>
      <w:r>
        <w:rPr>
          <w:rFonts w:ascii="Courier New" w:cs="Courier New" w:eastAsia="Courier New" w:hAnsi="Courier New"/>
          <w:sz w:val="16"/>
          <w:szCs w:val="16"/>
          <w:color w:val="auto"/>
        </w:rPr>
        <w:t>Agent</w:t>
      </w:r>
      <w:r>
        <w:rPr>
          <w:sz w:val="20"/>
          <w:szCs w:val="20"/>
          <w:color w:val="auto"/>
        </w:rPr>
        <w:tab/>
      </w:r>
      <w:r>
        <w:rPr>
          <w:rFonts w:ascii="Courier New" w:cs="Courier New" w:eastAsia="Courier New" w:hAnsi="Courier New"/>
          <w:sz w:val="14"/>
          <w:szCs w:val="14"/>
          <w:color w:val="auto"/>
        </w:rPr>
        <w:t>40</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219"/>
          </w:cols>
          <w:pgMar w:left="240" w:top="648" w:right="1440" w:bottom="1440" w:gutter="0" w:footer="0" w:header="0"/>
        </w:sectPr>
      </w:pPr>
    </w:p>
    <w:bookmarkStart w:id="77" w:name="page78"/>
    <w:bookmarkEnd w:id="77"/>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314.</w:t>
      </w:r>
      <w:r>
        <w:rPr>
          <w:sz w:val="20"/>
          <w:szCs w:val="20"/>
          <w:color w:val="auto"/>
        </w:rPr>
        <w:tab/>
      </w:r>
      <w:r>
        <w:rPr>
          <w:rFonts w:ascii="Courier New" w:cs="Courier New" w:eastAsia="Courier New" w:hAnsi="Courier New"/>
          <w:sz w:val="16"/>
          <w:szCs w:val="16"/>
          <w:color w:val="auto"/>
        </w:rPr>
        <w:t>CUSIP Numbers</w:t>
      </w:r>
      <w:r>
        <w:rPr>
          <w:sz w:val="20"/>
          <w:szCs w:val="20"/>
          <w:color w:val="auto"/>
        </w:rPr>
        <w:tab/>
      </w:r>
      <w:r>
        <w:rPr>
          <w:rFonts w:ascii="Courier New" w:cs="Courier New" w:eastAsia="Courier New" w:hAnsi="Courier New"/>
          <w:sz w:val="14"/>
          <w:szCs w:val="14"/>
          <w:color w:val="auto"/>
        </w:rPr>
        <w:t>41</w:t>
      </w:r>
    </w:p>
    <w:p>
      <w:pPr>
        <w:spacing w:after="0" w:line="17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ARTICLE FOUR</w:t>
      </w:r>
    </w:p>
    <w:p>
      <w:pPr>
        <w:ind w:left="2500"/>
        <w:spacing w:after="0" w:line="236" w:lineRule="auto"/>
        <w:rPr>
          <w:sz w:val="20"/>
          <w:szCs w:val="20"/>
          <w:color w:val="auto"/>
        </w:rPr>
      </w:pPr>
      <w:r>
        <w:rPr>
          <w:rFonts w:ascii="Courier New" w:cs="Courier New" w:eastAsia="Courier New" w:hAnsi="Courier New"/>
          <w:sz w:val="16"/>
          <w:szCs w:val="16"/>
          <w:color w:val="auto"/>
        </w:rPr>
        <w:t>SATISFACTION AND DISCHARGE</w:t>
      </w:r>
    </w:p>
    <w:p>
      <w:pPr>
        <w:spacing w:after="0" w:line="177" w:lineRule="exact"/>
        <w:rPr>
          <w:sz w:val="20"/>
          <w:szCs w:val="20"/>
          <w:color w:val="auto"/>
        </w:rPr>
      </w:pP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401.</w:t>
      </w:r>
      <w:r>
        <w:rPr>
          <w:sz w:val="20"/>
          <w:szCs w:val="20"/>
          <w:color w:val="auto"/>
        </w:rPr>
        <w:tab/>
      </w:r>
      <w:r>
        <w:rPr>
          <w:rFonts w:ascii="Courier New" w:cs="Courier New" w:eastAsia="Courier New" w:hAnsi="Courier New"/>
          <w:sz w:val="16"/>
          <w:szCs w:val="16"/>
          <w:color w:val="auto"/>
        </w:rPr>
        <w:t>Satisfaction and Discharge of Indenture</w:t>
      </w:r>
      <w:r>
        <w:rPr>
          <w:sz w:val="20"/>
          <w:szCs w:val="20"/>
          <w:color w:val="auto"/>
        </w:rPr>
        <w:tab/>
      </w:r>
      <w:r>
        <w:rPr>
          <w:rFonts w:ascii="Courier New" w:cs="Courier New" w:eastAsia="Courier New" w:hAnsi="Courier New"/>
          <w:sz w:val="14"/>
          <w:szCs w:val="14"/>
          <w:color w:val="auto"/>
        </w:rPr>
        <w:t>41</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402.</w:t>
      </w:r>
      <w:r>
        <w:rPr>
          <w:sz w:val="20"/>
          <w:szCs w:val="20"/>
          <w:color w:val="auto"/>
        </w:rPr>
        <w:tab/>
      </w:r>
      <w:r>
        <w:rPr>
          <w:rFonts w:ascii="Courier New" w:cs="Courier New" w:eastAsia="Courier New" w:hAnsi="Courier New"/>
          <w:sz w:val="16"/>
          <w:szCs w:val="16"/>
          <w:color w:val="auto"/>
        </w:rPr>
        <w:t>Application of Trust Funds</w:t>
      </w:r>
      <w:r>
        <w:rPr>
          <w:sz w:val="20"/>
          <w:szCs w:val="20"/>
          <w:color w:val="auto"/>
        </w:rPr>
        <w:tab/>
      </w:r>
      <w:r>
        <w:rPr>
          <w:rFonts w:ascii="Courier New" w:cs="Courier New" w:eastAsia="Courier New" w:hAnsi="Courier New"/>
          <w:sz w:val="14"/>
          <w:szCs w:val="14"/>
          <w:color w:val="auto"/>
        </w:rPr>
        <w:t>43</w:t>
      </w:r>
    </w:p>
    <w:p>
      <w:pPr>
        <w:spacing w:after="0" w:line="17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ARTICLE FIVE</w:t>
      </w:r>
    </w:p>
    <w:p>
      <w:pPr>
        <w:ind w:left="3340"/>
        <w:spacing w:after="0" w:line="236" w:lineRule="auto"/>
        <w:rPr>
          <w:sz w:val="20"/>
          <w:szCs w:val="20"/>
          <w:color w:val="auto"/>
        </w:rPr>
      </w:pPr>
      <w:r>
        <w:rPr>
          <w:rFonts w:ascii="Courier New" w:cs="Courier New" w:eastAsia="Courier New" w:hAnsi="Courier New"/>
          <w:sz w:val="16"/>
          <w:szCs w:val="16"/>
          <w:color w:val="auto"/>
        </w:rPr>
        <w:t>REMEDIES</w:t>
      </w:r>
    </w:p>
    <w:p>
      <w:pPr>
        <w:spacing w:after="0" w:line="177" w:lineRule="exact"/>
        <w:rPr>
          <w:sz w:val="20"/>
          <w:szCs w:val="20"/>
          <w:color w:val="auto"/>
        </w:rPr>
      </w:pP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501.</w:t>
      </w:r>
      <w:r>
        <w:rPr>
          <w:sz w:val="20"/>
          <w:szCs w:val="20"/>
          <w:color w:val="auto"/>
        </w:rPr>
        <w:tab/>
      </w:r>
      <w:r>
        <w:rPr>
          <w:rFonts w:ascii="Courier New" w:cs="Courier New" w:eastAsia="Courier New" w:hAnsi="Courier New"/>
          <w:sz w:val="16"/>
          <w:szCs w:val="16"/>
          <w:color w:val="auto"/>
        </w:rPr>
        <w:t>Events of Default</w:t>
      </w:r>
      <w:r>
        <w:rPr>
          <w:sz w:val="20"/>
          <w:szCs w:val="20"/>
          <w:color w:val="auto"/>
        </w:rPr>
        <w:tab/>
      </w:r>
      <w:r>
        <w:rPr>
          <w:rFonts w:ascii="Courier New" w:cs="Courier New" w:eastAsia="Courier New" w:hAnsi="Courier New"/>
          <w:sz w:val="14"/>
          <w:szCs w:val="14"/>
          <w:color w:val="auto"/>
        </w:rPr>
        <w:t>43</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502.</w:t>
      </w:r>
      <w:r>
        <w:rPr>
          <w:sz w:val="20"/>
          <w:szCs w:val="20"/>
          <w:color w:val="auto"/>
        </w:rPr>
        <w:tab/>
      </w:r>
      <w:r>
        <w:rPr>
          <w:rFonts w:ascii="Courier New" w:cs="Courier New" w:eastAsia="Courier New" w:hAnsi="Courier New"/>
          <w:sz w:val="16"/>
          <w:szCs w:val="16"/>
          <w:color w:val="auto"/>
        </w:rPr>
        <w:t>Acceleration of Maturity; Rescission and Annulment</w:t>
      </w:r>
      <w:r>
        <w:rPr>
          <w:sz w:val="20"/>
          <w:szCs w:val="20"/>
          <w:color w:val="auto"/>
        </w:rPr>
        <w:tab/>
      </w:r>
      <w:r>
        <w:rPr>
          <w:rFonts w:ascii="Courier New" w:cs="Courier New" w:eastAsia="Courier New" w:hAnsi="Courier New"/>
          <w:sz w:val="14"/>
          <w:szCs w:val="14"/>
          <w:color w:val="auto"/>
        </w:rPr>
        <w:t>44</w:t>
      </w:r>
    </w:p>
    <w:p>
      <w:pPr>
        <w:spacing w:after="0"/>
        <w:tabs>
          <w:tab w:leader="none" w:pos="1380" w:val="left"/>
        </w:tabs>
        <w:rPr>
          <w:sz w:val="20"/>
          <w:szCs w:val="20"/>
          <w:color w:val="auto"/>
        </w:rPr>
      </w:pPr>
      <w:r>
        <w:rPr>
          <w:rFonts w:ascii="Courier New" w:cs="Courier New" w:eastAsia="Courier New" w:hAnsi="Courier New"/>
          <w:sz w:val="16"/>
          <w:szCs w:val="16"/>
          <w:color w:val="auto"/>
        </w:rPr>
        <w:t>SECTION 503.</w:t>
      </w:r>
      <w:r>
        <w:rPr>
          <w:sz w:val="20"/>
          <w:szCs w:val="20"/>
          <w:color w:val="auto"/>
        </w:rPr>
        <w:tab/>
      </w:r>
      <w:r>
        <w:rPr>
          <w:rFonts w:ascii="Courier New" w:cs="Courier New" w:eastAsia="Courier New" w:hAnsi="Courier New"/>
          <w:sz w:val="14"/>
          <w:szCs w:val="14"/>
          <w:color w:val="auto"/>
        </w:rPr>
        <w:t>Collection of Indebtedness and Suits for Enforcement</w:t>
      </w:r>
    </w:p>
    <w:p>
      <w:pPr>
        <w:jc w:val="right"/>
        <w:ind w:right="2779"/>
        <w:spacing w:after="0"/>
        <w:tabs>
          <w:tab w:leader="dot" w:pos="160" w:val="left"/>
        </w:tabs>
        <w:rPr>
          <w:sz w:val="20"/>
          <w:szCs w:val="20"/>
          <w:color w:val="auto"/>
        </w:rPr>
      </w:pPr>
      <w:r>
        <w:rPr>
          <w:rFonts w:ascii="Courier New" w:cs="Courier New" w:eastAsia="Courier New" w:hAnsi="Courier New"/>
          <w:sz w:val="16"/>
          <w:szCs w:val="16"/>
          <w:color w:val="auto"/>
        </w:rPr>
        <w:t>by Trustee</w:t>
      </w:r>
      <w:r>
        <w:rPr>
          <w:sz w:val="20"/>
          <w:szCs w:val="20"/>
          <w:color w:val="auto"/>
        </w:rPr>
        <w:tab/>
      </w:r>
      <w:r>
        <w:rPr>
          <w:rFonts w:ascii="Courier New" w:cs="Courier New" w:eastAsia="Courier New" w:hAnsi="Courier New"/>
          <w:sz w:val="14"/>
          <w:szCs w:val="14"/>
          <w:color w:val="auto"/>
        </w:rPr>
        <w:t>45</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504.</w:t>
      </w:r>
      <w:r>
        <w:rPr>
          <w:sz w:val="20"/>
          <w:szCs w:val="20"/>
          <w:color w:val="auto"/>
        </w:rPr>
        <w:tab/>
      </w:r>
      <w:r>
        <w:rPr>
          <w:rFonts w:ascii="Courier New" w:cs="Courier New" w:eastAsia="Courier New" w:hAnsi="Courier New"/>
          <w:sz w:val="16"/>
          <w:szCs w:val="16"/>
          <w:color w:val="auto"/>
        </w:rPr>
        <w:t>Trustee May File Proofs of Claim</w:t>
      </w:r>
      <w:r>
        <w:rPr>
          <w:sz w:val="20"/>
          <w:szCs w:val="20"/>
          <w:color w:val="auto"/>
        </w:rPr>
        <w:tab/>
      </w:r>
      <w:r>
        <w:rPr>
          <w:rFonts w:ascii="Courier New" w:cs="Courier New" w:eastAsia="Courier New" w:hAnsi="Courier New"/>
          <w:sz w:val="14"/>
          <w:szCs w:val="14"/>
          <w:color w:val="auto"/>
        </w:rPr>
        <w:t>46</w:t>
      </w:r>
    </w:p>
    <w:p>
      <w:pPr>
        <w:spacing w:after="0"/>
        <w:tabs>
          <w:tab w:leader="none" w:pos="1380" w:val="left"/>
        </w:tabs>
        <w:rPr>
          <w:sz w:val="20"/>
          <w:szCs w:val="20"/>
          <w:color w:val="auto"/>
        </w:rPr>
      </w:pPr>
      <w:r>
        <w:rPr>
          <w:rFonts w:ascii="Courier New" w:cs="Courier New" w:eastAsia="Courier New" w:hAnsi="Courier New"/>
          <w:sz w:val="16"/>
          <w:szCs w:val="16"/>
          <w:color w:val="auto"/>
        </w:rPr>
        <w:t>SECTION 505.</w:t>
      </w:r>
      <w:r>
        <w:rPr>
          <w:sz w:val="20"/>
          <w:szCs w:val="20"/>
          <w:color w:val="auto"/>
        </w:rPr>
        <w:tab/>
      </w:r>
      <w:r>
        <w:rPr>
          <w:rFonts w:ascii="Courier New" w:cs="Courier New" w:eastAsia="Courier New" w:hAnsi="Courier New"/>
          <w:sz w:val="14"/>
          <w:szCs w:val="14"/>
          <w:color w:val="auto"/>
        </w:rPr>
        <w:t>Trustee May Enforce Claims Without Possession of Securities</w:t>
      </w:r>
    </w:p>
    <w:p>
      <w:pPr>
        <w:jc w:val="right"/>
        <w:ind w:right="2779"/>
        <w:spacing w:after="0"/>
        <w:tabs>
          <w:tab w:leader="dot" w:pos="160" w:val="left"/>
        </w:tabs>
        <w:rPr>
          <w:sz w:val="20"/>
          <w:szCs w:val="20"/>
          <w:color w:val="auto"/>
        </w:rPr>
      </w:pPr>
      <w:r>
        <w:rPr>
          <w:rFonts w:ascii="Courier New" w:cs="Courier New" w:eastAsia="Courier New" w:hAnsi="Courier New"/>
          <w:sz w:val="16"/>
          <w:szCs w:val="16"/>
          <w:color w:val="auto"/>
        </w:rPr>
        <w:t>or Coupons</w:t>
      </w:r>
      <w:r>
        <w:rPr>
          <w:sz w:val="20"/>
          <w:szCs w:val="20"/>
          <w:color w:val="auto"/>
        </w:rPr>
        <w:tab/>
      </w:r>
      <w:r>
        <w:rPr>
          <w:rFonts w:ascii="Courier New" w:cs="Courier New" w:eastAsia="Courier New" w:hAnsi="Courier New"/>
          <w:sz w:val="14"/>
          <w:szCs w:val="14"/>
          <w:color w:val="auto"/>
        </w:rPr>
        <w:t>47</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506.</w:t>
      </w:r>
      <w:r>
        <w:rPr>
          <w:sz w:val="20"/>
          <w:szCs w:val="20"/>
          <w:color w:val="auto"/>
        </w:rPr>
        <w:tab/>
      </w:r>
      <w:r>
        <w:rPr>
          <w:rFonts w:ascii="Courier New" w:cs="Courier New" w:eastAsia="Courier New" w:hAnsi="Courier New"/>
          <w:sz w:val="16"/>
          <w:szCs w:val="16"/>
          <w:color w:val="auto"/>
        </w:rPr>
        <w:t>Application of Money Collected</w:t>
      </w:r>
      <w:r>
        <w:rPr>
          <w:sz w:val="20"/>
          <w:szCs w:val="20"/>
          <w:color w:val="auto"/>
        </w:rPr>
        <w:tab/>
      </w:r>
      <w:r>
        <w:rPr>
          <w:rFonts w:ascii="Courier New" w:cs="Courier New" w:eastAsia="Courier New" w:hAnsi="Courier New"/>
          <w:sz w:val="14"/>
          <w:szCs w:val="14"/>
          <w:color w:val="auto"/>
        </w:rPr>
        <w:t>47</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507.</w:t>
      </w:r>
      <w:r>
        <w:rPr>
          <w:sz w:val="20"/>
          <w:szCs w:val="20"/>
          <w:color w:val="auto"/>
        </w:rPr>
        <w:tab/>
      </w:r>
      <w:r>
        <w:rPr>
          <w:rFonts w:ascii="Courier New" w:cs="Courier New" w:eastAsia="Courier New" w:hAnsi="Courier New"/>
          <w:sz w:val="16"/>
          <w:szCs w:val="16"/>
          <w:color w:val="auto"/>
        </w:rPr>
        <w:t>Limitation on Suits</w:t>
      </w:r>
      <w:r>
        <w:rPr>
          <w:sz w:val="20"/>
          <w:szCs w:val="20"/>
          <w:color w:val="auto"/>
        </w:rPr>
        <w:tab/>
      </w:r>
      <w:r>
        <w:rPr>
          <w:rFonts w:ascii="Courier New" w:cs="Courier New" w:eastAsia="Courier New" w:hAnsi="Courier New"/>
          <w:sz w:val="14"/>
          <w:szCs w:val="14"/>
          <w:color w:val="auto"/>
        </w:rPr>
        <w:t>47</w:t>
      </w:r>
    </w:p>
    <w:p>
      <w:pPr>
        <w:spacing w:after="0"/>
        <w:tabs>
          <w:tab w:leader="none" w:pos="1380" w:val="left"/>
        </w:tabs>
        <w:rPr>
          <w:sz w:val="20"/>
          <w:szCs w:val="20"/>
          <w:color w:val="auto"/>
        </w:rPr>
      </w:pPr>
      <w:r>
        <w:rPr>
          <w:rFonts w:ascii="Courier New" w:cs="Courier New" w:eastAsia="Courier New" w:hAnsi="Courier New"/>
          <w:sz w:val="16"/>
          <w:szCs w:val="16"/>
          <w:color w:val="auto"/>
        </w:rPr>
        <w:t>SECTION 508.</w:t>
      </w:r>
      <w:r>
        <w:rPr>
          <w:sz w:val="20"/>
          <w:szCs w:val="20"/>
          <w:color w:val="auto"/>
        </w:rPr>
        <w:tab/>
      </w:r>
      <w:r>
        <w:rPr>
          <w:rFonts w:ascii="Courier New" w:cs="Courier New" w:eastAsia="Courier New" w:hAnsi="Courier New"/>
          <w:sz w:val="14"/>
          <w:szCs w:val="14"/>
          <w:color w:val="auto"/>
        </w:rPr>
        <w:t>Unconditional Right of Holders to Receive Principal,</w:t>
      </w:r>
    </w:p>
    <w:p>
      <w:pPr>
        <w:jc w:val="right"/>
        <w:ind w:right="2779"/>
        <w:spacing w:after="0"/>
        <w:tabs>
          <w:tab w:leader="dot" w:pos="160" w:val="left"/>
        </w:tabs>
        <w:rPr>
          <w:sz w:val="20"/>
          <w:szCs w:val="20"/>
          <w:color w:val="auto"/>
        </w:rPr>
      </w:pPr>
      <w:r>
        <w:rPr>
          <w:rFonts w:ascii="Courier New" w:cs="Courier New" w:eastAsia="Courier New" w:hAnsi="Courier New"/>
          <w:sz w:val="16"/>
          <w:szCs w:val="16"/>
          <w:color w:val="auto"/>
        </w:rPr>
        <w:t>Premium and Interest and Additional Amounts, if Any</w:t>
      </w:r>
      <w:r>
        <w:rPr>
          <w:sz w:val="20"/>
          <w:szCs w:val="20"/>
          <w:color w:val="auto"/>
        </w:rPr>
        <w:tab/>
      </w:r>
      <w:r>
        <w:rPr>
          <w:rFonts w:ascii="Courier New" w:cs="Courier New" w:eastAsia="Courier New" w:hAnsi="Courier New"/>
          <w:sz w:val="14"/>
          <w:szCs w:val="14"/>
          <w:color w:val="auto"/>
        </w:rPr>
        <w:t>48</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509.</w:t>
      </w:r>
      <w:r>
        <w:rPr>
          <w:sz w:val="20"/>
          <w:szCs w:val="20"/>
          <w:color w:val="auto"/>
        </w:rPr>
        <w:tab/>
      </w:r>
      <w:r>
        <w:rPr>
          <w:rFonts w:ascii="Courier New" w:cs="Courier New" w:eastAsia="Courier New" w:hAnsi="Courier New"/>
          <w:sz w:val="16"/>
          <w:szCs w:val="16"/>
          <w:color w:val="auto"/>
        </w:rPr>
        <w:t>Restoration of Rights and Remedies</w:t>
      </w:r>
      <w:r>
        <w:rPr>
          <w:sz w:val="20"/>
          <w:szCs w:val="20"/>
          <w:color w:val="auto"/>
        </w:rPr>
        <w:tab/>
      </w:r>
      <w:r>
        <w:rPr>
          <w:rFonts w:ascii="Courier New" w:cs="Courier New" w:eastAsia="Courier New" w:hAnsi="Courier New"/>
          <w:sz w:val="14"/>
          <w:szCs w:val="14"/>
          <w:color w:val="auto"/>
        </w:rPr>
        <w:t>48</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510.</w:t>
      </w:r>
      <w:r>
        <w:rPr>
          <w:sz w:val="20"/>
          <w:szCs w:val="20"/>
          <w:color w:val="auto"/>
        </w:rPr>
        <w:tab/>
      </w:r>
      <w:r>
        <w:rPr>
          <w:rFonts w:ascii="Courier New" w:cs="Courier New" w:eastAsia="Courier New" w:hAnsi="Courier New"/>
          <w:sz w:val="16"/>
          <w:szCs w:val="16"/>
          <w:color w:val="auto"/>
        </w:rPr>
        <w:t>Rights and Remedies Cumulative</w:t>
      </w:r>
      <w:r>
        <w:rPr>
          <w:sz w:val="20"/>
          <w:szCs w:val="20"/>
          <w:color w:val="auto"/>
        </w:rPr>
        <w:tab/>
      </w:r>
      <w:r>
        <w:rPr>
          <w:rFonts w:ascii="Courier New" w:cs="Courier New" w:eastAsia="Courier New" w:hAnsi="Courier New"/>
          <w:sz w:val="14"/>
          <w:szCs w:val="14"/>
          <w:color w:val="auto"/>
        </w:rPr>
        <w:t>48</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511.</w:t>
      </w:r>
      <w:r>
        <w:rPr>
          <w:sz w:val="20"/>
          <w:szCs w:val="20"/>
          <w:color w:val="auto"/>
        </w:rPr>
        <w:tab/>
      </w:r>
      <w:r>
        <w:rPr>
          <w:rFonts w:ascii="Courier New" w:cs="Courier New" w:eastAsia="Courier New" w:hAnsi="Courier New"/>
          <w:sz w:val="16"/>
          <w:szCs w:val="16"/>
          <w:color w:val="auto"/>
        </w:rPr>
        <w:t>Delay or Omission Not Waiver</w:t>
      </w:r>
      <w:r>
        <w:rPr>
          <w:sz w:val="20"/>
          <w:szCs w:val="20"/>
          <w:color w:val="auto"/>
        </w:rPr>
        <w:tab/>
      </w:r>
      <w:r>
        <w:rPr>
          <w:rFonts w:ascii="Courier New" w:cs="Courier New" w:eastAsia="Courier New" w:hAnsi="Courier New"/>
          <w:sz w:val="14"/>
          <w:szCs w:val="14"/>
          <w:color w:val="auto"/>
        </w:rPr>
        <w:t>49</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512.</w:t>
      </w:r>
      <w:r>
        <w:rPr>
          <w:sz w:val="20"/>
          <w:szCs w:val="20"/>
          <w:color w:val="auto"/>
        </w:rPr>
        <w:tab/>
      </w:r>
      <w:r>
        <w:rPr>
          <w:rFonts w:ascii="Courier New" w:cs="Courier New" w:eastAsia="Courier New" w:hAnsi="Courier New"/>
          <w:sz w:val="16"/>
          <w:szCs w:val="16"/>
          <w:color w:val="auto"/>
        </w:rPr>
        <w:t>Control by Holders of Securities</w:t>
      </w:r>
      <w:r>
        <w:rPr>
          <w:sz w:val="20"/>
          <w:szCs w:val="20"/>
          <w:color w:val="auto"/>
        </w:rPr>
        <w:tab/>
      </w:r>
      <w:r>
        <w:rPr>
          <w:rFonts w:ascii="Courier New" w:cs="Courier New" w:eastAsia="Courier New" w:hAnsi="Courier New"/>
          <w:sz w:val="14"/>
          <w:szCs w:val="14"/>
          <w:color w:val="auto"/>
        </w:rPr>
        <w:t>49</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513.</w:t>
      </w:r>
      <w:r>
        <w:rPr>
          <w:sz w:val="20"/>
          <w:szCs w:val="20"/>
          <w:color w:val="auto"/>
        </w:rPr>
        <w:tab/>
      </w:r>
      <w:r>
        <w:rPr>
          <w:rFonts w:ascii="Courier New" w:cs="Courier New" w:eastAsia="Courier New" w:hAnsi="Courier New"/>
          <w:sz w:val="16"/>
          <w:szCs w:val="16"/>
          <w:color w:val="auto"/>
        </w:rPr>
        <w:t>Undertaking for Costs</w:t>
      </w:r>
      <w:r>
        <w:rPr>
          <w:sz w:val="20"/>
          <w:szCs w:val="20"/>
          <w:color w:val="auto"/>
        </w:rPr>
        <w:tab/>
      </w:r>
      <w:r>
        <w:rPr>
          <w:rFonts w:ascii="Courier New" w:cs="Courier New" w:eastAsia="Courier New" w:hAnsi="Courier New"/>
          <w:sz w:val="14"/>
          <w:szCs w:val="14"/>
          <w:color w:val="auto"/>
        </w:rPr>
        <w:t>49</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514.</w:t>
      </w:r>
      <w:r>
        <w:rPr>
          <w:sz w:val="20"/>
          <w:szCs w:val="20"/>
          <w:color w:val="auto"/>
        </w:rPr>
        <w:tab/>
      </w:r>
      <w:r>
        <w:rPr>
          <w:rFonts w:ascii="Courier New" w:cs="Courier New" w:eastAsia="Courier New" w:hAnsi="Courier New"/>
          <w:sz w:val="16"/>
          <w:szCs w:val="16"/>
          <w:color w:val="auto"/>
        </w:rPr>
        <w:t>Waiver of Past Defaults</w:t>
      </w:r>
      <w:r>
        <w:rPr>
          <w:sz w:val="20"/>
          <w:szCs w:val="20"/>
          <w:color w:val="auto"/>
        </w:rPr>
        <w:tab/>
      </w:r>
      <w:r>
        <w:rPr>
          <w:rFonts w:ascii="Courier New" w:cs="Courier New" w:eastAsia="Courier New" w:hAnsi="Courier New"/>
          <w:sz w:val="14"/>
          <w:szCs w:val="14"/>
          <w:color w:val="auto"/>
        </w:rPr>
        <w:t>49</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515.</w:t>
      </w:r>
      <w:r>
        <w:rPr>
          <w:sz w:val="20"/>
          <w:szCs w:val="20"/>
          <w:color w:val="auto"/>
        </w:rPr>
        <w:tab/>
      </w:r>
      <w:r>
        <w:rPr>
          <w:rFonts w:ascii="Courier New" w:cs="Courier New" w:eastAsia="Courier New" w:hAnsi="Courier New"/>
          <w:sz w:val="16"/>
          <w:szCs w:val="16"/>
          <w:color w:val="auto"/>
        </w:rPr>
        <w:t>Waiver of Usury, Stay or Extension Laws</w:t>
      </w:r>
      <w:r>
        <w:rPr>
          <w:sz w:val="20"/>
          <w:szCs w:val="20"/>
          <w:color w:val="auto"/>
        </w:rPr>
        <w:tab/>
      </w:r>
      <w:r>
        <w:rPr>
          <w:rFonts w:ascii="Courier New" w:cs="Courier New" w:eastAsia="Courier New" w:hAnsi="Courier New"/>
          <w:sz w:val="14"/>
          <w:szCs w:val="14"/>
          <w:color w:val="auto"/>
        </w:rPr>
        <w:t>50</w:t>
      </w:r>
    </w:p>
    <w:p>
      <w:pPr>
        <w:spacing w:after="0" w:line="17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ARTICLE SIX</w:t>
      </w:r>
    </w:p>
    <w:p>
      <w:pPr>
        <w:ind w:left="3260"/>
        <w:spacing w:after="0" w:line="236" w:lineRule="auto"/>
        <w:rPr>
          <w:sz w:val="20"/>
          <w:szCs w:val="20"/>
          <w:color w:val="auto"/>
        </w:rPr>
      </w:pPr>
      <w:r>
        <w:rPr>
          <w:rFonts w:ascii="Courier New" w:cs="Courier New" w:eastAsia="Courier New" w:hAnsi="Courier New"/>
          <w:sz w:val="16"/>
          <w:szCs w:val="16"/>
          <w:color w:val="auto"/>
        </w:rPr>
        <w:t>THE TRUSTEE</w:t>
      </w:r>
    </w:p>
    <w:p>
      <w:pPr>
        <w:spacing w:after="0" w:line="177" w:lineRule="exact"/>
        <w:rPr>
          <w:sz w:val="20"/>
          <w:szCs w:val="20"/>
          <w:color w:val="auto"/>
        </w:rPr>
      </w:pP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601.</w:t>
      </w:r>
      <w:r>
        <w:rPr>
          <w:sz w:val="20"/>
          <w:szCs w:val="20"/>
          <w:color w:val="auto"/>
        </w:rPr>
        <w:tab/>
      </w:r>
      <w:r>
        <w:rPr>
          <w:rFonts w:ascii="Courier New" w:cs="Courier New" w:eastAsia="Courier New" w:hAnsi="Courier New"/>
          <w:sz w:val="16"/>
          <w:szCs w:val="16"/>
          <w:color w:val="auto"/>
        </w:rPr>
        <w:t>Notice of Defaults</w:t>
      </w:r>
      <w:r>
        <w:rPr>
          <w:sz w:val="20"/>
          <w:szCs w:val="20"/>
          <w:color w:val="auto"/>
        </w:rPr>
        <w:tab/>
      </w:r>
      <w:r>
        <w:rPr>
          <w:rFonts w:ascii="Courier New" w:cs="Courier New" w:eastAsia="Courier New" w:hAnsi="Courier New"/>
          <w:sz w:val="14"/>
          <w:szCs w:val="14"/>
          <w:color w:val="auto"/>
        </w:rPr>
        <w:t>50</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602.</w:t>
      </w:r>
      <w:r>
        <w:rPr>
          <w:sz w:val="20"/>
          <w:szCs w:val="20"/>
          <w:color w:val="auto"/>
        </w:rPr>
        <w:tab/>
      </w:r>
      <w:r>
        <w:rPr>
          <w:rFonts w:ascii="Courier New" w:cs="Courier New" w:eastAsia="Courier New" w:hAnsi="Courier New"/>
          <w:sz w:val="16"/>
          <w:szCs w:val="16"/>
          <w:color w:val="auto"/>
        </w:rPr>
        <w:t>Certain Rights of Trustee</w:t>
      </w:r>
      <w:r>
        <w:rPr>
          <w:sz w:val="20"/>
          <w:szCs w:val="20"/>
          <w:color w:val="auto"/>
        </w:rPr>
        <w:tab/>
      </w:r>
      <w:r>
        <w:rPr>
          <w:rFonts w:ascii="Courier New" w:cs="Courier New" w:eastAsia="Courier New" w:hAnsi="Courier New"/>
          <w:sz w:val="14"/>
          <w:szCs w:val="14"/>
          <w:color w:val="auto"/>
        </w:rPr>
        <w:t>51</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603.</w:t>
      </w:r>
      <w:r>
        <w:rPr>
          <w:sz w:val="20"/>
          <w:szCs w:val="20"/>
          <w:color w:val="auto"/>
        </w:rPr>
        <w:tab/>
      </w:r>
      <w:r>
        <w:rPr>
          <w:rFonts w:ascii="Courier New" w:cs="Courier New" w:eastAsia="Courier New" w:hAnsi="Courier New"/>
          <w:sz w:val="16"/>
          <w:szCs w:val="16"/>
          <w:color w:val="auto"/>
        </w:rPr>
        <w:t>Not Responsible for Recitals or Issuance of Securities</w:t>
      </w:r>
      <w:r>
        <w:rPr>
          <w:sz w:val="20"/>
          <w:szCs w:val="20"/>
          <w:color w:val="auto"/>
        </w:rPr>
        <w:tab/>
      </w:r>
      <w:r>
        <w:rPr>
          <w:rFonts w:ascii="Courier New" w:cs="Courier New" w:eastAsia="Courier New" w:hAnsi="Courier New"/>
          <w:sz w:val="14"/>
          <w:szCs w:val="14"/>
          <w:color w:val="auto"/>
        </w:rPr>
        <w:t>52</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604.</w:t>
      </w:r>
      <w:r>
        <w:rPr>
          <w:sz w:val="20"/>
          <w:szCs w:val="20"/>
          <w:color w:val="auto"/>
        </w:rPr>
        <w:tab/>
      </w:r>
      <w:r>
        <w:rPr>
          <w:rFonts w:ascii="Courier New" w:cs="Courier New" w:eastAsia="Courier New" w:hAnsi="Courier New"/>
          <w:sz w:val="16"/>
          <w:szCs w:val="16"/>
          <w:color w:val="auto"/>
        </w:rPr>
        <w:t>May Hold Securities</w:t>
      </w:r>
      <w:r>
        <w:rPr>
          <w:sz w:val="20"/>
          <w:szCs w:val="20"/>
          <w:color w:val="auto"/>
        </w:rPr>
        <w:tab/>
      </w:r>
      <w:r>
        <w:rPr>
          <w:rFonts w:ascii="Courier New" w:cs="Courier New" w:eastAsia="Courier New" w:hAnsi="Courier New"/>
          <w:sz w:val="14"/>
          <w:szCs w:val="14"/>
          <w:color w:val="auto"/>
        </w:rPr>
        <w:t>53</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605.</w:t>
      </w:r>
      <w:r>
        <w:rPr>
          <w:sz w:val="20"/>
          <w:szCs w:val="20"/>
          <w:color w:val="auto"/>
        </w:rPr>
        <w:tab/>
      </w:r>
      <w:r>
        <w:rPr>
          <w:rFonts w:ascii="Courier New" w:cs="Courier New" w:eastAsia="Courier New" w:hAnsi="Courier New"/>
          <w:sz w:val="16"/>
          <w:szCs w:val="16"/>
          <w:color w:val="auto"/>
        </w:rPr>
        <w:t>Money Held in Trust</w:t>
      </w:r>
      <w:r>
        <w:rPr>
          <w:sz w:val="20"/>
          <w:szCs w:val="20"/>
          <w:color w:val="auto"/>
        </w:rPr>
        <w:tab/>
      </w:r>
      <w:r>
        <w:rPr>
          <w:rFonts w:ascii="Courier New" w:cs="Courier New" w:eastAsia="Courier New" w:hAnsi="Courier New"/>
          <w:sz w:val="14"/>
          <w:szCs w:val="14"/>
          <w:color w:val="auto"/>
        </w:rPr>
        <w:t>53</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606.</w:t>
      </w:r>
      <w:r>
        <w:rPr>
          <w:sz w:val="20"/>
          <w:szCs w:val="20"/>
          <w:color w:val="auto"/>
        </w:rPr>
        <w:tab/>
      </w:r>
      <w:r>
        <w:rPr>
          <w:rFonts w:ascii="Courier New" w:cs="Courier New" w:eastAsia="Courier New" w:hAnsi="Courier New"/>
          <w:sz w:val="16"/>
          <w:szCs w:val="16"/>
          <w:color w:val="auto"/>
        </w:rPr>
        <w:t>Compensation and Reimbursement</w:t>
      </w:r>
      <w:r>
        <w:rPr>
          <w:sz w:val="20"/>
          <w:szCs w:val="20"/>
          <w:color w:val="auto"/>
        </w:rPr>
        <w:tab/>
      </w:r>
      <w:r>
        <w:rPr>
          <w:rFonts w:ascii="Courier New" w:cs="Courier New" w:eastAsia="Courier New" w:hAnsi="Courier New"/>
          <w:sz w:val="14"/>
          <w:szCs w:val="14"/>
          <w:color w:val="auto"/>
        </w:rPr>
        <w:t>53</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607.</w:t>
      </w:r>
      <w:r>
        <w:rPr>
          <w:sz w:val="20"/>
          <w:szCs w:val="20"/>
          <w:color w:val="auto"/>
        </w:rPr>
        <w:tab/>
      </w:r>
      <w:r>
        <w:rPr>
          <w:rFonts w:ascii="Courier New" w:cs="Courier New" w:eastAsia="Courier New" w:hAnsi="Courier New"/>
          <w:sz w:val="16"/>
          <w:szCs w:val="16"/>
          <w:color w:val="auto"/>
        </w:rPr>
        <w:t>Corporate Trustee Required; Eligibility</w:t>
      </w:r>
      <w:r>
        <w:rPr>
          <w:sz w:val="20"/>
          <w:szCs w:val="20"/>
          <w:color w:val="auto"/>
        </w:rPr>
        <w:tab/>
      </w:r>
      <w:r>
        <w:rPr>
          <w:rFonts w:ascii="Courier New" w:cs="Courier New" w:eastAsia="Courier New" w:hAnsi="Courier New"/>
          <w:sz w:val="14"/>
          <w:szCs w:val="14"/>
          <w:color w:val="auto"/>
        </w:rPr>
        <w:t>54</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608.</w:t>
      </w:r>
      <w:r>
        <w:rPr>
          <w:sz w:val="20"/>
          <w:szCs w:val="20"/>
          <w:color w:val="auto"/>
        </w:rPr>
        <w:tab/>
      </w:r>
      <w:r>
        <w:rPr>
          <w:rFonts w:ascii="Courier New" w:cs="Courier New" w:eastAsia="Courier New" w:hAnsi="Courier New"/>
          <w:sz w:val="16"/>
          <w:szCs w:val="16"/>
          <w:color w:val="auto"/>
        </w:rPr>
        <w:t>Resignation and Removal; Appointment of Successor</w:t>
      </w:r>
      <w:r>
        <w:rPr>
          <w:sz w:val="20"/>
          <w:szCs w:val="20"/>
          <w:color w:val="auto"/>
        </w:rPr>
        <w:tab/>
      </w:r>
      <w:r>
        <w:rPr>
          <w:rFonts w:ascii="Courier New" w:cs="Courier New" w:eastAsia="Courier New" w:hAnsi="Courier New"/>
          <w:sz w:val="14"/>
          <w:szCs w:val="14"/>
          <w:color w:val="auto"/>
        </w:rPr>
        <w:t>54</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609.</w:t>
      </w:r>
      <w:r>
        <w:rPr>
          <w:sz w:val="20"/>
          <w:szCs w:val="20"/>
          <w:color w:val="auto"/>
        </w:rPr>
        <w:tab/>
      </w:r>
      <w:r>
        <w:rPr>
          <w:rFonts w:ascii="Courier New" w:cs="Courier New" w:eastAsia="Courier New" w:hAnsi="Courier New"/>
          <w:sz w:val="16"/>
          <w:szCs w:val="16"/>
          <w:color w:val="auto"/>
        </w:rPr>
        <w:t>Acceptance of Appointment by Successor</w:t>
      </w:r>
      <w:r>
        <w:rPr>
          <w:sz w:val="20"/>
          <w:szCs w:val="20"/>
          <w:color w:val="auto"/>
        </w:rPr>
        <w:tab/>
      </w:r>
      <w:r>
        <w:rPr>
          <w:rFonts w:ascii="Courier New" w:cs="Courier New" w:eastAsia="Courier New" w:hAnsi="Courier New"/>
          <w:sz w:val="14"/>
          <w:szCs w:val="14"/>
          <w:color w:val="auto"/>
        </w:rPr>
        <w:t>55</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610.</w:t>
      </w:r>
      <w:r>
        <w:rPr>
          <w:sz w:val="20"/>
          <w:szCs w:val="20"/>
          <w:color w:val="auto"/>
        </w:rPr>
        <w:tab/>
      </w:r>
      <w:r>
        <w:rPr>
          <w:rFonts w:ascii="Courier New" w:cs="Courier New" w:eastAsia="Courier New" w:hAnsi="Courier New"/>
          <w:sz w:val="16"/>
          <w:szCs w:val="16"/>
          <w:color w:val="auto"/>
        </w:rPr>
        <w:t>Merger, Conversion, Consolidation or Succession to Business</w:t>
      </w:r>
      <w:r>
        <w:rPr>
          <w:sz w:val="20"/>
          <w:szCs w:val="20"/>
          <w:color w:val="auto"/>
        </w:rPr>
        <w:tab/>
      </w:r>
      <w:r>
        <w:rPr>
          <w:rFonts w:ascii="Courier New" w:cs="Courier New" w:eastAsia="Courier New" w:hAnsi="Courier New"/>
          <w:sz w:val="14"/>
          <w:szCs w:val="14"/>
          <w:color w:val="auto"/>
        </w:rPr>
        <w:t>57</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611.</w:t>
      </w:r>
      <w:r>
        <w:rPr>
          <w:sz w:val="20"/>
          <w:szCs w:val="20"/>
          <w:color w:val="auto"/>
        </w:rPr>
        <w:tab/>
      </w:r>
      <w:r>
        <w:rPr>
          <w:rFonts w:ascii="Courier New" w:cs="Courier New" w:eastAsia="Courier New" w:hAnsi="Courier New"/>
          <w:sz w:val="16"/>
          <w:szCs w:val="16"/>
          <w:color w:val="auto"/>
        </w:rPr>
        <w:t>Appointment of Authenticating Agent</w:t>
      </w:r>
      <w:r>
        <w:rPr>
          <w:sz w:val="20"/>
          <w:szCs w:val="20"/>
          <w:color w:val="auto"/>
        </w:rPr>
        <w:tab/>
      </w:r>
      <w:r>
        <w:rPr>
          <w:rFonts w:ascii="Courier New" w:cs="Courier New" w:eastAsia="Courier New" w:hAnsi="Courier New"/>
          <w:sz w:val="14"/>
          <w:szCs w:val="14"/>
          <w:color w:val="auto"/>
        </w:rPr>
        <w:t>57</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612.</w:t>
      </w:r>
      <w:r>
        <w:rPr>
          <w:sz w:val="20"/>
          <w:szCs w:val="20"/>
          <w:color w:val="auto"/>
        </w:rPr>
        <w:tab/>
      </w:r>
      <w:r>
        <w:rPr>
          <w:rFonts w:ascii="Courier New" w:cs="Courier New" w:eastAsia="Courier New" w:hAnsi="Courier New"/>
          <w:sz w:val="16"/>
          <w:szCs w:val="16"/>
          <w:color w:val="auto"/>
        </w:rPr>
        <w:t>Conflicting Interests</w:t>
      </w:r>
      <w:r>
        <w:rPr>
          <w:sz w:val="20"/>
          <w:szCs w:val="20"/>
          <w:color w:val="auto"/>
        </w:rPr>
        <w:tab/>
      </w:r>
      <w:r>
        <w:rPr>
          <w:rFonts w:ascii="Courier New" w:cs="Courier New" w:eastAsia="Courier New" w:hAnsi="Courier New"/>
          <w:sz w:val="14"/>
          <w:szCs w:val="14"/>
          <w:color w:val="auto"/>
        </w:rPr>
        <w:t>58</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613.</w:t>
      </w:r>
      <w:r>
        <w:rPr>
          <w:sz w:val="20"/>
          <w:szCs w:val="20"/>
          <w:color w:val="auto"/>
        </w:rPr>
        <w:tab/>
      </w:r>
      <w:r>
        <w:rPr>
          <w:rFonts w:ascii="Courier New" w:cs="Courier New" w:eastAsia="Courier New" w:hAnsi="Courier New"/>
          <w:sz w:val="16"/>
          <w:szCs w:val="16"/>
          <w:color w:val="auto"/>
        </w:rPr>
        <w:t>Appointment of Co-Trustee</w:t>
      </w:r>
      <w:r>
        <w:rPr>
          <w:sz w:val="20"/>
          <w:szCs w:val="20"/>
          <w:color w:val="auto"/>
        </w:rPr>
        <w:tab/>
      </w:r>
      <w:r>
        <w:rPr>
          <w:rFonts w:ascii="Courier New" w:cs="Courier New" w:eastAsia="Courier New" w:hAnsi="Courier New"/>
          <w:sz w:val="14"/>
          <w:szCs w:val="14"/>
          <w:color w:val="auto"/>
        </w:rPr>
        <w:t>59</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614.</w:t>
      </w:r>
      <w:r>
        <w:rPr>
          <w:sz w:val="20"/>
          <w:szCs w:val="20"/>
          <w:color w:val="auto"/>
        </w:rPr>
        <w:tab/>
      </w:r>
      <w:r>
        <w:rPr>
          <w:rFonts w:ascii="Courier New" w:cs="Courier New" w:eastAsia="Courier New" w:hAnsi="Courier New"/>
          <w:sz w:val="16"/>
          <w:szCs w:val="16"/>
          <w:color w:val="auto"/>
        </w:rPr>
        <w:t>Trustee's Application for Instructions from the Company</w:t>
      </w:r>
      <w:r>
        <w:rPr>
          <w:sz w:val="20"/>
          <w:szCs w:val="20"/>
          <w:color w:val="auto"/>
        </w:rPr>
        <w:tab/>
      </w:r>
      <w:r>
        <w:rPr>
          <w:rFonts w:ascii="Courier New" w:cs="Courier New" w:eastAsia="Courier New" w:hAnsi="Courier New"/>
          <w:sz w:val="14"/>
          <w:szCs w:val="14"/>
          <w:color w:val="auto"/>
        </w:rPr>
        <w:t>60</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0219"/>
          </w:cols>
          <w:pgMar w:left="240" w:top="648" w:right="1440" w:bottom="1440" w:gutter="0" w:footer="0" w:header="0"/>
        </w:sectPr>
      </w:pPr>
    </w:p>
    <w:bookmarkStart w:id="78" w:name="page79"/>
    <w:bookmarkEnd w:id="78"/>
    <w:p>
      <w:pPr>
        <w:ind w:left="3160"/>
        <w:spacing w:after="0"/>
        <w:rPr>
          <w:sz w:val="20"/>
          <w:szCs w:val="20"/>
          <w:color w:val="auto"/>
        </w:rPr>
      </w:pPr>
      <w:r>
        <w:rPr>
          <w:rFonts w:ascii="Courier New" w:cs="Courier New" w:eastAsia="Courier New" w:hAnsi="Courier New"/>
          <w:sz w:val="16"/>
          <w:szCs w:val="16"/>
          <w:color w:val="auto"/>
        </w:rPr>
        <w:t>ARTICLE SEVEN</w:t>
      </w:r>
    </w:p>
    <w:p>
      <w:pPr>
        <w:ind w:left="1480"/>
        <w:spacing w:after="0" w:line="236" w:lineRule="auto"/>
        <w:rPr>
          <w:sz w:val="20"/>
          <w:szCs w:val="20"/>
          <w:color w:val="auto"/>
        </w:rPr>
      </w:pPr>
      <w:r>
        <w:rPr>
          <w:rFonts w:ascii="Courier New" w:cs="Courier New" w:eastAsia="Courier New" w:hAnsi="Courier New"/>
          <w:sz w:val="16"/>
          <w:szCs w:val="16"/>
          <w:color w:val="auto"/>
        </w:rPr>
        <w:t>HOLDERS' LISTS AND REOPRTS BY TRUSTEE AND COMPANY</w:t>
      </w:r>
    </w:p>
    <w:p>
      <w:pPr>
        <w:spacing w:after="0" w:line="177" w:lineRule="exact"/>
        <w:rPr>
          <w:sz w:val="20"/>
          <w:szCs w:val="20"/>
          <w:color w:val="auto"/>
        </w:rPr>
      </w:pP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701.</w:t>
      </w:r>
      <w:r>
        <w:rPr>
          <w:sz w:val="20"/>
          <w:szCs w:val="20"/>
          <w:color w:val="auto"/>
        </w:rPr>
        <w:tab/>
      </w:r>
      <w:r>
        <w:rPr>
          <w:rFonts w:ascii="Courier New" w:cs="Courier New" w:eastAsia="Courier New" w:hAnsi="Courier New"/>
          <w:sz w:val="16"/>
          <w:szCs w:val="16"/>
          <w:color w:val="auto"/>
        </w:rPr>
        <w:t>Disclosure of Names and Addresses of Holders</w:t>
      </w:r>
      <w:r>
        <w:rPr>
          <w:sz w:val="20"/>
          <w:szCs w:val="20"/>
          <w:color w:val="auto"/>
        </w:rPr>
        <w:tab/>
      </w:r>
      <w:r>
        <w:rPr>
          <w:rFonts w:ascii="Courier New" w:cs="Courier New" w:eastAsia="Courier New" w:hAnsi="Courier New"/>
          <w:sz w:val="14"/>
          <w:szCs w:val="14"/>
          <w:color w:val="auto"/>
        </w:rPr>
        <w:t>60</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702.</w:t>
      </w:r>
      <w:r>
        <w:rPr>
          <w:sz w:val="20"/>
          <w:szCs w:val="20"/>
          <w:color w:val="auto"/>
        </w:rPr>
        <w:tab/>
      </w:r>
      <w:r>
        <w:rPr>
          <w:rFonts w:ascii="Courier New" w:cs="Courier New" w:eastAsia="Courier New" w:hAnsi="Courier New"/>
          <w:sz w:val="16"/>
          <w:szCs w:val="16"/>
          <w:color w:val="auto"/>
        </w:rPr>
        <w:t>Reports by Trustee</w:t>
      </w:r>
      <w:r>
        <w:rPr>
          <w:sz w:val="20"/>
          <w:szCs w:val="20"/>
          <w:color w:val="auto"/>
        </w:rPr>
        <w:tab/>
      </w:r>
      <w:r>
        <w:rPr>
          <w:rFonts w:ascii="Courier New" w:cs="Courier New" w:eastAsia="Courier New" w:hAnsi="Courier New"/>
          <w:sz w:val="14"/>
          <w:szCs w:val="14"/>
          <w:color w:val="auto"/>
        </w:rPr>
        <w:t>61</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703.</w:t>
      </w:r>
      <w:r>
        <w:rPr>
          <w:sz w:val="20"/>
          <w:szCs w:val="20"/>
          <w:color w:val="auto"/>
        </w:rPr>
        <w:tab/>
      </w:r>
      <w:r>
        <w:rPr>
          <w:rFonts w:ascii="Courier New" w:cs="Courier New" w:eastAsia="Courier New" w:hAnsi="Courier New"/>
          <w:sz w:val="16"/>
          <w:szCs w:val="16"/>
          <w:color w:val="auto"/>
        </w:rPr>
        <w:t>Reports by Company</w:t>
      </w:r>
      <w:r>
        <w:rPr>
          <w:sz w:val="20"/>
          <w:szCs w:val="20"/>
          <w:color w:val="auto"/>
        </w:rPr>
        <w:tab/>
      </w:r>
      <w:r>
        <w:rPr>
          <w:rFonts w:ascii="Courier New" w:cs="Courier New" w:eastAsia="Courier New" w:hAnsi="Courier New"/>
          <w:sz w:val="14"/>
          <w:szCs w:val="14"/>
          <w:color w:val="auto"/>
        </w:rPr>
        <w:t>61</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704.</w:t>
      </w:r>
      <w:r>
        <w:rPr>
          <w:sz w:val="20"/>
          <w:szCs w:val="20"/>
          <w:color w:val="auto"/>
        </w:rPr>
        <w:tab/>
      </w:r>
      <w:r>
        <w:rPr>
          <w:rFonts w:ascii="Courier New" w:cs="Courier New" w:eastAsia="Courier New" w:hAnsi="Courier New"/>
          <w:sz w:val="16"/>
          <w:szCs w:val="16"/>
          <w:color w:val="auto"/>
        </w:rPr>
        <w:t>Calculation of Original Issue Discount</w:t>
      </w:r>
      <w:r>
        <w:rPr>
          <w:sz w:val="20"/>
          <w:szCs w:val="20"/>
          <w:color w:val="auto"/>
        </w:rPr>
        <w:tab/>
      </w:r>
      <w:r>
        <w:rPr>
          <w:rFonts w:ascii="Courier New" w:cs="Courier New" w:eastAsia="Courier New" w:hAnsi="Courier New"/>
          <w:sz w:val="14"/>
          <w:szCs w:val="14"/>
          <w:color w:val="auto"/>
        </w:rPr>
        <w:t>62</w:t>
      </w:r>
    </w:p>
    <w:p>
      <w:pPr>
        <w:spacing w:after="0" w:line="17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ARTICLE EIGHT</w:t>
      </w:r>
    </w:p>
    <w:p>
      <w:pPr>
        <w:ind w:left="1660"/>
        <w:spacing w:after="0" w:line="236" w:lineRule="auto"/>
        <w:rPr>
          <w:sz w:val="20"/>
          <w:szCs w:val="20"/>
          <w:color w:val="auto"/>
        </w:rPr>
      </w:pPr>
      <w:r>
        <w:rPr>
          <w:rFonts w:ascii="Courier New" w:cs="Courier New" w:eastAsia="Courier New" w:hAnsi="Courier New"/>
          <w:sz w:val="16"/>
          <w:szCs w:val="16"/>
          <w:color w:val="auto"/>
        </w:rPr>
        <w:t>CONSOLIDATION, MERGER, CONVEYANCE OR TRANSFER</w:t>
      </w:r>
    </w:p>
    <w:p>
      <w:pPr>
        <w:spacing w:after="0" w:line="177" w:lineRule="exact"/>
        <w:rPr>
          <w:sz w:val="20"/>
          <w:szCs w:val="20"/>
          <w:color w:val="auto"/>
        </w:rPr>
      </w:pP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801.</w:t>
      </w:r>
      <w:r>
        <w:rPr>
          <w:sz w:val="20"/>
          <w:szCs w:val="20"/>
          <w:color w:val="auto"/>
        </w:rPr>
        <w:tab/>
      </w:r>
      <w:r>
        <w:rPr>
          <w:rFonts w:ascii="Courier New" w:cs="Courier New" w:eastAsia="Courier New" w:hAnsi="Courier New"/>
          <w:sz w:val="16"/>
          <w:szCs w:val="16"/>
          <w:color w:val="auto"/>
        </w:rPr>
        <w:t>Company May Consolidate, Etc., Only on Certain Terms</w:t>
      </w:r>
      <w:r>
        <w:rPr>
          <w:sz w:val="20"/>
          <w:szCs w:val="20"/>
          <w:color w:val="auto"/>
        </w:rPr>
        <w:tab/>
      </w:r>
      <w:r>
        <w:rPr>
          <w:rFonts w:ascii="Courier New" w:cs="Courier New" w:eastAsia="Courier New" w:hAnsi="Courier New"/>
          <w:sz w:val="14"/>
          <w:szCs w:val="14"/>
          <w:color w:val="auto"/>
        </w:rPr>
        <w:t>62</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802.</w:t>
      </w:r>
      <w:r>
        <w:rPr>
          <w:sz w:val="20"/>
          <w:szCs w:val="20"/>
          <w:color w:val="auto"/>
        </w:rPr>
        <w:tab/>
      </w:r>
      <w:r>
        <w:rPr>
          <w:rFonts w:ascii="Courier New" w:cs="Courier New" w:eastAsia="Courier New" w:hAnsi="Courier New"/>
          <w:sz w:val="16"/>
          <w:szCs w:val="16"/>
          <w:color w:val="auto"/>
        </w:rPr>
        <w:t>Successor Person Substituted</w:t>
      </w:r>
      <w:r>
        <w:rPr>
          <w:sz w:val="20"/>
          <w:szCs w:val="20"/>
          <w:color w:val="auto"/>
        </w:rPr>
        <w:tab/>
      </w:r>
      <w:r>
        <w:rPr>
          <w:rFonts w:ascii="Courier New" w:cs="Courier New" w:eastAsia="Courier New" w:hAnsi="Courier New"/>
          <w:sz w:val="14"/>
          <w:szCs w:val="14"/>
          <w:color w:val="auto"/>
        </w:rPr>
        <w:t>62</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803.</w:t>
      </w:r>
      <w:r>
        <w:rPr>
          <w:sz w:val="20"/>
          <w:szCs w:val="20"/>
          <w:color w:val="auto"/>
        </w:rPr>
        <w:tab/>
      </w:r>
      <w:r>
        <w:rPr>
          <w:rFonts w:ascii="Courier New" w:cs="Courier New" w:eastAsia="Courier New" w:hAnsi="Courier New"/>
          <w:sz w:val="16"/>
          <w:szCs w:val="16"/>
          <w:color w:val="auto"/>
        </w:rPr>
        <w:t>Officers' Certificate and Opinion of Counsel</w:t>
      </w:r>
      <w:r>
        <w:rPr>
          <w:sz w:val="20"/>
          <w:szCs w:val="20"/>
          <w:color w:val="auto"/>
        </w:rPr>
        <w:tab/>
      </w:r>
      <w:r>
        <w:rPr>
          <w:rFonts w:ascii="Courier New" w:cs="Courier New" w:eastAsia="Courier New" w:hAnsi="Courier New"/>
          <w:sz w:val="14"/>
          <w:szCs w:val="14"/>
          <w:color w:val="auto"/>
        </w:rPr>
        <w:t>63</w:t>
      </w:r>
    </w:p>
    <w:p>
      <w:pPr>
        <w:spacing w:after="0" w:line="17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ARTICLE NINE</w:t>
      </w:r>
    </w:p>
    <w:p>
      <w:pPr>
        <w:ind w:left="2700"/>
        <w:spacing w:after="0" w:line="236" w:lineRule="auto"/>
        <w:rPr>
          <w:sz w:val="20"/>
          <w:szCs w:val="20"/>
          <w:color w:val="auto"/>
        </w:rPr>
      </w:pPr>
      <w:r>
        <w:rPr>
          <w:rFonts w:ascii="Courier New" w:cs="Courier New" w:eastAsia="Courier New" w:hAnsi="Courier New"/>
          <w:sz w:val="16"/>
          <w:szCs w:val="16"/>
          <w:color w:val="auto"/>
        </w:rPr>
        <w:t>SUPPLEMENTAL INDENTURES</w:t>
      </w:r>
    </w:p>
    <w:p>
      <w:pPr>
        <w:spacing w:after="0" w:line="177" w:lineRule="exact"/>
        <w:rPr>
          <w:sz w:val="20"/>
          <w:szCs w:val="20"/>
          <w:color w:val="auto"/>
        </w:rPr>
      </w:pP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901.</w:t>
      </w:r>
      <w:r>
        <w:rPr>
          <w:sz w:val="20"/>
          <w:szCs w:val="20"/>
          <w:color w:val="auto"/>
        </w:rPr>
        <w:tab/>
      </w:r>
      <w:r>
        <w:rPr>
          <w:rFonts w:ascii="Courier New" w:cs="Courier New" w:eastAsia="Courier New" w:hAnsi="Courier New"/>
          <w:sz w:val="16"/>
          <w:szCs w:val="16"/>
          <w:color w:val="auto"/>
        </w:rPr>
        <w:t>Supplemental Indentures Without Consent of Holders</w:t>
      </w:r>
      <w:r>
        <w:rPr>
          <w:sz w:val="20"/>
          <w:szCs w:val="20"/>
          <w:color w:val="auto"/>
        </w:rPr>
        <w:tab/>
      </w:r>
      <w:r>
        <w:rPr>
          <w:rFonts w:ascii="Courier New" w:cs="Courier New" w:eastAsia="Courier New" w:hAnsi="Courier New"/>
          <w:sz w:val="14"/>
          <w:szCs w:val="14"/>
          <w:color w:val="auto"/>
        </w:rPr>
        <w:t>63</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902.</w:t>
      </w:r>
      <w:r>
        <w:rPr>
          <w:sz w:val="20"/>
          <w:szCs w:val="20"/>
          <w:color w:val="auto"/>
        </w:rPr>
        <w:tab/>
      </w:r>
      <w:r>
        <w:rPr>
          <w:rFonts w:ascii="Courier New" w:cs="Courier New" w:eastAsia="Courier New" w:hAnsi="Courier New"/>
          <w:sz w:val="16"/>
          <w:szCs w:val="16"/>
          <w:color w:val="auto"/>
        </w:rPr>
        <w:t>Supplemental Indentures with Consent of Holders</w:t>
      </w:r>
      <w:r>
        <w:rPr>
          <w:sz w:val="20"/>
          <w:szCs w:val="20"/>
          <w:color w:val="auto"/>
        </w:rPr>
        <w:tab/>
      </w:r>
      <w:r>
        <w:rPr>
          <w:rFonts w:ascii="Courier New" w:cs="Courier New" w:eastAsia="Courier New" w:hAnsi="Courier New"/>
          <w:sz w:val="14"/>
          <w:szCs w:val="14"/>
          <w:color w:val="auto"/>
        </w:rPr>
        <w:t>65</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903.</w:t>
      </w:r>
      <w:r>
        <w:rPr>
          <w:sz w:val="20"/>
          <w:szCs w:val="20"/>
          <w:color w:val="auto"/>
        </w:rPr>
        <w:tab/>
      </w:r>
      <w:r>
        <w:rPr>
          <w:rFonts w:ascii="Courier New" w:cs="Courier New" w:eastAsia="Courier New" w:hAnsi="Courier New"/>
          <w:sz w:val="16"/>
          <w:szCs w:val="16"/>
          <w:color w:val="auto"/>
        </w:rPr>
        <w:t>Execution of Supplemental Indentures</w:t>
      </w:r>
      <w:r>
        <w:rPr>
          <w:sz w:val="20"/>
          <w:szCs w:val="20"/>
          <w:color w:val="auto"/>
        </w:rPr>
        <w:tab/>
      </w:r>
      <w:r>
        <w:rPr>
          <w:rFonts w:ascii="Courier New" w:cs="Courier New" w:eastAsia="Courier New" w:hAnsi="Courier New"/>
          <w:sz w:val="14"/>
          <w:szCs w:val="14"/>
          <w:color w:val="auto"/>
        </w:rPr>
        <w:t>66</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904.</w:t>
      </w:r>
      <w:r>
        <w:rPr>
          <w:sz w:val="20"/>
          <w:szCs w:val="20"/>
          <w:color w:val="auto"/>
        </w:rPr>
        <w:tab/>
      </w:r>
      <w:r>
        <w:rPr>
          <w:rFonts w:ascii="Courier New" w:cs="Courier New" w:eastAsia="Courier New" w:hAnsi="Courier New"/>
          <w:sz w:val="16"/>
          <w:szCs w:val="16"/>
          <w:color w:val="auto"/>
        </w:rPr>
        <w:t>Effect of Supplemental Indentures</w:t>
      </w:r>
      <w:r>
        <w:rPr>
          <w:sz w:val="20"/>
          <w:szCs w:val="20"/>
          <w:color w:val="auto"/>
        </w:rPr>
        <w:tab/>
      </w:r>
      <w:r>
        <w:rPr>
          <w:rFonts w:ascii="Courier New" w:cs="Courier New" w:eastAsia="Courier New" w:hAnsi="Courier New"/>
          <w:sz w:val="14"/>
          <w:szCs w:val="14"/>
          <w:color w:val="auto"/>
        </w:rPr>
        <w:t>66</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905.</w:t>
      </w:r>
      <w:r>
        <w:rPr>
          <w:sz w:val="20"/>
          <w:szCs w:val="20"/>
          <w:color w:val="auto"/>
        </w:rPr>
        <w:tab/>
      </w:r>
      <w:r>
        <w:rPr>
          <w:rFonts w:ascii="Courier New" w:cs="Courier New" w:eastAsia="Courier New" w:hAnsi="Courier New"/>
          <w:sz w:val="16"/>
          <w:szCs w:val="16"/>
          <w:color w:val="auto"/>
        </w:rPr>
        <w:t>Conformity with Trust Indenture Act</w:t>
      </w:r>
      <w:r>
        <w:rPr>
          <w:sz w:val="20"/>
          <w:szCs w:val="20"/>
          <w:color w:val="auto"/>
        </w:rPr>
        <w:tab/>
      </w:r>
      <w:r>
        <w:rPr>
          <w:rFonts w:ascii="Courier New" w:cs="Courier New" w:eastAsia="Courier New" w:hAnsi="Courier New"/>
          <w:sz w:val="14"/>
          <w:szCs w:val="14"/>
          <w:color w:val="auto"/>
        </w:rPr>
        <w:t>67</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906.</w:t>
      </w:r>
      <w:r>
        <w:rPr>
          <w:sz w:val="20"/>
          <w:szCs w:val="20"/>
          <w:color w:val="auto"/>
        </w:rPr>
        <w:tab/>
      </w:r>
      <w:r>
        <w:rPr>
          <w:rFonts w:ascii="Courier New" w:cs="Courier New" w:eastAsia="Courier New" w:hAnsi="Courier New"/>
          <w:sz w:val="16"/>
          <w:szCs w:val="16"/>
          <w:color w:val="auto"/>
        </w:rPr>
        <w:t>Reference in Securities to Supplemental Indentures</w:t>
      </w:r>
      <w:r>
        <w:rPr>
          <w:sz w:val="20"/>
          <w:szCs w:val="20"/>
          <w:color w:val="auto"/>
        </w:rPr>
        <w:tab/>
      </w:r>
      <w:r>
        <w:rPr>
          <w:rFonts w:ascii="Courier New" w:cs="Courier New" w:eastAsia="Courier New" w:hAnsi="Courier New"/>
          <w:sz w:val="14"/>
          <w:szCs w:val="14"/>
          <w:color w:val="auto"/>
        </w:rPr>
        <w:t>67</w:t>
      </w:r>
    </w:p>
    <w:p>
      <w:pPr>
        <w:spacing w:after="0" w:line="17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ARTICLE TEN</w:t>
      </w:r>
    </w:p>
    <w:p>
      <w:pPr>
        <w:ind w:left="3340"/>
        <w:spacing w:after="0" w:line="236" w:lineRule="auto"/>
        <w:rPr>
          <w:sz w:val="20"/>
          <w:szCs w:val="20"/>
          <w:color w:val="auto"/>
        </w:rPr>
      </w:pPr>
      <w:r>
        <w:rPr>
          <w:rFonts w:ascii="Courier New" w:cs="Courier New" w:eastAsia="Courier New" w:hAnsi="Courier New"/>
          <w:sz w:val="16"/>
          <w:szCs w:val="16"/>
          <w:color w:val="auto"/>
        </w:rPr>
        <w:t>COVENANTS</w:t>
      </w:r>
    </w:p>
    <w:p>
      <w:pPr>
        <w:spacing w:after="0" w:line="177" w:lineRule="exact"/>
        <w:rPr>
          <w:sz w:val="20"/>
          <w:szCs w:val="20"/>
          <w:color w:val="auto"/>
        </w:rPr>
      </w:pP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1001.</w:t>
        <w:tab/>
        <w:t>Payment of Principal, Premium, if any, and Interest</w:t>
      </w:r>
      <w:r>
        <w:rPr>
          <w:sz w:val="20"/>
          <w:szCs w:val="20"/>
          <w:color w:val="auto"/>
        </w:rPr>
        <w:tab/>
      </w:r>
      <w:r>
        <w:rPr>
          <w:rFonts w:ascii="Courier New" w:cs="Courier New" w:eastAsia="Courier New" w:hAnsi="Courier New"/>
          <w:sz w:val="14"/>
          <w:szCs w:val="14"/>
          <w:color w:val="auto"/>
        </w:rPr>
        <w:t>67</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1002.</w:t>
        <w:tab/>
        <w:t>Maintenance of Office or Agency</w:t>
      </w:r>
      <w:r>
        <w:rPr>
          <w:sz w:val="20"/>
          <w:szCs w:val="20"/>
          <w:color w:val="auto"/>
        </w:rPr>
        <w:tab/>
      </w:r>
      <w:r>
        <w:rPr>
          <w:rFonts w:ascii="Courier New" w:cs="Courier New" w:eastAsia="Courier New" w:hAnsi="Courier New"/>
          <w:sz w:val="14"/>
          <w:szCs w:val="14"/>
          <w:color w:val="auto"/>
        </w:rPr>
        <w:t>67</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1003.</w:t>
        <w:tab/>
        <w:t>Money for Securities Payments to be Held in Trust</w:t>
      </w:r>
      <w:r>
        <w:rPr>
          <w:sz w:val="20"/>
          <w:szCs w:val="20"/>
          <w:color w:val="auto"/>
        </w:rPr>
        <w:tab/>
      </w:r>
      <w:r>
        <w:rPr>
          <w:rFonts w:ascii="Courier New" w:cs="Courier New" w:eastAsia="Courier New" w:hAnsi="Courier New"/>
          <w:sz w:val="14"/>
          <w:szCs w:val="14"/>
          <w:color w:val="auto"/>
        </w:rPr>
        <w:t>69</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1004.</w:t>
        <w:tab/>
        <w:t>Corporate Existence</w:t>
      </w:r>
      <w:r>
        <w:rPr>
          <w:sz w:val="20"/>
          <w:szCs w:val="20"/>
          <w:color w:val="auto"/>
        </w:rPr>
        <w:tab/>
      </w:r>
      <w:r>
        <w:rPr>
          <w:rFonts w:ascii="Courier New" w:cs="Courier New" w:eastAsia="Courier New" w:hAnsi="Courier New"/>
          <w:sz w:val="14"/>
          <w:szCs w:val="14"/>
          <w:color w:val="auto"/>
        </w:rPr>
        <w:t>70</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1005.</w:t>
        <w:tab/>
        <w:t>Additional Amounts</w:t>
      </w:r>
      <w:r>
        <w:rPr>
          <w:sz w:val="20"/>
          <w:szCs w:val="20"/>
          <w:color w:val="auto"/>
        </w:rPr>
        <w:tab/>
      </w:r>
      <w:r>
        <w:rPr>
          <w:rFonts w:ascii="Courier New" w:cs="Courier New" w:eastAsia="Courier New" w:hAnsi="Courier New"/>
          <w:sz w:val="14"/>
          <w:szCs w:val="14"/>
          <w:color w:val="auto"/>
        </w:rPr>
        <w:t>70</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1006.</w:t>
        <w:tab/>
        <w:t>Statement as to Compliance</w:t>
      </w:r>
      <w:r>
        <w:rPr>
          <w:sz w:val="20"/>
          <w:szCs w:val="20"/>
          <w:color w:val="auto"/>
        </w:rPr>
        <w:tab/>
      </w:r>
      <w:r>
        <w:rPr>
          <w:rFonts w:ascii="Courier New" w:cs="Courier New" w:eastAsia="Courier New" w:hAnsi="Courier New"/>
          <w:sz w:val="14"/>
          <w:szCs w:val="14"/>
          <w:color w:val="auto"/>
        </w:rPr>
        <w:t>71</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1007.</w:t>
        <w:tab/>
        <w:t>Waiver of Certain Covenants</w:t>
      </w:r>
      <w:r>
        <w:rPr>
          <w:sz w:val="20"/>
          <w:szCs w:val="20"/>
          <w:color w:val="auto"/>
        </w:rPr>
        <w:tab/>
      </w:r>
      <w:r>
        <w:rPr>
          <w:rFonts w:ascii="Courier New" w:cs="Courier New" w:eastAsia="Courier New" w:hAnsi="Courier New"/>
          <w:sz w:val="14"/>
          <w:szCs w:val="14"/>
          <w:color w:val="auto"/>
        </w:rPr>
        <w:t>71</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ARTICLE ELEVEN</w:t>
      </w:r>
    </w:p>
    <w:p>
      <w:pPr>
        <w:ind w:left="2600"/>
        <w:spacing w:after="0" w:line="236" w:lineRule="auto"/>
        <w:rPr>
          <w:sz w:val="20"/>
          <w:szCs w:val="20"/>
          <w:color w:val="auto"/>
        </w:rPr>
      </w:pPr>
      <w:r>
        <w:rPr>
          <w:rFonts w:ascii="Courier New" w:cs="Courier New" w:eastAsia="Courier New" w:hAnsi="Courier New"/>
          <w:sz w:val="16"/>
          <w:szCs w:val="16"/>
          <w:color w:val="auto"/>
        </w:rPr>
        <w:t>REDEMPTION OF SECURITIES</w:t>
      </w:r>
    </w:p>
    <w:p>
      <w:pPr>
        <w:spacing w:after="0" w:line="177" w:lineRule="exact"/>
        <w:rPr>
          <w:sz w:val="20"/>
          <w:szCs w:val="20"/>
          <w:color w:val="auto"/>
        </w:rPr>
      </w:pP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1101.</w:t>
        <w:tab/>
        <w:t>Applicability of Article</w:t>
      </w:r>
      <w:r>
        <w:rPr>
          <w:sz w:val="20"/>
          <w:szCs w:val="20"/>
          <w:color w:val="auto"/>
        </w:rPr>
        <w:tab/>
      </w:r>
      <w:r>
        <w:rPr>
          <w:rFonts w:ascii="Courier New" w:cs="Courier New" w:eastAsia="Courier New" w:hAnsi="Courier New"/>
          <w:sz w:val="14"/>
          <w:szCs w:val="14"/>
          <w:color w:val="auto"/>
        </w:rPr>
        <w:t>72</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1102.</w:t>
        <w:tab/>
        <w:t>Election to Redeem; Notice to Trustee</w:t>
      </w:r>
      <w:r>
        <w:rPr>
          <w:sz w:val="20"/>
          <w:szCs w:val="20"/>
          <w:color w:val="auto"/>
        </w:rPr>
        <w:tab/>
      </w:r>
      <w:r>
        <w:rPr>
          <w:rFonts w:ascii="Courier New" w:cs="Courier New" w:eastAsia="Courier New" w:hAnsi="Courier New"/>
          <w:sz w:val="14"/>
          <w:szCs w:val="14"/>
          <w:color w:val="auto"/>
        </w:rPr>
        <w:t>72</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1103.</w:t>
        <w:tab/>
        <w:t>Selection by Trustee of Securities to be Redeemed</w:t>
      </w:r>
      <w:r>
        <w:rPr>
          <w:sz w:val="20"/>
          <w:szCs w:val="20"/>
          <w:color w:val="auto"/>
        </w:rPr>
        <w:tab/>
      </w:r>
      <w:r>
        <w:rPr>
          <w:rFonts w:ascii="Courier New" w:cs="Courier New" w:eastAsia="Courier New" w:hAnsi="Courier New"/>
          <w:sz w:val="14"/>
          <w:szCs w:val="14"/>
          <w:color w:val="auto"/>
        </w:rPr>
        <w:t>72</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1104.</w:t>
        <w:tab/>
        <w:t>Notice of Redemption</w:t>
      </w:r>
      <w:r>
        <w:rPr>
          <w:sz w:val="20"/>
          <w:szCs w:val="20"/>
          <w:color w:val="auto"/>
        </w:rPr>
        <w:tab/>
      </w:r>
      <w:r>
        <w:rPr>
          <w:rFonts w:ascii="Courier New" w:cs="Courier New" w:eastAsia="Courier New" w:hAnsi="Courier New"/>
          <w:sz w:val="14"/>
          <w:szCs w:val="14"/>
          <w:color w:val="auto"/>
        </w:rPr>
        <w:t>73</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1105.</w:t>
        <w:tab/>
        <w:t>Deposit of Redemption Price</w:t>
      </w:r>
      <w:r>
        <w:rPr>
          <w:sz w:val="20"/>
          <w:szCs w:val="20"/>
          <w:color w:val="auto"/>
        </w:rPr>
        <w:tab/>
      </w:r>
      <w:r>
        <w:rPr>
          <w:rFonts w:ascii="Courier New" w:cs="Courier New" w:eastAsia="Courier New" w:hAnsi="Courier New"/>
          <w:sz w:val="14"/>
          <w:szCs w:val="14"/>
          <w:color w:val="auto"/>
        </w:rPr>
        <w:t>74</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1106.</w:t>
        <w:tab/>
        <w:t>Securities Payable on Redemption Date</w:t>
      </w:r>
      <w:r>
        <w:rPr>
          <w:sz w:val="20"/>
          <w:szCs w:val="20"/>
          <w:color w:val="auto"/>
        </w:rPr>
        <w:tab/>
      </w:r>
      <w:r>
        <w:rPr>
          <w:rFonts w:ascii="Courier New" w:cs="Courier New" w:eastAsia="Courier New" w:hAnsi="Courier New"/>
          <w:sz w:val="14"/>
          <w:szCs w:val="14"/>
          <w:color w:val="auto"/>
        </w:rPr>
        <w:t>74</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1107.</w:t>
        <w:tab/>
        <w:t>Securities Redeemed in Part</w:t>
      </w:r>
      <w:r>
        <w:rPr>
          <w:sz w:val="20"/>
          <w:szCs w:val="20"/>
          <w:color w:val="auto"/>
        </w:rPr>
        <w:tab/>
      </w:r>
      <w:r>
        <w:rPr>
          <w:rFonts w:ascii="Courier New" w:cs="Courier New" w:eastAsia="Courier New" w:hAnsi="Courier New"/>
          <w:sz w:val="14"/>
          <w:szCs w:val="14"/>
          <w:color w:val="auto"/>
        </w:rPr>
        <w:t>75</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iii</w:t>
      </w:r>
    </w:p>
    <w:p>
      <w:pPr>
        <w:sectPr>
          <w:pgSz w:w="11900" w:h="16838" w:orient="portrait"/>
          <w:cols w:equalWidth="0" w:num="1">
            <w:col w:w="10219"/>
          </w:cols>
          <w:pgMar w:left="240" w:top="648" w:right="1440" w:bottom="1440" w:gutter="0" w:footer="0" w:header="0"/>
        </w:sectPr>
      </w:pPr>
    </w:p>
    <w:bookmarkStart w:id="79" w:name="page80"/>
    <w:bookmarkEnd w:id="79"/>
    <w:p>
      <w:pPr>
        <w:ind w:left="3060"/>
        <w:spacing w:after="0"/>
        <w:rPr>
          <w:sz w:val="20"/>
          <w:szCs w:val="20"/>
          <w:color w:val="auto"/>
        </w:rPr>
      </w:pPr>
      <w:r>
        <w:rPr>
          <w:rFonts w:ascii="Courier New" w:cs="Courier New" w:eastAsia="Courier New" w:hAnsi="Courier New"/>
          <w:sz w:val="16"/>
          <w:szCs w:val="16"/>
          <w:color w:val="auto"/>
        </w:rPr>
        <w:t>ARTICLE TWELVE</w:t>
      </w:r>
    </w:p>
    <w:p>
      <w:pPr>
        <w:ind w:left="3160"/>
        <w:spacing w:after="0" w:line="236" w:lineRule="auto"/>
        <w:rPr>
          <w:sz w:val="20"/>
          <w:szCs w:val="20"/>
          <w:color w:val="auto"/>
        </w:rPr>
      </w:pPr>
      <w:r>
        <w:rPr>
          <w:rFonts w:ascii="Courier New" w:cs="Courier New" w:eastAsia="Courier New" w:hAnsi="Courier New"/>
          <w:sz w:val="16"/>
          <w:szCs w:val="16"/>
          <w:color w:val="auto"/>
        </w:rPr>
        <w:t>SINKING FUNDS</w:t>
      </w:r>
    </w:p>
    <w:p>
      <w:pPr>
        <w:spacing w:after="0" w:line="177" w:lineRule="exact"/>
        <w:rPr>
          <w:sz w:val="20"/>
          <w:szCs w:val="20"/>
          <w:color w:val="auto"/>
        </w:rPr>
      </w:pP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1201.</w:t>
        <w:tab/>
        <w:t>Applicability of Article</w:t>
      </w:r>
      <w:r>
        <w:rPr>
          <w:sz w:val="20"/>
          <w:szCs w:val="20"/>
          <w:color w:val="auto"/>
        </w:rPr>
        <w:tab/>
      </w:r>
      <w:r>
        <w:rPr>
          <w:rFonts w:ascii="Courier New" w:cs="Courier New" w:eastAsia="Courier New" w:hAnsi="Courier New"/>
          <w:sz w:val="14"/>
          <w:szCs w:val="14"/>
          <w:color w:val="auto"/>
        </w:rPr>
        <w:t>76</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1202.</w:t>
        <w:tab/>
        <w:t>Satisfaction of Sinking Fund Payments with Securities</w:t>
      </w:r>
      <w:r>
        <w:rPr>
          <w:sz w:val="20"/>
          <w:szCs w:val="20"/>
          <w:color w:val="auto"/>
        </w:rPr>
        <w:tab/>
      </w:r>
      <w:r>
        <w:rPr>
          <w:rFonts w:ascii="Courier New" w:cs="Courier New" w:eastAsia="Courier New" w:hAnsi="Courier New"/>
          <w:sz w:val="14"/>
          <w:szCs w:val="14"/>
          <w:color w:val="auto"/>
        </w:rPr>
        <w:t>76</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1203.</w:t>
        <w:tab/>
        <w:t>Redemption of Securities for Sinking Fund</w:t>
      </w:r>
      <w:r>
        <w:rPr>
          <w:sz w:val="20"/>
          <w:szCs w:val="20"/>
          <w:color w:val="auto"/>
        </w:rPr>
        <w:tab/>
      </w:r>
      <w:r>
        <w:rPr>
          <w:rFonts w:ascii="Courier New" w:cs="Courier New" w:eastAsia="Courier New" w:hAnsi="Courier New"/>
          <w:sz w:val="14"/>
          <w:szCs w:val="14"/>
          <w:color w:val="auto"/>
        </w:rPr>
        <w:t>76</w:t>
      </w:r>
    </w:p>
    <w:p>
      <w:pPr>
        <w:spacing w:after="0" w:line="177"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ARTICLE THIRTEEN</w:t>
      </w:r>
    </w:p>
    <w:p>
      <w:pPr>
        <w:ind w:left="2140"/>
        <w:spacing w:after="0" w:line="236" w:lineRule="auto"/>
        <w:rPr>
          <w:sz w:val="20"/>
          <w:szCs w:val="20"/>
          <w:color w:val="auto"/>
        </w:rPr>
      </w:pPr>
      <w:r>
        <w:rPr>
          <w:rFonts w:ascii="Courier New" w:cs="Courier New" w:eastAsia="Courier New" w:hAnsi="Courier New"/>
          <w:sz w:val="16"/>
          <w:szCs w:val="16"/>
          <w:color w:val="auto"/>
        </w:rPr>
        <w:t>REPAYMENT AT THE OPTION OF HOLDERS</w:t>
      </w:r>
    </w:p>
    <w:p>
      <w:pPr>
        <w:spacing w:after="0" w:line="177" w:lineRule="exact"/>
        <w:rPr>
          <w:sz w:val="20"/>
          <w:szCs w:val="20"/>
          <w:color w:val="auto"/>
        </w:rPr>
      </w:pP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1301.</w:t>
        <w:tab/>
        <w:t>Applicability of Article</w:t>
      </w:r>
      <w:r>
        <w:rPr>
          <w:sz w:val="20"/>
          <w:szCs w:val="20"/>
          <w:color w:val="auto"/>
        </w:rPr>
        <w:tab/>
      </w:r>
      <w:r>
        <w:rPr>
          <w:rFonts w:ascii="Courier New" w:cs="Courier New" w:eastAsia="Courier New" w:hAnsi="Courier New"/>
          <w:sz w:val="14"/>
          <w:szCs w:val="14"/>
          <w:color w:val="auto"/>
        </w:rPr>
        <w:t>77</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1302.</w:t>
        <w:tab/>
        <w:t>Repayment of Securities</w:t>
      </w:r>
      <w:r>
        <w:rPr>
          <w:sz w:val="20"/>
          <w:szCs w:val="20"/>
          <w:color w:val="auto"/>
        </w:rPr>
        <w:tab/>
      </w:r>
      <w:r>
        <w:rPr>
          <w:rFonts w:ascii="Courier New" w:cs="Courier New" w:eastAsia="Courier New" w:hAnsi="Courier New"/>
          <w:sz w:val="14"/>
          <w:szCs w:val="14"/>
          <w:color w:val="auto"/>
        </w:rPr>
        <w:t>77</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1303.</w:t>
        <w:tab/>
        <w:t>Exercise of Option</w:t>
      </w:r>
      <w:r>
        <w:rPr>
          <w:sz w:val="20"/>
          <w:szCs w:val="20"/>
          <w:color w:val="auto"/>
        </w:rPr>
        <w:tab/>
      </w:r>
      <w:r>
        <w:rPr>
          <w:rFonts w:ascii="Courier New" w:cs="Courier New" w:eastAsia="Courier New" w:hAnsi="Courier New"/>
          <w:sz w:val="14"/>
          <w:szCs w:val="14"/>
          <w:color w:val="auto"/>
        </w:rPr>
        <w:t>77</w:t>
      </w:r>
    </w:p>
    <w:p>
      <w:pPr>
        <w:spacing w:after="0"/>
        <w:tabs>
          <w:tab w:leader="none" w:pos="1380" w:val="left"/>
        </w:tabs>
        <w:rPr>
          <w:sz w:val="20"/>
          <w:szCs w:val="20"/>
          <w:color w:val="auto"/>
        </w:rPr>
      </w:pPr>
      <w:r>
        <w:rPr>
          <w:rFonts w:ascii="Courier New" w:cs="Courier New" w:eastAsia="Courier New" w:hAnsi="Courier New"/>
          <w:sz w:val="16"/>
          <w:szCs w:val="16"/>
          <w:color w:val="auto"/>
        </w:rPr>
        <w:t>SECTION 1304.</w:t>
      </w:r>
      <w:r>
        <w:rPr>
          <w:sz w:val="20"/>
          <w:szCs w:val="20"/>
          <w:color w:val="auto"/>
        </w:rPr>
        <w:tab/>
      </w:r>
      <w:r>
        <w:rPr>
          <w:rFonts w:ascii="Courier New" w:cs="Courier New" w:eastAsia="Courier New" w:hAnsi="Courier New"/>
          <w:sz w:val="14"/>
          <w:szCs w:val="14"/>
          <w:color w:val="auto"/>
        </w:rPr>
        <w:t>When Securities Presented for Repayment Become Due</w:t>
      </w:r>
    </w:p>
    <w:p>
      <w:pPr>
        <w:jc w:val="right"/>
        <w:ind w:right="2779"/>
        <w:spacing w:after="0"/>
        <w:tabs>
          <w:tab w:leader="dot" w:pos="160" w:val="left"/>
        </w:tabs>
        <w:rPr>
          <w:sz w:val="20"/>
          <w:szCs w:val="20"/>
          <w:color w:val="auto"/>
        </w:rPr>
      </w:pPr>
      <w:r>
        <w:rPr>
          <w:rFonts w:ascii="Courier New" w:cs="Courier New" w:eastAsia="Courier New" w:hAnsi="Courier New"/>
          <w:sz w:val="16"/>
          <w:szCs w:val="16"/>
          <w:color w:val="auto"/>
        </w:rPr>
        <w:t>and Payable</w:t>
      </w:r>
      <w:r>
        <w:rPr>
          <w:sz w:val="20"/>
          <w:szCs w:val="20"/>
          <w:color w:val="auto"/>
        </w:rPr>
        <w:tab/>
      </w:r>
      <w:r>
        <w:rPr>
          <w:rFonts w:ascii="Courier New" w:cs="Courier New" w:eastAsia="Courier New" w:hAnsi="Courier New"/>
          <w:sz w:val="14"/>
          <w:szCs w:val="14"/>
          <w:color w:val="auto"/>
        </w:rPr>
        <w:t>78</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1305.</w:t>
        <w:tab/>
        <w:t>Securities Repaid in Part</w:t>
      </w:r>
      <w:r>
        <w:rPr>
          <w:sz w:val="20"/>
          <w:szCs w:val="20"/>
          <w:color w:val="auto"/>
        </w:rPr>
        <w:tab/>
      </w:r>
      <w:r>
        <w:rPr>
          <w:rFonts w:ascii="Courier New" w:cs="Courier New" w:eastAsia="Courier New" w:hAnsi="Courier New"/>
          <w:sz w:val="14"/>
          <w:szCs w:val="14"/>
          <w:color w:val="auto"/>
        </w:rPr>
        <w:t>79</w:t>
      </w:r>
    </w:p>
    <w:p>
      <w:pPr>
        <w:spacing w:after="0" w:line="177"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ARTICLE FOURTEEN</w:t>
      </w:r>
    </w:p>
    <w:p>
      <w:pPr>
        <w:ind w:left="2140"/>
        <w:spacing w:after="0" w:line="236" w:lineRule="auto"/>
        <w:rPr>
          <w:sz w:val="20"/>
          <w:szCs w:val="20"/>
          <w:color w:val="auto"/>
        </w:rPr>
      </w:pPr>
      <w:r>
        <w:rPr>
          <w:rFonts w:ascii="Courier New" w:cs="Courier New" w:eastAsia="Courier New" w:hAnsi="Courier New"/>
          <w:sz w:val="16"/>
          <w:szCs w:val="16"/>
          <w:color w:val="auto"/>
        </w:rPr>
        <w:t>DEFEASANCE AND COVENANT DEFEASANCE</w:t>
      </w:r>
    </w:p>
    <w:p>
      <w:pPr>
        <w:spacing w:after="0" w:line="177"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6"/>
          <w:szCs w:val="16"/>
          <w:color w:val="auto"/>
        </w:rPr>
        <w:t>SECTION 1401.</w:t>
      </w:r>
      <w:r>
        <w:rPr>
          <w:sz w:val="20"/>
          <w:szCs w:val="20"/>
          <w:color w:val="auto"/>
        </w:rPr>
        <w:tab/>
      </w:r>
      <w:r>
        <w:rPr>
          <w:rFonts w:ascii="Courier New" w:cs="Courier New" w:eastAsia="Courier New" w:hAnsi="Courier New"/>
          <w:sz w:val="14"/>
          <w:szCs w:val="14"/>
          <w:color w:val="auto"/>
        </w:rPr>
        <w:t>Applicability of Article; Company's Option to Effect</w:t>
      </w:r>
    </w:p>
    <w:p>
      <w:pPr>
        <w:jc w:val="right"/>
        <w:ind w:right="2779"/>
        <w:spacing w:after="0"/>
        <w:tabs>
          <w:tab w:leader="dot" w:pos="160" w:val="left"/>
        </w:tabs>
        <w:rPr>
          <w:sz w:val="20"/>
          <w:szCs w:val="20"/>
          <w:color w:val="auto"/>
        </w:rPr>
      </w:pPr>
      <w:r>
        <w:rPr>
          <w:rFonts w:ascii="Courier New" w:cs="Courier New" w:eastAsia="Courier New" w:hAnsi="Courier New"/>
          <w:sz w:val="16"/>
          <w:szCs w:val="16"/>
          <w:color w:val="auto"/>
        </w:rPr>
        <w:t>Defeasance or Covenant Defeasance</w:t>
      </w:r>
      <w:r>
        <w:rPr>
          <w:sz w:val="20"/>
          <w:szCs w:val="20"/>
          <w:color w:val="auto"/>
        </w:rPr>
        <w:tab/>
      </w:r>
      <w:r>
        <w:rPr>
          <w:rFonts w:ascii="Courier New" w:cs="Courier New" w:eastAsia="Courier New" w:hAnsi="Courier New"/>
          <w:sz w:val="14"/>
          <w:szCs w:val="14"/>
          <w:color w:val="auto"/>
        </w:rPr>
        <w:t>79</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1402.</w:t>
        <w:tab/>
        <w:t>Defeasance and Discharge</w:t>
      </w:r>
      <w:r>
        <w:rPr>
          <w:sz w:val="20"/>
          <w:szCs w:val="20"/>
          <w:color w:val="auto"/>
        </w:rPr>
        <w:tab/>
      </w:r>
      <w:r>
        <w:rPr>
          <w:rFonts w:ascii="Courier New" w:cs="Courier New" w:eastAsia="Courier New" w:hAnsi="Courier New"/>
          <w:sz w:val="14"/>
          <w:szCs w:val="14"/>
          <w:color w:val="auto"/>
        </w:rPr>
        <w:t>79</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1403.</w:t>
        <w:tab/>
        <w:t>Covenant Defeasance</w:t>
      </w:r>
      <w:r>
        <w:rPr>
          <w:sz w:val="20"/>
          <w:szCs w:val="20"/>
          <w:color w:val="auto"/>
        </w:rPr>
        <w:tab/>
      </w:r>
      <w:r>
        <w:rPr>
          <w:rFonts w:ascii="Courier New" w:cs="Courier New" w:eastAsia="Courier New" w:hAnsi="Courier New"/>
          <w:sz w:val="14"/>
          <w:szCs w:val="14"/>
          <w:color w:val="auto"/>
        </w:rPr>
        <w:t>80</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1404.</w:t>
        <w:tab/>
        <w:t>Conditions to Defeasance or Covenant Defeasance</w:t>
      </w:r>
      <w:r>
        <w:rPr>
          <w:sz w:val="20"/>
          <w:szCs w:val="20"/>
          <w:color w:val="auto"/>
        </w:rPr>
        <w:tab/>
      </w:r>
      <w:r>
        <w:rPr>
          <w:rFonts w:ascii="Courier New" w:cs="Courier New" w:eastAsia="Courier New" w:hAnsi="Courier New"/>
          <w:sz w:val="14"/>
          <w:szCs w:val="14"/>
          <w:color w:val="auto"/>
        </w:rPr>
        <w:t>80</w:t>
      </w:r>
    </w:p>
    <w:p>
      <w:pPr>
        <w:spacing w:after="0"/>
        <w:tabs>
          <w:tab w:leader="none" w:pos="1380" w:val="left"/>
        </w:tabs>
        <w:rPr>
          <w:sz w:val="20"/>
          <w:szCs w:val="20"/>
          <w:color w:val="auto"/>
        </w:rPr>
      </w:pPr>
      <w:r>
        <w:rPr>
          <w:rFonts w:ascii="Courier New" w:cs="Courier New" w:eastAsia="Courier New" w:hAnsi="Courier New"/>
          <w:sz w:val="16"/>
          <w:szCs w:val="16"/>
          <w:color w:val="auto"/>
        </w:rPr>
        <w:t>SECTION 1405.</w:t>
      </w:r>
      <w:r>
        <w:rPr>
          <w:sz w:val="20"/>
          <w:szCs w:val="20"/>
          <w:color w:val="auto"/>
        </w:rPr>
        <w:tab/>
      </w:r>
      <w:r>
        <w:rPr>
          <w:rFonts w:ascii="Courier New" w:cs="Courier New" w:eastAsia="Courier New" w:hAnsi="Courier New"/>
          <w:sz w:val="14"/>
          <w:szCs w:val="14"/>
          <w:color w:val="auto"/>
        </w:rPr>
        <w:t>Deposited Money and Government Obligations to Be Held</w:t>
      </w:r>
    </w:p>
    <w:p>
      <w:pPr>
        <w:jc w:val="right"/>
        <w:ind w:right="2779"/>
        <w:spacing w:after="0"/>
        <w:tabs>
          <w:tab w:leader="dot" w:pos="160" w:val="left"/>
        </w:tabs>
        <w:rPr>
          <w:sz w:val="20"/>
          <w:szCs w:val="20"/>
          <w:color w:val="auto"/>
        </w:rPr>
      </w:pPr>
      <w:r>
        <w:rPr>
          <w:rFonts w:ascii="Courier New" w:cs="Courier New" w:eastAsia="Courier New" w:hAnsi="Courier New"/>
          <w:sz w:val="16"/>
          <w:szCs w:val="16"/>
          <w:color w:val="auto"/>
        </w:rPr>
        <w:t>in Trust; Other Miscellaneous Provisions</w:t>
      </w:r>
      <w:r>
        <w:rPr>
          <w:sz w:val="20"/>
          <w:szCs w:val="20"/>
          <w:color w:val="auto"/>
        </w:rPr>
        <w:tab/>
      </w:r>
      <w:r>
        <w:rPr>
          <w:rFonts w:ascii="Courier New" w:cs="Courier New" w:eastAsia="Courier New" w:hAnsi="Courier New"/>
          <w:sz w:val="14"/>
          <w:szCs w:val="14"/>
          <w:color w:val="auto"/>
        </w:rPr>
        <w:t>82</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1406.</w:t>
        <w:tab/>
        <w:t>Reinstatement</w:t>
      </w:r>
      <w:r>
        <w:rPr>
          <w:sz w:val="20"/>
          <w:szCs w:val="20"/>
          <w:color w:val="auto"/>
        </w:rPr>
        <w:tab/>
      </w:r>
      <w:r>
        <w:rPr>
          <w:rFonts w:ascii="Courier New" w:cs="Courier New" w:eastAsia="Courier New" w:hAnsi="Courier New"/>
          <w:sz w:val="14"/>
          <w:szCs w:val="14"/>
          <w:color w:val="auto"/>
        </w:rPr>
        <w:t>83</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ARTICLE FIFTEEN</w:t>
      </w:r>
    </w:p>
    <w:p>
      <w:pPr>
        <w:ind w:left="2220"/>
        <w:spacing w:after="0" w:line="236" w:lineRule="auto"/>
        <w:rPr>
          <w:sz w:val="20"/>
          <w:szCs w:val="20"/>
          <w:color w:val="auto"/>
        </w:rPr>
      </w:pPr>
      <w:r>
        <w:rPr>
          <w:rFonts w:ascii="Courier New" w:cs="Courier New" w:eastAsia="Courier New" w:hAnsi="Courier New"/>
          <w:sz w:val="16"/>
          <w:szCs w:val="16"/>
          <w:color w:val="auto"/>
        </w:rPr>
        <w:t>MEETINGS OF HOLDERS OF SECURITIES</w:t>
      </w:r>
    </w:p>
    <w:p>
      <w:pPr>
        <w:spacing w:after="0" w:line="177" w:lineRule="exact"/>
        <w:rPr>
          <w:sz w:val="20"/>
          <w:szCs w:val="20"/>
          <w:color w:val="auto"/>
        </w:rPr>
      </w:pP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1501.</w:t>
        <w:tab/>
        <w:t>Purposes for Which Meetings May Be Called</w:t>
      </w:r>
      <w:r>
        <w:rPr>
          <w:sz w:val="20"/>
          <w:szCs w:val="20"/>
          <w:color w:val="auto"/>
        </w:rPr>
        <w:tab/>
      </w:r>
      <w:r>
        <w:rPr>
          <w:rFonts w:ascii="Courier New" w:cs="Courier New" w:eastAsia="Courier New" w:hAnsi="Courier New"/>
          <w:sz w:val="14"/>
          <w:szCs w:val="14"/>
          <w:color w:val="auto"/>
        </w:rPr>
        <w:t>83</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1502.</w:t>
        <w:tab/>
        <w:t>Call, Notice and Place of Meetings</w:t>
      </w:r>
      <w:r>
        <w:rPr>
          <w:sz w:val="20"/>
          <w:szCs w:val="20"/>
          <w:color w:val="auto"/>
        </w:rPr>
        <w:tab/>
      </w:r>
      <w:r>
        <w:rPr>
          <w:rFonts w:ascii="Courier New" w:cs="Courier New" w:eastAsia="Courier New" w:hAnsi="Courier New"/>
          <w:sz w:val="14"/>
          <w:szCs w:val="14"/>
          <w:color w:val="auto"/>
        </w:rPr>
        <w:t>83</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1503.</w:t>
        <w:tab/>
        <w:t>Persons Entitled to Vote at Meetings</w:t>
      </w:r>
      <w:r>
        <w:rPr>
          <w:sz w:val="20"/>
          <w:szCs w:val="20"/>
          <w:color w:val="auto"/>
        </w:rPr>
        <w:tab/>
      </w:r>
      <w:r>
        <w:rPr>
          <w:rFonts w:ascii="Courier New" w:cs="Courier New" w:eastAsia="Courier New" w:hAnsi="Courier New"/>
          <w:sz w:val="14"/>
          <w:szCs w:val="14"/>
          <w:color w:val="auto"/>
        </w:rPr>
        <w:t>84</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1504.</w:t>
        <w:tab/>
        <w:t>Quorum; Action</w:t>
      </w:r>
      <w:r>
        <w:rPr>
          <w:sz w:val="20"/>
          <w:szCs w:val="20"/>
          <w:color w:val="auto"/>
        </w:rPr>
        <w:tab/>
      </w:r>
      <w:r>
        <w:rPr>
          <w:rFonts w:ascii="Courier New" w:cs="Courier New" w:eastAsia="Courier New" w:hAnsi="Courier New"/>
          <w:sz w:val="14"/>
          <w:szCs w:val="14"/>
          <w:color w:val="auto"/>
        </w:rPr>
        <w:t>84</w:t>
      </w:r>
    </w:p>
    <w:p>
      <w:pPr>
        <w:spacing w:after="0"/>
        <w:tabs>
          <w:tab w:leader="none" w:pos="1380" w:val="left"/>
        </w:tabs>
        <w:rPr>
          <w:sz w:val="20"/>
          <w:szCs w:val="20"/>
          <w:color w:val="auto"/>
        </w:rPr>
      </w:pPr>
      <w:r>
        <w:rPr>
          <w:rFonts w:ascii="Courier New" w:cs="Courier New" w:eastAsia="Courier New" w:hAnsi="Courier New"/>
          <w:sz w:val="16"/>
          <w:szCs w:val="16"/>
          <w:color w:val="auto"/>
        </w:rPr>
        <w:t>SECTION 1505.</w:t>
      </w:r>
      <w:r>
        <w:rPr>
          <w:sz w:val="20"/>
          <w:szCs w:val="20"/>
          <w:color w:val="auto"/>
        </w:rPr>
        <w:tab/>
      </w:r>
      <w:r>
        <w:rPr>
          <w:rFonts w:ascii="Courier New" w:cs="Courier New" w:eastAsia="Courier New" w:hAnsi="Courier New"/>
          <w:sz w:val="14"/>
          <w:szCs w:val="14"/>
          <w:color w:val="auto"/>
        </w:rPr>
        <w:t>Determination of Voting Rights; Conduct and Adjournment</w:t>
      </w:r>
    </w:p>
    <w:p>
      <w:pPr>
        <w:jc w:val="right"/>
        <w:ind w:right="2779"/>
        <w:spacing w:after="0"/>
        <w:tabs>
          <w:tab w:leader="dot" w:pos="160" w:val="left"/>
        </w:tabs>
        <w:rPr>
          <w:sz w:val="20"/>
          <w:szCs w:val="20"/>
          <w:color w:val="auto"/>
        </w:rPr>
      </w:pPr>
      <w:r>
        <w:rPr>
          <w:rFonts w:ascii="Courier New" w:cs="Courier New" w:eastAsia="Courier New" w:hAnsi="Courier New"/>
          <w:sz w:val="16"/>
          <w:szCs w:val="16"/>
          <w:color w:val="auto"/>
        </w:rPr>
        <w:t>of Meetings</w:t>
      </w:r>
      <w:r>
        <w:rPr>
          <w:sz w:val="20"/>
          <w:szCs w:val="20"/>
          <w:color w:val="auto"/>
        </w:rPr>
        <w:tab/>
      </w:r>
      <w:r>
        <w:rPr>
          <w:rFonts w:ascii="Courier New" w:cs="Courier New" w:eastAsia="Courier New" w:hAnsi="Courier New"/>
          <w:sz w:val="14"/>
          <w:szCs w:val="14"/>
          <w:color w:val="auto"/>
        </w:rPr>
        <w:t>85</w:t>
      </w:r>
    </w:p>
    <w:p>
      <w:pPr>
        <w:spacing w:after="0"/>
        <w:tabs>
          <w:tab w:leader="none" w:pos="1380" w:val="left"/>
          <w:tab w:leader="dot" w:pos="7240" w:val="left"/>
        </w:tabs>
        <w:rPr>
          <w:sz w:val="20"/>
          <w:szCs w:val="20"/>
          <w:color w:val="auto"/>
        </w:rPr>
      </w:pPr>
      <w:r>
        <w:rPr>
          <w:rFonts w:ascii="Courier New" w:cs="Courier New" w:eastAsia="Courier New" w:hAnsi="Courier New"/>
          <w:sz w:val="16"/>
          <w:szCs w:val="16"/>
          <w:color w:val="auto"/>
        </w:rPr>
        <w:t>SECTION 1506.</w:t>
        <w:tab/>
        <w:t>Counting Votes and Recording Action of Meetings</w:t>
      </w:r>
      <w:r>
        <w:rPr>
          <w:sz w:val="20"/>
          <w:szCs w:val="20"/>
          <w:color w:val="auto"/>
        </w:rPr>
        <w:tab/>
      </w:r>
      <w:r>
        <w:rPr>
          <w:rFonts w:ascii="Courier New" w:cs="Courier New" w:eastAsia="Courier New" w:hAnsi="Courier New"/>
          <w:sz w:val="14"/>
          <w:szCs w:val="14"/>
          <w:color w:val="auto"/>
        </w:rPr>
        <w:t>86</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A - FORMS OF CERTIFICATES</w:t>
      </w:r>
    </w:p>
    <w:p>
      <w:pPr>
        <w:spacing w:after="0" w:line="35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vi</w:t>
      </w:r>
    </w:p>
    <w:p>
      <w:pPr>
        <w:sectPr>
          <w:pgSz w:w="11900" w:h="16838" w:orient="portrait"/>
          <w:cols w:equalWidth="0" w:num="1">
            <w:col w:w="10219"/>
          </w:cols>
          <w:pgMar w:left="240" w:top="648" w:right="1440" w:bottom="1440" w:gutter="0" w:footer="0" w:header="0"/>
        </w:sectPr>
      </w:pPr>
    </w:p>
    <w:bookmarkStart w:id="80" w:name="page81"/>
    <w:bookmarkEnd w:id="80"/>
    <w:p>
      <w:pPr>
        <w:ind w:right="2879" w:firstLine="1395"/>
        <w:spacing w:after="0" w:line="235" w:lineRule="auto"/>
        <w:rPr>
          <w:sz w:val="20"/>
          <w:szCs w:val="20"/>
          <w:color w:val="auto"/>
        </w:rPr>
      </w:pPr>
      <w:r>
        <w:rPr>
          <w:rFonts w:ascii="Courier New" w:cs="Courier New" w:eastAsia="Courier New" w:hAnsi="Courier New"/>
          <w:sz w:val="16"/>
          <w:szCs w:val="16"/>
          <w:color w:val="auto"/>
        </w:rPr>
        <w:t>INDENTURE, dated as of , 200 between CLEARONE COMMUNICATIONS, INC., a Utah corporation (hereinafter called the "Company"), having its principal office at 1825 Research Way, Salt Lake City, Utah 84119, and THE BANK OF NEW YORK, a New York banking corporation, as Trustee (hereinafter called the "Trustee").</w:t>
      </w:r>
    </w:p>
    <w:p>
      <w:pPr>
        <w:spacing w:after="0" w:line="180"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RECITALS OF THE COMPANY</w:t>
      </w:r>
    </w:p>
    <w:p>
      <w:pPr>
        <w:spacing w:after="0" w:line="183" w:lineRule="exact"/>
        <w:rPr>
          <w:sz w:val="20"/>
          <w:szCs w:val="20"/>
          <w:color w:val="auto"/>
        </w:rPr>
      </w:pPr>
    </w:p>
    <w:p>
      <w:pPr>
        <w:ind w:right="2779" w:firstLine="1395"/>
        <w:spacing w:after="0" w:line="236" w:lineRule="auto"/>
        <w:rPr>
          <w:sz w:val="20"/>
          <w:szCs w:val="20"/>
          <w:color w:val="auto"/>
        </w:rPr>
      </w:pPr>
      <w:r>
        <w:rPr>
          <w:rFonts w:ascii="Courier New" w:cs="Courier New" w:eastAsia="Courier New" w:hAnsi="Courier New"/>
          <w:sz w:val="16"/>
          <w:szCs w:val="16"/>
          <w:color w:val="auto"/>
        </w:rPr>
        <w:t>WHEREAS, the Company deems it necessary to issue from time to time for its lawful purposes senior debt securities (hereinafter called the "Securities") evidencing its unsecured and unsubordinated indebtedness, which may or may not be convertible into or exchangeable for any securities of any Person (including the Company), and has duly authorized the execution and delivery of this Indenture to provide for the issuance from time to time of the Securities, to be issued in one or more series, unlimited as to principal amount, to bear such rates of interest, to mature at such times and to have such other provisions as provided in this Indenture;</w:t>
      </w:r>
    </w:p>
    <w:p>
      <w:pPr>
        <w:spacing w:after="0" w:line="185" w:lineRule="exact"/>
        <w:rPr>
          <w:sz w:val="20"/>
          <w:szCs w:val="20"/>
          <w:color w:val="auto"/>
        </w:rPr>
      </w:pPr>
    </w:p>
    <w:p>
      <w:pPr>
        <w:ind w:right="2779" w:firstLine="1395"/>
        <w:spacing w:after="0" w:line="235" w:lineRule="auto"/>
        <w:rPr>
          <w:sz w:val="20"/>
          <w:szCs w:val="20"/>
          <w:color w:val="auto"/>
        </w:rPr>
      </w:pPr>
      <w:r>
        <w:rPr>
          <w:rFonts w:ascii="Courier New" w:cs="Courier New" w:eastAsia="Courier New" w:hAnsi="Courier New"/>
          <w:sz w:val="16"/>
          <w:szCs w:val="16"/>
          <w:color w:val="auto"/>
        </w:rPr>
        <w:t>WHEREAS, this Indenture is subject to the provisions of the Trust Indenture Act of 1939, as amended, that are required to be part of this Indenture and shall, to the extent applicable, be governed by such provisions; and</w:t>
      </w:r>
    </w:p>
    <w:p>
      <w:pPr>
        <w:spacing w:after="0" w:line="185" w:lineRule="exact"/>
        <w:rPr>
          <w:sz w:val="20"/>
          <w:szCs w:val="20"/>
          <w:color w:val="auto"/>
        </w:rPr>
      </w:pPr>
    </w:p>
    <w:p>
      <w:pPr>
        <w:ind w:right="2879" w:firstLine="1395"/>
        <w:spacing w:after="0" w:line="235" w:lineRule="auto"/>
        <w:rPr>
          <w:sz w:val="20"/>
          <w:szCs w:val="20"/>
          <w:color w:val="auto"/>
        </w:rPr>
      </w:pPr>
      <w:r>
        <w:rPr>
          <w:rFonts w:ascii="Courier New" w:cs="Courier New" w:eastAsia="Courier New" w:hAnsi="Courier New"/>
          <w:sz w:val="16"/>
          <w:szCs w:val="16"/>
          <w:color w:val="auto"/>
        </w:rPr>
        <w:t>WHEREAS, all things necessary to make this Indenture a valid and legally binding agreement of the Company, in accordance with its terms, have been done;</w:t>
      </w:r>
    </w:p>
    <w:p>
      <w:pPr>
        <w:spacing w:after="0" w:line="177"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NOW, THEREFORE, THIS INDENTURE WITNESSETH:</w:t>
      </w:r>
    </w:p>
    <w:p>
      <w:pPr>
        <w:spacing w:after="0" w:line="183" w:lineRule="exact"/>
        <w:rPr>
          <w:sz w:val="20"/>
          <w:szCs w:val="20"/>
          <w:color w:val="auto"/>
        </w:rPr>
      </w:pPr>
    </w:p>
    <w:p>
      <w:pPr>
        <w:jc w:val="both"/>
        <w:ind w:right="2779" w:firstLine="1395"/>
        <w:spacing w:after="0" w:line="235" w:lineRule="auto"/>
        <w:rPr>
          <w:sz w:val="20"/>
          <w:szCs w:val="20"/>
          <w:color w:val="auto"/>
        </w:rPr>
      </w:pPr>
      <w:r>
        <w:rPr>
          <w:rFonts w:ascii="Courier New" w:cs="Courier New" w:eastAsia="Courier New" w:hAnsi="Courier New"/>
          <w:sz w:val="16"/>
          <w:szCs w:val="16"/>
          <w:color w:val="auto"/>
        </w:rPr>
        <w:t>For and in consideration of the premises and the purchase of the Securities by the Holders thereof, it is mutually covenanted and agreed, for the equal and proportionate benefit of all Holders of the Securities and coupons, or of a series thereof, as follows:</w:t>
      </w:r>
    </w:p>
    <w:p>
      <w:pPr>
        <w:spacing w:after="0" w:line="178"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ARTICLE ONE</w:t>
      </w:r>
    </w:p>
    <w:p>
      <w:pPr>
        <w:jc w:val="center"/>
        <w:ind w:right="2699"/>
        <w:spacing w:after="0" w:line="236" w:lineRule="auto"/>
        <w:rPr>
          <w:sz w:val="20"/>
          <w:szCs w:val="20"/>
          <w:color w:val="auto"/>
        </w:rPr>
      </w:pPr>
      <w:r>
        <w:rPr>
          <w:rFonts w:ascii="Courier New" w:cs="Courier New" w:eastAsia="Courier New" w:hAnsi="Courier New"/>
          <w:sz w:val="16"/>
          <w:szCs w:val="16"/>
          <w:color w:val="auto"/>
        </w:rPr>
        <w:t>DEFINITIONS AND OTHER PROVISIONS OF GENERAL APPLICATION</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101. Definitions</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jc w:val="both"/>
        <w:ind w:right="2779" w:firstLine="1391"/>
        <w:spacing w:after="0" w:line="283" w:lineRule="auto"/>
        <w:tabs>
          <w:tab w:leader="none" w:pos="1767"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all purposes of this Indenture, except as otherwise expressly provided or unless the context otherwise requires or unless such definition is changed or amended in a supplement or amendment to this Indenture:</w:t>
      </w:r>
    </w:p>
    <w:p>
      <w:pPr>
        <w:spacing w:after="0" w:line="154" w:lineRule="exact"/>
        <w:rPr>
          <w:rFonts w:ascii="Courier New" w:cs="Courier New" w:eastAsia="Courier New" w:hAnsi="Courier New"/>
          <w:sz w:val="14"/>
          <w:szCs w:val="14"/>
          <w:color w:val="auto"/>
        </w:rPr>
      </w:pPr>
    </w:p>
    <w:p>
      <w:pPr>
        <w:ind w:left="1400" w:right="2879" w:firstLine="456"/>
        <w:spacing w:after="0" w:line="235" w:lineRule="auto"/>
        <w:tabs>
          <w:tab w:leader="none" w:pos="2237" w:val="left"/>
        </w:tabs>
        <w:numPr>
          <w:ilvl w:val="1"/>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terms defined in this Article have the meanings assigned to them in this Article, and include the plural as well as the singular;</w:t>
      </w:r>
    </w:p>
    <w:p>
      <w:pPr>
        <w:spacing w:after="0" w:line="183" w:lineRule="exact"/>
        <w:rPr>
          <w:rFonts w:ascii="Courier New" w:cs="Courier New" w:eastAsia="Courier New" w:hAnsi="Courier New"/>
          <w:sz w:val="16"/>
          <w:szCs w:val="16"/>
          <w:color w:val="auto"/>
        </w:rPr>
      </w:pPr>
    </w:p>
    <w:p>
      <w:pPr>
        <w:ind w:left="1400" w:right="2879" w:firstLine="456"/>
        <w:spacing w:after="0" w:line="236" w:lineRule="auto"/>
        <w:tabs>
          <w:tab w:leader="none" w:pos="2237" w:val="left"/>
        </w:tabs>
        <w:numPr>
          <w:ilvl w:val="1"/>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other terms used herein which are defined in the TIA, either directly or by reference therein, have the meanings assigned to them therein, and the terms "cash transaction" and "self-liquidating paper", as used in TIA Section 311, shall have the meanings assigned to them in the rules of the Commission adopted under the TIA;</w:t>
      </w:r>
    </w:p>
    <w:p>
      <w:pPr>
        <w:sectPr>
          <w:pgSz w:w="11900" w:h="16838" w:orient="portrait"/>
          <w:cols w:equalWidth="0" w:num="1">
            <w:col w:w="10219"/>
          </w:cols>
          <w:pgMar w:left="240" w:top="654" w:right="1440" w:bottom="1440" w:gutter="0" w:footer="0" w:header="0"/>
        </w:sectPr>
      </w:pPr>
    </w:p>
    <w:bookmarkStart w:id="81" w:name="page82"/>
    <w:bookmarkEnd w:id="81"/>
    <w:p>
      <w:pPr>
        <w:ind w:left="1400" w:right="2779" w:firstLine="456"/>
        <w:spacing w:after="0" w:line="236" w:lineRule="auto"/>
        <w:tabs>
          <w:tab w:leader="none" w:pos="2237" w:val="left"/>
        </w:tabs>
        <w:numPr>
          <w:ilvl w:val="1"/>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accounting terms not otherwise defined herein have the meanings assigned to them in accordance with generally accepted accounting principles, and, except as otherwise herein expressly provided, the term "generally accepted accounting principles" with respect to any computation required or permitted hereunder shall mean such accounting principles as are generally accepted in the United States at the date of such computation; and</w:t>
      </w:r>
    </w:p>
    <w:p>
      <w:pPr>
        <w:spacing w:after="0" w:line="184" w:lineRule="exact"/>
        <w:rPr>
          <w:rFonts w:ascii="Courier New" w:cs="Courier New" w:eastAsia="Courier New" w:hAnsi="Courier New"/>
          <w:sz w:val="16"/>
          <w:szCs w:val="16"/>
          <w:color w:val="auto"/>
        </w:rPr>
      </w:pPr>
    </w:p>
    <w:p>
      <w:pPr>
        <w:ind w:left="1400" w:right="2959" w:firstLine="456"/>
        <w:spacing w:after="0" w:line="283" w:lineRule="auto"/>
        <w:tabs>
          <w:tab w:leader="none" w:pos="2237" w:val="left"/>
        </w:tabs>
        <w:numPr>
          <w:ilvl w:val="1"/>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words "herein", "hereof" and "hereunder" and other words of similar import refer to this Indenture as a whole and not to any particular Article, Section or other subdivision.</w:t>
      </w:r>
    </w:p>
    <w:p>
      <w:pPr>
        <w:spacing w:after="0" w:line="154" w:lineRule="exact"/>
        <w:rPr>
          <w:rFonts w:ascii="Courier New" w:cs="Courier New" w:eastAsia="Courier New" w:hAnsi="Courier New"/>
          <w:sz w:val="14"/>
          <w:szCs w:val="14"/>
          <w:color w:val="auto"/>
        </w:rPr>
      </w:pPr>
    </w:p>
    <w:p>
      <w:pPr>
        <w:ind w:right="3159" w:firstLine="1391"/>
        <w:spacing w:after="0" w:line="234" w:lineRule="auto"/>
        <w:tabs>
          <w:tab w:leader="none" w:pos="1767"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terms, used principally in Article Three, Article Five and Article Six are defined in those Articles.</w:t>
      </w:r>
    </w:p>
    <w:p>
      <w:pPr>
        <w:spacing w:after="0" w:line="177" w:lineRule="exact"/>
        <w:rPr>
          <w:rFonts w:ascii="Courier New" w:cs="Courier New" w:eastAsia="Courier New" w:hAnsi="Courier New"/>
          <w:sz w:val="16"/>
          <w:szCs w:val="16"/>
          <w:color w:val="auto"/>
        </w:rPr>
      </w:pPr>
    </w:p>
    <w:p>
      <w:pPr>
        <w:ind w:left="1760" w:hanging="369"/>
        <w:spacing w:after="0"/>
        <w:tabs>
          <w:tab w:leader="none" w:pos="176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terms are defined as follows:</w:t>
      </w:r>
    </w:p>
    <w:p>
      <w:pPr>
        <w:spacing w:after="0" w:line="183" w:lineRule="exact"/>
        <w:rPr>
          <w:sz w:val="20"/>
          <w:szCs w:val="20"/>
          <w:color w:val="auto"/>
        </w:rPr>
      </w:pPr>
    </w:p>
    <w:p>
      <w:pPr>
        <w:ind w:right="3239" w:firstLine="1395"/>
        <w:spacing w:after="0" w:line="234" w:lineRule="auto"/>
        <w:rPr>
          <w:sz w:val="20"/>
          <w:szCs w:val="20"/>
          <w:color w:val="auto"/>
        </w:rPr>
      </w:pPr>
      <w:r>
        <w:rPr>
          <w:rFonts w:ascii="Courier New" w:cs="Courier New" w:eastAsia="Courier New" w:hAnsi="Courier New"/>
          <w:sz w:val="16"/>
          <w:szCs w:val="16"/>
          <w:color w:val="auto"/>
        </w:rPr>
        <w:t>"Act", when used with respect to any Holder, has the meaning specified in Section 104.</w:t>
      </w:r>
    </w:p>
    <w:p>
      <w:pPr>
        <w:spacing w:after="0" w:line="183" w:lineRule="exact"/>
        <w:rPr>
          <w:sz w:val="20"/>
          <w:szCs w:val="20"/>
          <w:color w:val="auto"/>
        </w:rPr>
      </w:pPr>
    </w:p>
    <w:p>
      <w:pPr>
        <w:ind w:right="2779" w:firstLine="1395"/>
        <w:spacing w:after="0" w:line="235" w:lineRule="auto"/>
        <w:rPr>
          <w:sz w:val="20"/>
          <w:szCs w:val="20"/>
          <w:color w:val="auto"/>
        </w:rPr>
      </w:pPr>
      <w:r>
        <w:rPr>
          <w:rFonts w:ascii="Courier New" w:cs="Courier New" w:eastAsia="Courier New" w:hAnsi="Courier New"/>
          <w:sz w:val="16"/>
          <w:szCs w:val="16"/>
          <w:color w:val="auto"/>
        </w:rPr>
        <w:t>"Additional Amounts" means any additional amounts which are required by a Security or by or pursuant to a Board Resolution, under circumstances specified therein, to be paid by the Company in respect of certain taxes imposed on certain Holders and which are owing to such Holders.</w:t>
      </w:r>
    </w:p>
    <w:p>
      <w:pPr>
        <w:spacing w:after="0" w:line="185" w:lineRule="exact"/>
        <w:rPr>
          <w:sz w:val="20"/>
          <w:szCs w:val="20"/>
          <w:color w:val="auto"/>
        </w:rPr>
      </w:pPr>
    </w:p>
    <w:p>
      <w:pPr>
        <w:ind w:right="2879" w:firstLine="1395"/>
        <w:spacing w:after="0" w:line="236" w:lineRule="auto"/>
        <w:rPr>
          <w:sz w:val="20"/>
          <w:szCs w:val="20"/>
          <w:color w:val="auto"/>
        </w:rPr>
      </w:pPr>
      <w:r>
        <w:rPr>
          <w:rFonts w:ascii="Courier New" w:cs="Courier New" w:eastAsia="Courier New" w:hAnsi="Courier New"/>
          <w:sz w:val="16"/>
          <w:szCs w:val="16"/>
          <w:color w:val="auto"/>
        </w:rPr>
        <w:t>"Affiliate"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84" w:lineRule="exact"/>
        <w:rPr>
          <w:sz w:val="20"/>
          <w:szCs w:val="20"/>
          <w:color w:val="auto"/>
        </w:rPr>
      </w:pPr>
    </w:p>
    <w:p>
      <w:pPr>
        <w:ind w:right="2879" w:firstLine="1395"/>
        <w:spacing w:after="0" w:line="235" w:lineRule="auto"/>
        <w:rPr>
          <w:sz w:val="20"/>
          <w:szCs w:val="20"/>
          <w:color w:val="auto"/>
        </w:rPr>
      </w:pPr>
      <w:r>
        <w:rPr>
          <w:rFonts w:ascii="Courier New" w:cs="Courier New" w:eastAsia="Courier New" w:hAnsi="Courier New"/>
          <w:sz w:val="16"/>
          <w:szCs w:val="16"/>
          <w:color w:val="auto"/>
        </w:rPr>
        <w:t>"Authenticating Agent" means any Person appointed by the Trustee to act on behalf of the Trustee pursuant to Section 611 to authenticate Securities.</w:t>
      </w:r>
    </w:p>
    <w:p>
      <w:pPr>
        <w:spacing w:after="0" w:line="183" w:lineRule="exact"/>
        <w:rPr>
          <w:sz w:val="20"/>
          <w:szCs w:val="20"/>
          <w:color w:val="auto"/>
        </w:rPr>
      </w:pPr>
    </w:p>
    <w:p>
      <w:pPr>
        <w:ind w:right="2779" w:firstLine="1395"/>
        <w:spacing w:after="0" w:line="274" w:lineRule="auto"/>
        <w:rPr>
          <w:sz w:val="20"/>
          <w:szCs w:val="20"/>
          <w:color w:val="auto"/>
        </w:rPr>
      </w:pPr>
      <w:r>
        <w:rPr>
          <w:rFonts w:ascii="Courier New" w:cs="Courier New" w:eastAsia="Courier New" w:hAnsi="Courier New"/>
          <w:sz w:val="14"/>
          <w:szCs w:val="14"/>
          <w:color w:val="auto"/>
        </w:rPr>
        <w:t>"Authorized Newspaper" means a newspaper, in the English language or in an official language of the country of publication, customarily published on each Business Day, whether or not published on Saturdays, Sundays or holidays, and of general circulation in each place in connection with which the term is used or in the financial community of each such place. Where successive publications are required to be made in Authorized Newspapers, the successive publications may be made in the same or in different newspapers in the same city meeting the foregoing requirements and in each case on any Business Day.</w:t>
      </w:r>
    </w:p>
    <w:p>
      <w:pPr>
        <w:spacing w:after="0" w:line="162" w:lineRule="exact"/>
        <w:rPr>
          <w:sz w:val="20"/>
          <w:szCs w:val="20"/>
          <w:color w:val="auto"/>
        </w:rPr>
      </w:pPr>
    </w:p>
    <w:p>
      <w:pPr>
        <w:jc w:val="both"/>
        <w:ind w:right="3159" w:firstLine="1395"/>
        <w:spacing w:after="0" w:line="235" w:lineRule="auto"/>
        <w:rPr>
          <w:sz w:val="20"/>
          <w:szCs w:val="20"/>
          <w:color w:val="auto"/>
        </w:rPr>
      </w:pPr>
      <w:r>
        <w:rPr>
          <w:rFonts w:ascii="Courier New" w:cs="Courier New" w:eastAsia="Courier New" w:hAnsi="Courier New"/>
          <w:sz w:val="16"/>
          <w:szCs w:val="16"/>
          <w:color w:val="auto"/>
        </w:rPr>
        <w:t>"Bearer Security" means any Security established pursuant to Section 201 which is payable to bearer or that is otherwise not a Registered Security.</w:t>
      </w:r>
    </w:p>
    <w:p>
      <w:pPr>
        <w:spacing w:after="0" w:line="183" w:lineRule="exact"/>
        <w:rPr>
          <w:sz w:val="20"/>
          <w:szCs w:val="20"/>
          <w:color w:val="auto"/>
        </w:rPr>
      </w:pPr>
    </w:p>
    <w:p>
      <w:pPr>
        <w:ind w:right="2879" w:firstLine="1395"/>
        <w:spacing w:after="0" w:line="235" w:lineRule="auto"/>
        <w:rPr>
          <w:sz w:val="20"/>
          <w:szCs w:val="20"/>
          <w:color w:val="auto"/>
        </w:rPr>
      </w:pPr>
      <w:r>
        <w:rPr>
          <w:rFonts w:ascii="Courier New" w:cs="Courier New" w:eastAsia="Courier New" w:hAnsi="Courier New"/>
          <w:sz w:val="16"/>
          <w:szCs w:val="16"/>
          <w:color w:val="auto"/>
        </w:rPr>
        <w:t>"Board of Directors" means the board of directors of the Company as the case may be, or the executive committee or any committee of that board duly authorized to act hereunder.</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54" w:right="1440" w:bottom="1440" w:gutter="0" w:footer="0" w:header="0"/>
        </w:sectPr>
      </w:pPr>
    </w:p>
    <w:bookmarkStart w:id="82" w:name="page83"/>
    <w:bookmarkEnd w:id="82"/>
    <w:p>
      <w:pPr>
        <w:ind w:right="2779" w:firstLine="1395"/>
        <w:spacing w:after="0" w:line="235" w:lineRule="auto"/>
        <w:rPr>
          <w:sz w:val="20"/>
          <w:szCs w:val="20"/>
          <w:color w:val="auto"/>
        </w:rPr>
      </w:pPr>
      <w:r>
        <w:rPr>
          <w:rFonts w:ascii="Courier New" w:cs="Courier New" w:eastAsia="Courier New" w:hAnsi="Courier New"/>
          <w:sz w:val="16"/>
          <w:szCs w:val="16"/>
          <w:color w:val="auto"/>
        </w:rPr>
        <w:t>"Board Resolution" means a copy of a resolution certified by the Secretary or an Assistant Secretary or any Vice President of the Company to have been duly adopted by the Board of Directors and to be in full force and effect on the date of such certification, and delivered to the Trustee.</w:t>
      </w:r>
    </w:p>
    <w:p>
      <w:pPr>
        <w:spacing w:after="0" w:line="185" w:lineRule="exact"/>
        <w:rPr>
          <w:sz w:val="20"/>
          <w:szCs w:val="20"/>
          <w:color w:val="auto"/>
        </w:rPr>
      </w:pPr>
    </w:p>
    <w:p>
      <w:pPr>
        <w:ind w:right="2779" w:firstLine="1395"/>
        <w:spacing w:after="0" w:line="275" w:lineRule="auto"/>
        <w:rPr>
          <w:sz w:val="20"/>
          <w:szCs w:val="20"/>
          <w:color w:val="auto"/>
        </w:rPr>
      </w:pPr>
      <w:r>
        <w:rPr>
          <w:rFonts w:ascii="Courier New" w:cs="Courier New" w:eastAsia="Courier New" w:hAnsi="Courier New"/>
          <w:sz w:val="14"/>
          <w:szCs w:val="14"/>
          <w:color w:val="auto"/>
        </w:rPr>
        <w:t>"Business Day", when used with respect to any Place of Payment or any other particular location referred to in this Indenture or in the Securities, means, unless otherwise specified with respect to any Securities pursuant to Section 301, each Monday, Tuesday, Wednesday, Thursday and Friday which is not a day on which banking institutions in that Place of Payment or other location are authorized or obligated by law or executive order to close.</w:t>
      </w:r>
    </w:p>
    <w:p>
      <w:pPr>
        <w:spacing w:after="0" w:line="156"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"Clearstream" means Clearstream Banking societe anonyme or its</w:t>
      </w:r>
    </w:p>
    <w:p>
      <w:pPr>
        <w:spacing w:after="0" w:line="236" w:lineRule="auto"/>
        <w:rPr>
          <w:sz w:val="20"/>
          <w:szCs w:val="20"/>
          <w:color w:val="auto"/>
        </w:rPr>
      </w:pPr>
      <w:r>
        <w:rPr>
          <w:rFonts w:ascii="Courier New" w:cs="Courier New" w:eastAsia="Courier New" w:hAnsi="Courier New"/>
          <w:sz w:val="16"/>
          <w:szCs w:val="16"/>
          <w:color w:val="auto"/>
        </w:rPr>
        <w:t>successor.</w:t>
      </w:r>
    </w:p>
    <w:p>
      <w:pPr>
        <w:spacing w:after="0" w:line="183" w:lineRule="exact"/>
        <w:rPr>
          <w:sz w:val="20"/>
          <w:szCs w:val="20"/>
          <w:color w:val="auto"/>
        </w:rPr>
      </w:pPr>
    </w:p>
    <w:p>
      <w:pPr>
        <w:ind w:right="2779" w:firstLine="1395"/>
        <w:spacing w:after="0" w:line="235" w:lineRule="auto"/>
        <w:rPr>
          <w:sz w:val="20"/>
          <w:szCs w:val="20"/>
          <w:color w:val="auto"/>
        </w:rPr>
      </w:pPr>
      <w:r>
        <w:rPr>
          <w:rFonts w:ascii="Courier New" w:cs="Courier New" w:eastAsia="Courier New" w:hAnsi="Courier New"/>
          <w:sz w:val="16"/>
          <w:szCs w:val="16"/>
          <w:color w:val="auto"/>
        </w:rPr>
        <w:t>"Commission" means the Securities and Exchange Commission, as from time to time constituted, created under the Exchange Act, or, if at any time after execution of this Indenture such Commission is not existing and performing the duties now assigned to it under the TIA, then the body performing such duties at such time.</w:t>
      </w:r>
    </w:p>
    <w:p>
      <w:pPr>
        <w:spacing w:after="0" w:line="180"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"Common Depositary" has the meaning specified in Section 304.</w:t>
      </w:r>
    </w:p>
    <w:p>
      <w:pPr>
        <w:spacing w:after="0" w:line="183" w:lineRule="exact"/>
        <w:rPr>
          <w:sz w:val="20"/>
          <w:szCs w:val="20"/>
          <w:color w:val="auto"/>
        </w:rPr>
      </w:pPr>
    </w:p>
    <w:p>
      <w:pPr>
        <w:ind w:right="2779" w:firstLine="1395"/>
        <w:spacing w:after="0" w:line="235" w:lineRule="auto"/>
        <w:rPr>
          <w:sz w:val="20"/>
          <w:szCs w:val="20"/>
          <w:color w:val="auto"/>
        </w:rPr>
      </w:pPr>
      <w:r>
        <w:rPr>
          <w:rFonts w:ascii="Courier New" w:cs="Courier New" w:eastAsia="Courier New" w:hAnsi="Courier New"/>
          <w:sz w:val="16"/>
          <w:szCs w:val="16"/>
          <w:color w:val="auto"/>
        </w:rPr>
        <w:t>"Company" means the Person named as the "Company" in the first paragraph of this Indenture until a successor corporation shall have become such pursuant to the applicable provisions of this Indenture, and thereafter, "Company" shall mean such successor corporation.</w:t>
      </w:r>
    </w:p>
    <w:p>
      <w:pPr>
        <w:spacing w:after="0" w:line="185" w:lineRule="exact"/>
        <w:rPr>
          <w:sz w:val="20"/>
          <w:szCs w:val="20"/>
          <w:color w:val="auto"/>
        </w:rPr>
      </w:pPr>
    </w:p>
    <w:p>
      <w:pPr>
        <w:ind w:right="2879" w:firstLine="1395"/>
        <w:spacing w:after="0" w:line="236" w:lineRule="auto"/>
        <w:rPr>
          <w:sz w:val="20"/>
          <w:szCs w:val="20"/>
          <w:color w:val="auto"/>
        </w:rPr>
      </w:pPr>
      <w:r>
        <w:rPr>
          <w:rFonts w:ascii="Courier New" w:cs="Courier New" w:eastAsia="Courier New" w:hAnsi="Courier New"/>
          <w:sz w:val="16"/>
          <w:szCs w:val="16"/>
          <w:color w:val="auto"/>
        </w:rPr>
        <w:t>"Company Request" and "Company Order" mean, respectively, a written request or order signed in the name of the Company by the Chairman, the President, the Chief Executive Officer, the Chief Financial Officer or a Vice President, and by the Treasurer, an Assistant Treasurer, the Controller or an Assistant Controller, the Secretary or an Assistant Secretary, of the Company, and delivered to the Trustee.</w:t>
      </w:r>
    </w:p>
    <w:p>
      <w:pPr>
        <w:spacing w:after="0" w:line="177"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"Conversion Date" has the meaning specified in Section 312(d).</w:t>
      </w:r>
    </w:p>
    <w:p>
      <w:pPr>
        <w:spacing w:after="0" w:line="183" w:lineRule="exact"/>
        <w:rPr>
          <w:sz w:val="20"/>
          <w:szCs w:val="20"/>
          <w:color w:val="auto"/>
        </w:rPr>
      </w:pPr>
    </w:p>
    <w:p>
      <w:pPr>
        <w:ind w:right="2779" w:firstLine="1395"/>
        <w:spacing w:after="0" w:line="236" w:lineRule="auto"/>
        <w:rPr>
          <w:sz w:val="20"/>
          <w:szCs w:val="20"/>
          <w:color w:val="auto"/>
        </w:rPr>
      </w:pPr>
      <w:r>
        <w:rPr>
          <w:rFonts w:ascii="Courier New" w:cs="Courier New" w:eastAsia="Courier New" w:hAnsi="Courier New"/>
          <w:sz w:val="16"/>
          <w:szCs w:val="16"/>
          <w:color w:val="auto"/>
        </w:rPr>
        <w:t>"Conversion Event" means the cessation of use of (1) a Foreign Currency both by the government of the country which issued such Currency and by a central bank or other public institutions of or within the international banking community for the settlement of transactions, (2) the euro for the settlement of transactions by public institutions of or within the European Communities or (3) any currency unit (or composite currency) other than the euro for the purposes for which such currency unit was established.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540" w:type="dxa"/>
            <w:vAlign w:val="bottom"/>
          </w:tcPr>
          <w:p>
            <w:pPr>
              <w:jc w:val="right"/>
              <w:spacing w:after="0"/>
              <w:rPr>
                <w:sz w:val="20"/>
                <w:szCs w:val="20"/>
                <w:color w:val="auto"/>
              </w:rPr>
            </w:pPr>
            <w:r>
              <w:rPr>
                <w:rFonts w:ascii="Courier New" w:cs="Courier New" w:eastAsia="Courier New" w:hAnsi="Courier New"/>
                <w:sz w:val="16"/>
                <w:szCs w:val="16"/>
                <w:color w:val="auto"/>
              </w:rPr>
              <w:t>"Corporate Trust Office" means the office of</w:t>
            </w:r>
          </w:p>
        </w:tc>
        <w:tc>
          <w:tcPr>
            <w:tcW w:w="1900" w:type="dxa"/>
            <w:vAlign w:val="bottom"/>
          </w:tcPr>
          <w:p>
            <w:pPr>
              <w:ind w:left="40"/>
              <w:spacing w:after="0"/>
              <w:rPr>
                <w:sz w:val="20"/>
                <w:szCs w:val="20"/>
                <w:color w:val="auto"/>
              </w:rPr>
            </w:pPr>
            <w:r>
              <w:rPr>
                <w:rFonts w:ascii="Courier New" w:cs="Courier New" w:eastAsia="Courier New" w:hAnsi="Courier New"/>
                <w:sz w:val="16"/>
                <w:szCs w:val="16"/>
                <w:color w:val="auto"/>
              </w:rPr>
              <w:t>the Trustee at</w:t>
            </w:r>
          </w:p>
        </w:tc>
      </w:tr>
      <w:tr>
        <w:trPr>
          <w:trHeight w:val="179"/>
        </w:trPr>
        <w:tc>
          <w:tcPr>
            <w:tcW w:w="55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which, at any particular time, its corporate trust business</w:t>
            </w:r>
          </w:p>
        </w:tc>
        <w:tc>
          <w:tcPr>
            <w:tcW w:w="19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5"/>
              </w:rPr>
              <w:t>shall be principally</w:t>
            </w:r>
          </w:p>
        </w:tc>
      </w:tr>
      <w:tr>
        <w:trPr>
          <w:trHeight w:val="179"/>
        </w:trPr>
        <w:tc>
          <w:tcPr>
            <w:tcW w:w="55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administered, which office at the date hereof is located at</w:t>
            </w:r>
          </w:p>
        </w:tc>
        <w:tc>
          <w:tcPr>
            <w:tcW w:w="19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101 Barclay Street,</w:t>
            </w:r>
          </w:p>
        </w:tc>
      </w:tr>
      <w:tr>
        <w:trPr>
          <w:trHeight w:val="179"/>
        </w:trPr>
        <w:tc>
          <w:tcPr>
            <w:tcW w:w="5540" w:type="dxa"/>
            <w:vAlign w:val="bottom"/>
          </w:tcPr>
          <w:p>
            <w:pPr>
              <w:jc w:val="right"/>
              <w:ind w:right="3142"/>
              <w:spacing w:after="0" w:line="179" w:lineRule="exact"/>
              <w:rPr>
                <w:sz w:val="20"/>
                <w:szCs w:val="20"/>
                <w:color w:val="auto"/>
              </w:rPr>
            </w:pPr>
            <w:r>
              <w:rPr>
                <w:rFonts w:ascii="Courier New" w:cs="Courier New" w:eastAsia="Courier New" w:hAnsi="Courier New"/>
                <w:sz w:val="16"/>
                <w:szCs w:val="16"/>
                <w:color w:val="auto"/>
                <w:w w:val="95"/>
              </w:rPr>
              <w:t>New York, New York 10286.</w:t>
            </w:r>
          </w:p>
        </w:tc>
        <w:tc>
          <w:tcPr>
            <w:tcW w:w="1900" w:type="dxa"/>
            <w:vAlign w:val="bottom"/>
          </w:tcPr>
          <w:p>
            <w:pPr>
              <w:spacing w:after="0"/>
              <w:rPr>
                <w:sz w:val="15"/>
                <w:szCs w:val="15"/>
                <w:color w:val="auto"/>
              </w:rPr>
            </w:pPr>
          </w:p>
        </w:tc>
      </w:tr>
    </w:tbl>
    <w:p>
      <w:pPr>
        <w:spacing w:after="0" w:line="183" w:lineRule="exact"/>
        <w:rPr>
          <w:sz w:val="20"/>
          <w:szCs w:val="20"/>
          <w:color w:val="auto"/>
        </w:rPr>
      </w:pPr>
    </w:p>
    <w:p>
      <w:pPr>
        <w:ind w:right="3439" w:firstLine="1395"/>
        <w:spacing w:after="0" w:line="234" w:lineRule="auto"/>
        <w:rPr>
          <w:sz w:val="20"/>
          <w:szCs w:val="20"/>
          <w:color w:val="auto"/>
        </w:rPr>
      </w:pPr>
      <w:r>
        <w:rPr>
          <w:rFonts w:ascii="Courier New" w:cs="Courier New" w:eastAsia="Courier New" w:hAnsi="Courier New"/>
          <w:sz w:val="16"/>
          <w:szCs w:val="16"/>
          <w:color w:val="auto"/>
        </w:rPr>
        <w:t>"Corporation" includes corporations, associations, limited liability companies, companies and business trusts.</w:t>
      </w:r>
    </w:p>
    <w:p>
      <w:pPr>
        <w:spacing w:after="0" w:line="177"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"Coupon" means any interest coupon appertaining to a Bearer</w:t>
      </w:r>
    </w:p>
    <w:p>
      <w:pPr>
        <w:spacing w:after="0" w:line="236" w:lineRule="auto"/>
        <w:rPr>
          <w:sz w:val="20"/>
          <w:szCs w:val="20"/>
          <w:color w:val="auto"/>
        </w:rPr>
      </w:pPr>
      <w:r>
        <w:rPr>
          <w:rFonts w:ascii="Courier New" w:cs="Courier New" w:eastAsia="Courier New" w:hAnsi="Courier New"/>
          <w:sz w:val="16"/>
          <w:szCs w:val="16"/>
          <w:color w:val="auto"/>
        </w:rPr>
        <w:t>Security.</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54" w:right="1440" w:bottom="1440" w:gutter="0" w:footer="0" w:header="0"/>
        </w:sectPr>
      </w:pPr>
    </w:p>
    <w:bookmarkStart w:id="83" w:name="page84"/>
    <w:bookmarkEnd w:id="83"/>
    <w:p>
      <w:pPr>
        <w:ind w:right="2959" w:firstLine="1395"/>
        <w:spacing w:after="0" w:line="235" w:lineRule="auto"/>
        <w:rPr>
          <w:sz w:val="20"/>
          <w:szCs w:val="20"/>
          <w:color w:val="auto"/>
        </w:rPr>
      </w:pPr>
      <w:r>
        <w:rPr>
          <w:rFonts w:ascii="Courier New" w:cs="Courier New" w:eastAsia="Courier New" w:hAnsi="Courier New"/>
          <w:sz w:val="16"/>
          <w:szCs w:val="16"/>
          <w:color w:val="auto"/>
        </w:rPr>
        <w:t>"Currency" means any currency or currencies, composite currency or currency unit or currency units, including, without limitation, the euro, issued by the government of one or more countries or by any reorganized confederation or association of such governments.</w:t>
      </w:r>
    </w:p>
    <w:p>
      <w:pPr>
        <w:spacing w:after="0" w:line="185" w:lineRule="exact"/>
        <w:rPr>
          <w:sz w:val="20"/>
          <w:szCs w:val="20"/>
          <w:color w:val="auto"/>
        </w:rPr>
      </w:pPr>
    </w:p>
    <w:p>
      <w:pPr>
        <w:ind w:right="2779" w:firstLine="1395"/>
        <w:spacing w:after="0" w:line="234" w:lineRule="auto"/>
        <w:rPr>
          <w:sz w:val="20"/>
          <w:szCs w:val="20"/>
          <w:color w:val="auto"/>
        </w:rPr>
      </w:pPr>
      <w:r>
        <w:rPr>
          <w:rFonts w:ascii="Courier New" w:cs="Courier New" w:eastAsia="Courier New" w:hAnsi="Courier New"/>
          <w:sz w:val="16"/>
          <w:szCs w:val="16"/>
          <w:color w:val="auto"/>
        </w:rPr>
        <w:t>"Default" means any event which is, or after notice or passage of time or both would be, an Event of Default.</w:t>
      </w:r>
    </w:p>
    <w:p>
      <w:pPr>
        <w:spacing w:after="0" w:line="183"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"Defaulted Interest" has the meaning specified in Section 307(a).</w:t>
      </w:r>
    </w:p>
    <w:p>
      <w:pPr>
        <w:spacing w:after="0" w:line="199" w:lineRule="exact"/>
        <w:rPr>
          <w:sz w:val="20"/>
          <w:szCs w:val="20"/>
          <w:color w:val="auto"/>
        </w:rPr>
      </w:pPr>
    </w:p>
    <w:p>
      <w:pPr>
        <w:ind w:right="3059" w:firstLine="1395"/>
        <w:spacing w:after="0" w:line="235" w:lineRule="auto"/>
        <w:rPr>
          <w:sz w:val="20"/>
          <w:szCs w:val="20"/>
          <w:color w:val="auto"/>
        </w:rPr>
      </w:pPr>
      <w:r>
        <w:rPr>
          <w:rFonts w:ascii="Courier New" w:cs="Courier New" w:eastAsia="Courier New" w:hAnsi="Courier New"/>
          <w:sz w:val="16"/>
          <w:szCs w:val="16"/>
          <w:color w:val="auto"/>
        </w:rPr>
        <w:t>"Depository Participant" means, with respect to the Depositary Trust Company (the "Depository") or its nominee, an institution that has an account therewith.</w:t>
      </w:r>
    </w:p>
    <w:p>
      <w:pPr>
        <w:spacing w:after="0" w:line="183" w:lineRule="exact"/>
        <w:rPr>
          <w:sz w:val="20"/>
          <w:szCs w:val="20"/>
          <w:color w:val="auto"/>
        </w:rPr>
      </w:pPr>
    </w:p>
    <w:p>
      <w:pPr>
        <w:jc w:val="both"/>
        <w:ind w:right="2959" w:firstLine="1395"/>
        <w:spacing w:after="0" w:line="235" w:lineRule="auto"/>
        <w:rPr>
          <w:sz w:val="20"/>
          <w:szCs w:val="20"/>
          <w:color w:val="auto"/>
        </w:rPr>
      </w:pPr>
      <w:r>
        <w:rPr>
          <w:rFonts w:ascii="Courier New" w:cs="Courier New" w:eastAsia="Courier New" w:hAnsi="Courier New"/>
          <w:sz w:val="16"/>
          <w:szCs w:val="16"/>
          <w:color w:val="auto"/>
        </w:rPr>
        <w:t>"Dollar" or "$" means a dollar or other equivalent unit in such coin or currency of the United States of America as at the time shall be legal tender for the payment of public and private debts.</w:t>
      </w:r>
    </w:p>
    <w:p>
      <w:pPr>
        <w:spacing w:after="0" w:line="183" w:lineRule="exact"/>
        <w:rPr>
          <w:sz w:val="20"/>
          <w:szCs w:val="20"/>
          <w:color w:val="auto"/>
        </w:rPr>
      </w:pPr>
    </w:p>
    <w:p>
      <w:pPr>
        <w:ind w:right="3619" w:firstLine="1395"/>
        <w:spacing w:after="0" w:line="234" w:lineRule="auto"/>
        <w:rPr>
          <w:sz w:val="20"/>
          <w:szCs w:val="20"/>
          <w:color w:val="auto"/>
        </w:rPr>
      </w:pPr>
      <w:r>
        <w:rPr>
          <w:rFonts w:ascii="Courier New" w:cs="Courier New" w:eastAsia="Courier New" w:hAnsi="Courier New"/>
          <w:sz w:val="16"/>
          <w:szCs w:val="16"/>
          <w:color w:val="auto"/>
        </w:rPr>
        <w:t>"Dollar Equivalent of the Currency Unit" has the meaning specified in Section 312(g).</w:t>
      </w:r>
    </w:p>
    <w:p>
      <w:pPr>
        <w:spacing w:after="0" w:line="183" w:lineRule="exact"/>
        <w:rPr>
          <w:sz w:val="20"/>
          <w:szCs w:val="20"/>
          <w:color w:val="auto"/>
        </w:rPr>
      </w:pPr>
    </w:p>
    <w:p>
      <w:pPr>
        <w:ind w:right="3339" w:firstLine="1395"/>
        <w:spacing w:after="0" w:line="234" w:lineRule="auto"/>
        <w:rPr>
          <w:sz w:val="20"/>
          <w:szCs w:val="20"/>
          <w:color w:val="auto"/>
        </w:rPr>
      </w:pPr>
      <w:r>
        <w:rPr>
          <w:rFonts w:ascii="Courier New" w:cs="Courier New" w:eastAsia="Courier New" w:hAnsi="Courier New"/>
          <w:sz w:val="16"/>
          <w:szCs w:val="16"/>
          <w:color w:val="auto"/>
        </w:rPr>
        <w:t>"Dollar Equivalent of the Foreign Currency" has the meaning specified in Section 312(f).</w:t>
      </w:r>
    </w:p>
    <w:p>
      <w:pPr>
        <w:spacing w:after="0" w:line="177"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"Election Date" has the meaning specified in Section 312(h).</w:t>
      </w:r>
    </w:p>
    <w:p>
      <w:pPr>
        <w:spacing w:after="0" w:line="183" w:lineRule="exact"/>
        <w:rPr>
          <w:sz w:val="20"/>
          <w:szCs w:val="20"/>
          <w:color w:val="auto"/>
        </w:rPr>
      </w:pPr>
    </w:p>
    <w:p>
      <w:pPr>
        <w:ind w:right="3239" w:firstLine="1395"/>
        <w:spacing w:after="0" w:line="295" w:lineRule="auto"/>
        <w:rPr>
          <w:sz w:val="20"/>
          <w:szCs w:val="20"/>
          <w:color w:val="auto"/>
        </w:rPr>
      </w:pPr>
      <w:r>
        <w:rPr>
          <w:rFonts w:ascii="Courier New" w:cs="Courier New" w:eastAsia="Courier New" w:hAnsi="Courier New"/>
          <w:sz w:val="14"/>
          <w:szCs w:val="14"/>
          <w:color w:val="auto"/>
        </w:rPr>
        <w:t>"Euroclear" means Morgan Guaranty Trust Company of New York, Brussels Office, or its successor as operator of the Euroclear System.</w:t>
      </w:r>
    </w:p>
    <w:p>
      <w:pPr>
        <w:spacing w:after="0" w:line="147" w:lineRule="exact"/>
        <w:rPr>
          <w:sz w:val="20"/>
          <w:szCs w:val="20"/>
          <w:color w:val="auto"/>
        </w:rPr>
      </w:pPr>
    </w:p>
    <w:p>
      <w:pPr>
        <w:ind w:right="3159" w:firstLine="1395"/>
        <w:spacing w:after="0" w:line="295" w:lineRule="auto"/>
        <w:rPr>
          <w:sz w:val="20"/>
          <w:szCs w:val="20"/>
          <w:color w:val="auto"/>
        </w:rPr>
      </w:pPr>
      <w:r>
        <w:rPr>
          <w:rFonts w:ascii="Courier New" w:cs="Courier New" w:eastAsia="Courier New" w:hAnsi="Courier New"/>
          <w:sz w:val="14"/>
          <w:szCs w:val="14"/>
          <w:color w:val="auto"/>
        </w:rPr>
        <w:t>"European Communities" means the European Union, the European Coal and Steel Community and the European Atomic Energy Community.</w:t>
      </w:r>
    </w:p>
    <w:p>
      <w:pPr>
        <w:spacing w:after="0" w:line="141"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"Event of Default" has the meaning specified in Section 501.</w:t>
      </w:r>
    </w:p>
    <w:p>
      <w:pPr>
        <w:spacing w:after="0" w:line="177"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"Exchange Act" means the Securities Exchange Act of 1934, as</w:t>
      </w:r>
    </w:p>
    <w:p>
      <w:pPr>
        <w:spacing w:after="0" w:line="236" w:lineRule="auto"/>
        <w:rPr>
          <w:sz w:val="20"/>
          <w:szCs w:val="20"/>
          <w:color w:val="auto"/>
        </w:rPr>
      </w:pPr>
      <w:r>
        <w:rPr>
          <w:rFonts w:ascii="Courier New" w:cs="Courier New" w:eastAsia="Courier New" w:hAnsi="Courier New"/>
          <w:sz w:val="16"/>
          <w:szCs w:val="16"/>
          <w:color w:val="auto"/>
        </w:rPr>
        <w:t>amended.</w:t>
      </w:r>
    </w:p>
    <w:p>
      <w:pPr>
        <w:spacing w:after="0" w:line="177"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"Exchange Date" has the meaning specified in Section 304.</w:t>
      </w:r>
    </w:p>
    <w:p>
      <w:pPr>
        <w:spacing w:after="0" w:line="183" w:lineRule="exact"/>
        <w:rPr>
          <w:sz w:val="20"/>
          <w:szCs w:val="20"/>
          <w:color w:val="auto"/>
        </w:rPr>
      </w:pPr>
    </w:p>
    <w:p>
      <w:pPr>
        <w:ind w:right="2959" w:firstLine="1395"/>
        <w:spacing w:after="0" w:line="235" w:lineRule="auto"/>
        <w:rPr>
          <w:sz w:val="20"/>
          <w:szCs w:val="20"/>
          <w:color w:val="auto"/>
        </w:rPr>
      </w:pPr>
      <w:r>
        <w:rPr>
          <w:rFonts w:ascii="Courier New" w:cs="Courier New" w:eastAsia="Courier New" w:hAnsi="Courier New"/>
          <w:sz w:val="16"/>
          <w:szCs w:val="16"/>
          <w:color w:val="auto"/>
        </w:rPr>
        <w:t>"Exchange Rate Agent" means, with respect to Securities of or within any series unless otherwise specified with respect to any Securities pursuant to Section 301, a New York Clearing House bank designated pursuant to Section 301 or Section 313.</w:t>
      </w:r>
    </w:p>
    <w:p>
      <w:pPr>
        <w:spacing w:after="0" w:line="185" w:lineRule="exact"/>
        <w:rPr>
          <w:sz w:val="20"/>
          <w:szCs w:val="20"/>
          <w:color w:val="auto"/>
        </w:rPr>
      </w:pPr>
    </w:p>
    <w:p>
      <w:pPr>
        <w:ind w:right="2779" w:firstLine="1395"/>
        <w:spacing w:after="0" w:line="236" w:lineRule="auto"/>
        <w:rPr>
          <w:sz w:val="20"/>
          <w:szCs w:val="20"/>
          <w:color w:val="auto"/>
        </w:rPr>
      </w:pPr>
      <w:r>
        <w:rPr>
          <w:rFonts w:ascii="Courier New" w:cs="Courier New" w:eastAsia="Courier New" w:hAnsi="Courier New"/>
          <w:sz w:val="16"/>
          <w:szCs w:val="16"/>
          <w:color w:val="auto"/>
        </w:rPr>
        <w:t>"Exchange Rate Officer's Certificate" means a certificate setting forth (1) the applicable Market Exchange Rate or the applicable bid quotation and (2) the Dollar or Foreign Currency amounts of principal (and premium, if any) and interest, if any (on an aggregate basis and on the basis of a Security having the lowest denomination principal amount determined in accordance with Section 302 in the relevant Currency), payable with respect to a Security of any series on the basis of such Market Exchange Rate signed by the Chief Financial Officer, the Treasurer, the Controller, any Vice President or any Assistant Treasurer or Assistant Controller of the Company.</w:t>
      </w:r>
    </w:p>
    <w:p>
      <w:pPr>
        <w:spacing w:after="0" w:line="35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54" w:right="1440" w:bottom="1440" w:gutter="0" w:footer="0" w:header="0"/>
        </w:sectPr>
      </w:pPr>
    </w:p>
    <w:bookmarkStart w:id="84" w:name="page85"/>
    <w:bookmarkEnd w:id="84"/>
    <w:p>
      <w:pPr>
        <w:ind w:right="2779" w:firstLine="1395"/>
        <w:spacing w:after="0" w:line="235" w:lineRule="auto"/>
        <w:rPr>
          <w:sz w:val="20"/>
          <w:szCs w:val="20"/>
          <w:color w:val="auto"/>
        </w:rPr>
      </w:pPr>
      <w:r>
        <w:rPr>
          <w:rFonts w:ascii="Courier New" w:cs="Courier New" w:eastAsia="Courier New" w:hAnsi="Courier New"/>
          <w:sz w:val="16"/>
          <w:szCs w:val="16"/>
          <w:color w:val="auto"/>
        </w:rPr>
        <w:t>"Foreign Currency" means any Currency, including, without limitation, the euro, issued by the government of one or more countries other than the United States or by any recognized confederation or association of such governments.</w:t>
      </w:r>
    </w:p>
    <w:p>
      <w:pPr>
        <w:spacing w:after="0" w:line="185" w:lineRule="exact"/>
        <w:rPr>
          <w:sz w:val="20"/>
          <w:szCs w:val="20"/>
          <w:color w:val="auto"/>
        </w:rPr>
      </w:pPr>
    </w:p>
    <w:p>
      <w:pPr>
        <w:jc w:val="both"/>
        <w:ind w:right="2959" w:firstLine="1395"/>
        <w:spacing w:after="0" w:line="235" w:lineRule="auto"/>
        <w:rPr>
          <w:sz w:val="20"/>
          <w:szCs w:val="20"/>
          <w:color w:val="auto"/>
        </w:rPr>
      </w:pPr>
      <w:r>
        <w:rPr>
          <w:rFonts w:ascii="Courier New" w:cs="Courier New" w:eastAsia="Courier New" w:hAnsi="Courier New"/>
          <w:sz w:val="16"/>
          <w:szCs w:val="16"/>
          <w:color w:val="auto"/>
        </w:rPr>
        <w:t>"Government Obligations" means, unless otherwise specified with respect to any series of Securities pursuant to Section 301, securities which are:</w:t>
      </w:r>
    </w:p>
    <w:p>
      <w:pPr>
        <w:spacing w:after="0" w:line="183" w:lineRule="exact"/>
        <w:rPr>
          <w:sz w:val="20"/>
          <w:szCs w:val="20"/>
          <w:color w:val="auto"/>
        </w:rPr>
      </w:pPr>
    </w:p>
    <w:p>
      <w:pPr>
        <w:ind w:left="1400" w:right="3059" w:firstLine="456"/>
        <w:spacing w:after="0" w:line="235" w:lineRule="auto"/>
        <w:tabs>
          <w:tab w:leader="none" w:pos="2237"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 obligations of the government which issued the Currency in which the Securities of a particular series are payable, or</w:t>
      </w:r>
    </w:p>
    <w:p>
      <w:pPr>
        <w:spacing w:after="0" w:line="183" w:lineRule="exact"/>
        <w:rPr>
          <w:rFonts w:ascii="Courier New" w:cs="Courier New" w:eastAsia="Courier New" w:hAnsi="Courier New"/>
          <w:sz w:val="16"/>
          <w:szCs w:val="16"/>
          <w:color w:val="auto"/>
        </w:rPr>
      </w:pPr>
    </w:p>
    <w:p>
      <w:pPr>
        <w:ind w:left="1400" w:right="2879" w:firstLine="456"/>
        <w:spacing w:after="0" w:line="235" w:lineRule="auto"/>
        <w:tabs>
          <w:tab w:leader="none" w:pos="2237"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obligations of a Person controlled or supervised by and acting as an agency or instrumentality of such government which issued the Currency in which the Securities of such series are payable, the payment of which is unconditionally guaranteed by such government,</w:t>
      </w:r>
    </w:p>
    <w:p>
      <w:pPr>
        <w:spacing w:after="0" w:line="186" w:lineRule="exact"/>
        <w:rPr>
          <w:sz w:val="20"/>
          <w:szCs w:val="20"/>
          <w:color w:val="auto"/>
        </w:rPr>
      </w:pPr>
    </w:p>
    <w:p>
      <w:pPr>
        <w:ind w:right="2779"/>
        <w:spacing w:after="0" w:line="273" w:lineRule="auto"/>
        <w:rPr>
          <w:sz w:val="20"/>
          <w:szCs w:val="20"/>
          <w:color w:val="auto"/>
        </w:rPr>
      </w:pPr>
      <w:r>
        <w:rPr>
          <w:rFonts w:ascii="Courier New" w:cs="Courier New" w:eastAsia="Courier New" w:hAnsi="Courier New"/>
          <w:sz w:val="14"/>
          <w:szCs w:val="14"/>
          <w:color w:val="auto"/>
        </w:rPr>
        <w:t>which, in either case, are full faith and credit obligations of such government payable in such Currency and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w:t>
      </w:r>
    </w:p>
    <w:p>
      <w:pPr>
        <w:spacing w:after="0" w:line="343" w:lineRule="exact"/>
        <w:rPr>
          <w:sz w:val="20"/>
          <w:szCs w:val="20"/>
          <w:color w:val="auto"/>
        </w:rPr>
      </w:pPr>
    </w:p>
    <w:p>
      <w:pPr>
        <w:ind w:right="2779" w:firstLine="1395"/>
        <w:spacing w:after="0" w:line="235" w:lineRule="auto"/>
        <w:rPr>
          <w:sz w:val="20"/>
          <w:szCs w:val="20"/>
          <w:color w:val="auto"/>
        </w:rPr>
      </w:pPr>
      <w:r>
        <w:rPr>
          <w:rFonts w:ascii="Courier New" w:cs="Courier New" w:eastAsia="Courier New" w:hAnsi="Courier New"/>
          <w:sz w:val="16"/>
          <w:szCs w:val="16"/>
          <w:color w:val="auto"/>
        </w:rPr>
        <w:t>"Holder" means, in the case of a Registered Security, the Person in whose name a Security is registered in the Security Register and, in the case of a Bearer Security, the bearer thereof and, when used with respect to any coupon, shall mean the bearer thereof.</w:t>
      </w:r>
    </w:p>
    <w:p>
      <w:pPr>
        <w:spacing w:after="0" w:line="185" w:lineRule="exact"/>
        <w:rPr>
          <w:sz w:val="20"/>
          <w:szCs w:val="20"/>
          <w:color w:val="auto"/>
        </w:rPr>
      </w:pPr>
    </w:p>
    <w:p>
      <w:pPr>
        <w:ind w:right="2779" w:firstLine="1395"/>
        <w:spacing w:after="0" w:line="272" w:lineRule="auto"/>
        <w:rPr>
          <w:sz w:val="20"/>
          <w:szCs w:val="20"/>
          <w:color w:val="auto"/>
        </w:rPr>
      </w:pPr>
      <w:r>
        <w:rPr>
          <w:rFonts w:ascii="Courier New" w:cs="Courier New" w:eastAsia="Courier New" w:hAnsi="Courier New"/>
          <w:sz w:val="14"/>
          <w:szCs w:val="14"/>
          <w:color w:val="auto"/>
        </w:rPr>
        <w:t>"Indenture" means this instrument as originally executed or as it may from time to time be supplemented or amended by one or more indentures supplemental hereto entered into pursuant to the applicable provisions hereof, and shall include the terms of particular series of Securities established as contemplated by Section 301; provided, that, if at any time more than one Person is acting as Trustee under this instrument, "Indenture" shall mean, with respect to any one or more series of Securities for which such Person is Trustee, this instrument as originally executed or as it may from time to time be supplemented or amended by one or more indentures supplemental hereto entered into pursuant to the applicable provisions hereof and shall include the terms of the or those particular series of Securities for which such Person is Trustee established as contemplated by Section 301, exclusive, however, of any provisions or terms which relate solely to other series of Securities for which such Person is not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w:t>
      </w:r>
    </w:p>
    <w:p>
      <w:pPr>
        <w:spacing w:after="0" w:line="344" w:lineRule="exact"/>
        <w:rPr>
          <w:sz w:val="20"/>
          <w:szCs w:val="20"/>
          <w:color w:val="auto"/>
        </w:rPr>
      </w:pPr>
    </w:p>
    <w:p>
      <w:pPr>
        <w:ind w:right="2779" w:firstLine="1395"/>
        <w:spacing w:after="0" w:line="279" w:lineRule="auto"/>
        <w:rPr>
          <w:sz w:val="20"/>
          <w:szCs w:val="20"/>
          <w:color w:val="auto"/>
        </w:rPr>
      </w:pPr>
      <w:r>
        <w:rPr>
          <w:rFonts w:ascii="Courier New" w:cs="Courier New" w:eastAsia="Courier New" w:hAnsi="Courier New"/>
          <w:sz w:val="14"/>
          <w:szCs w:val="14"/>
          <w:color w:val="auto"/>
        </w:rPr>
        <w:t>"Indexed Security" means a Security as to which all or certain interest payments and/or the principal amount payable at Maturity are determined by reference to prices, changes in prices, or differences between prices, of securities, Currencies, intangibles, goods, articles or commodities or by such</w:t>
      </w:r>
    </w:p>
    <w:p>
      <w:pPr>
        <w:spacing w:after="0" w:line="33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54" w:right="1440" w:bottom="1440" w:gutter="0" w:footer="0" w:header="0"/>
        </w:sectPr>
      </w:pPr>
    </w:p>
    <w:bookmarkStart w:id="85" w:name="page86"/>
    <w:bookmarkEnd w:id="85"/>
    <w:p>
      <w:pPr>
        <w:ind w:right="3059"/>
        <w:spacing w:after="0" w:line="234" w:lineRule="auto"/>
        <w:rPr>
          <w:sz w:val="20"/>
          <w:szCs w:val="20"/>
          <w:color w:val="auto"/>
        </w:rPr>
      </w:pPr>
      <w:r>
        <w:rPr>
          <w:rFonts w:ascii="Courier New" w:cs="Courier New" w:eastAsia="Courier New" w:hAnsi="Courier New"/>
          <w:sz w:val="16"/>
          <w:szCs w:val="16"/>
          <w:color w:val="auto"/>
        </w:rPr>
        <w:t>other objective price, economic or other measures as are specified in Section 301 hereof.</w:t>
      </w:r>
    </w:p>
    <w:p>
      <w:pPr>
        <w:spacing w:after="0" w:line="183" w:lineRule="exact"/>
        <w:rPr>
          <w:sz w:val="20"/>
          <w:szCs w:val="20"/>
          <w:color w:val="auto"/>
        </w:rPr>
      </w:pPr>
    </w:p>
    <w:p>
      <w:pPr>
        <w:ind w:right="2779" w:firstLine="1395"/>
        <w:spacing w:after="0" w:line="235" w:lineRule="auto"/>
        <w:rPr>
          <w:sz w:val="20"/>
          <w:szCs w:val="20"/>
          <w:color w:val="auto"/>
        </w:rPr>
      </w:pPr>
      <w:r>
        <w:rPr>
          <w:rFonts w:ascii="Courier New" w:cs="Courier New" w:eastAsia="Courier New" w:hAnsi="Courier New"/>
          <w:sz w:val="16"/>
          <w:szCs w:val="16"/>
          <w:color w:val="auto"/>
        </w:rPr>
        <w:t>"Interest", when used with respect to an Original Issue Discount Security which by its terms bears interest only after Maturity, shall mean interest payable after Maturity, and, when used with respect to a Security which provides for the payment of Additional Amounts pursuant to Section 1005 or otherwise, includes such Additional Amounts.</w:t>
      </w:r>
    </w:p>
    <w:p>
      <w:pPr>
        <w:spacing w:after="0" w:line="186" w:lineRule="exact"/>
        <w:rPr>
          <w:sz w:val="20"/>
          <w:szCs w:val="20"/>
          <w:color w:val="auto"/>
        </w:rPr>
      </w:pPr>
    </w:p>
    <w:p>
      <w:pPr>
        <w:ind w:right="2879" w:firstLine="1395"/>
        <w:spacing w:after="0" w:line="295" w:lineRule="auto"/>
        <w:rPr>
          <w:sz w:val="20"/>
          <w:szCs w:val="20"/>
          <w:color w:val="auto"/>
        </w:rPr>
      </w:pPr>
      <w:r>
        <w:rPr>
          <w:rFonts w:ascii="Courier New" w:cs="Courier New" w:eastAsia="Courier New" w:hAnsi="Courier New"/>
          <w:sz w:val="14"/>
          <w:szCs w:val="14"/>
          <w:color w:val="auto"/>
        </w:rPr>
        <w:t>"Interest Payment Date", when used with respect to any Security, means the Stated Maturity of an installment of interest on such Security.</w:t>
      </w:r>
    </w:p>
    <w:p>
      <w:pPr>
        <w:spacing w:after="0" w:line="147" w:lineRule="exact"/>
        <w:rPr>
          <w:sz w:val="20"/>
          <w:szCs w:val="20"/>
          <w:color w:val="auto"/>
        </w:rPr>
      </w:pPr>
    </w:p>
    <w:p>
      <w:pPr>
        <w:ind w:right="2779" w:firstLine="1395"/>
        <w:spacing w:after="0" w:line="271" w:lineRule="auto"/>
        <w:rPr>
          <w:sz w:val="20"/>
          <w:szCs w:val="20"/>
          <w:color w:val="auto"/>
        </w:rPr>
      </w:pPr>
      <w:r>
        <w:rPr>
          <w:rFonts w:ascii="Courier New" w:cs="Courier New" w:eastAsia="Courier New" w:hAnsi="Courier New"/>
          <w:sz w:val="14"/>
          <w:szCs w:val="14"/>
          <w:color w:val="auto"/>
        </w:rPr>
        <w:t>"Market Exchange Rate" means, unless otherwise specified with respect to any Securities pursuant to Section 301, (1) for any conversion involving a currency unit on the one hand and Dollars or any Foreign Currency on the other, the exchange rate between the relevant currency unit and Dollars or such Foreign Currency calculated by the method specified pursuant to Section 301 for the Securities of the relevant series, (2) for any conversion of Dollars into any Foreign Currency, the noon (New York City time) buying rate for such Foreign Currency for cable transfers quoted in New York City as certified for customs purposes by the Federal Reserve Bank of New York and (3) for any conversion of one Foreign Currency into Dollars or another Foreign Currency, the spot rate at noon local time in the relevant market at which, in accordance with normal banking procedures, the Dollars or Foreign Currency into which conversion is being made could be purchased with the Foreign Currency from which conversion is being made from major banks located in either New York City, London or any other principal market for Dollars or such purchased Foreign Currency, in each case determined by the Exchange Rate Agent. Unless otherwise specified with respect to any Securities pursuant to Section 301, in the event of the unavailability of any of the exchange rates provided for in the foregoing clauses (1), (2) and (3), the Exchange Rate Agent shall use, in its sole discretion and without liability on its part, such quotation of the Federal Reserve Bank of New York as of the most recent available date, or quotations from one or more major banks in New York City, London or another principal market for the Currency in question, or such other quotations as the Exchange Rate Agent shall deem appropriate. Unless otherwise specified by the Exchange Rate Agent, if there is more than one market for dealing in any Currency by reason of foreign exchange regulations or otherwise, the market to be used in respect of such Currency shall be that upon which a non-resident issuer of securities designated in such Currency would purchase such Currency in order to make payments in respect of such securities.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3159" w:firstLine="1395"/>
        <w:spacing w:after="0" w:line="276" w:lineRule="auto"/>
        <w:rPr>
          <w:sz w:val="20"/>
          <w:szCs w:val="20"/>
          <w:color w:val="auto"/>
        </w:rPr>
      </w:pPr>
      <w:r>
        <w:rPr>
          <w:rFonts w:ascii="Courier New" w:cs="Courier New" w:eastAsia="Courier New" w:hAnsi="Courier New"/>
          <w:sz w:val="14"/>
          <w:szCs w:val="14"/>
          <w:color w:val="auto"/>
        </w:rPr>
        <w:t>"Maturity", when used with respect to any Security, means the date on which the principal of such Security or an installment of principal becomes due and payable as therein or herein provided, whether at the Stated Maturity or by declaration of acceleration, notice of redemption, notice of option to elect repayment, notice of exchange or conversion or otherwise.</w:t>
      </w:r>
    </w:p>
    <w:p>
      <w:pPr>
        <w:spacing w:after="0" w:line="161" w:lineRule="exact"/>
        <w:rPr>
          <w:sz w:val="20"/>
          <w:szCs w:val="20"/>
          <w:color w:val="auto"/>
        </w:rPr>
      </w:pPr>
    </w:p>
    <w:p>
      <w:pPr>
        <w:ind w:right="2779" w:firstLine="1395"/>
        <w:spacing w:after="0" w:line="235" w:lineRule="auto"/>
        <w:rPr>
          <w:sz w:val="20"/>
          <w:szCs w:val="20"/>
          <w:color w:val="auto"/>
        </w:rPr>
      </w:pPr>
      <w:r>
        <w:rPr>
          <w:rFonts w:ascii="Courier New" w:cs="Courier New" w:eastAsia="Courier New" w:hAnsi="Courier New"/>
          <w:sz w:val="16"/>
          <w:szCs w:val="16"/>
          <w:color w:val="auto"/>
        </w:rPr>
        <w:t>"Officers' Certificate" means a certificate signed by the Chairman, the President, the Chief Executive Officer, the Chief Financial Officer and by the Treasurer, the Controller, an Assistant Treasurer, the Assistant Controller, the Secretary or an Assistant Secretary of the Company and delivered to the Trustee.</w:t>
      </w:r>
    </w:p>
    <w:p>
      <w:pPr>
        <w:spacing w:after="0" w:line="35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54" w:right="1440" w:bottom="1440" w:gutter="0" w:footer="0" w:header="0"/>
        </w:sectPr>
      </w:pPr>
    </w:p>
    <w:bookmarkStart w:id="86" w:name="page87"/>
    <w:bookmarkEnd w:id="86"/>
    <w:p>
      <w:pPr>
        <w:jc w:val="both"/>
        <w:ind w:right="2779" w:firstLine="1395"/>
        <w:spacing w:after="0" w:line="235" w:lineRule="auto"/>
        <w:rPr>
          <w:sz w:val="20"/>
          <w:szCs w:val="20"/>
          <w:color w:val="auto"/>
        </w:rPr>
      </w:pPr>
      <w:r>
        <w:rPr>
          <w:rFonts w:ascii="Courier New" w:cs="Courier New" w:eastAsia="Courier New" w:hAnsi="Courier New"/>
          <w:sz w:val="16"/>
          <w:szCs w:val="16"/>
          <w:color w:val="auto"/>
        </w:rPr>
        <w:t>"Opinion of Counsel" means a written opinion of counsel, who may be counsel for the Company or who may be an employee of or other counsel for the Company.</w:t>
      </w:r>
    </w:p>
    <w:p>
      <w:pPr>
        <w:spacing w:after="0" w:line="183" w:lineRule="exact"/>
        <w:rPr>
          <w:sz w:val="20"/>
          <w:szCs w:val="20"/>
          <w:color w:val="auto"/>
        </w:rPr>
      </w:pPr>
    </w:p>
    <w:p>
      <w:pPr>
        <w:ind w:right="2959" w:firstLine="1395"/>
        <w:spacing w:after="0" w:line="235" w:lineRule="auto"/>
        <w:rPr>
          <w:sz w:val="20"/>
          <w:szCs w:val="20"/>
          <w:color w:val="auto"/>
        </w:rPr>
      </w:pPr>
      <w:r>
        <w:rPr>
          <w:rFonts w:ascii="Courier New" w:cs="Courier New" w:eastAsia="Courier New" w:hAnsi="Courier New"/>
          <w:sz w:val="16"/>
          <w:szCs w:val="16"/>
          <w:color w:val="auto"/>
        </w:rPr>
        <w:t>"Original Issue Discount Security" means any Security which provides for an amount less than the principal amount thereof to be due and payable upon a declaration of acceleration of the Maturity thereof pursuant to Section 502.</w:t>
      </w:r>
    </w:p>
    <w:p>
      <w:pPr>
        <w:spacing w:after="0" w:line="185" w:lineRule="exact"/>
        <w:rPr>
          <w:sz w:val="20"/>
          <w:szCs w:val="20"/>
          <w:color w:val="auto"/>
        </w:rPr>
      </w:pPr>
    </w:p>
    <w:p>
      <w:pPr>
        <w:ind w:right="2779" w:firstLine="1395"/>
        <w:spacing w:after="0" w:line="235" w:lineRule="auto"/>
        <w:rPr>
          <w:sz w:val="20"/>
          <w:szCs w:val="20"/>
          <w:color w:val="auto"/>
        </w:rPr>
      </w:pPr>
      <w:r>
        <w:rPr>
          <w:rFonts w:ascii="Courier New" w:cs="Courier New" w:eastAsia="Courier New" w:hAnsi="Courier New"/>
          <w:sz w:val="16"/>
          <w:szCs w:val="16"/>
          <w:color w:val="auto"/>
        </w:rPr>
        <w:t>"Outstanding", when used with respect to Securities or any series of any Securities, means, as of the date of determination, all Securities or all Securities of such series, as the case may be, theretofore authenticated and delivered under this Indenture, except:</w:t>
      </w:r>
    </w:p>
    <w:p>
      <w:pPr>
        <w:spacing w:after="0" w:line="185" w:lineRule="exact"/>
        <w:rPr>
          <w:sz w:val="20"/>
          <w:szCs w:val="20"/>
          <w:color w:val="auto"/>
        </w:rPr>
      </w:pPr>
    </w:p>
    <w:p>
      <w:pPr>
        <w:ind w:left="920" w:right="2879" w:firstLine="471"/>
        <w:spacing w:after="0" w:line="234" w:lineRule="auto"/>
        <w:tabs>
          <w:tab w:leader="none" w:pos="1757"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theretofore cancelled by the Trustee or delivered to the Trustee for cancellation;</w:t>
      </w:r>
    </w:p>
    <w:p>
      <w:pPr>
        <w:spacing w:after="0" w:line="183" w:lineRule="exact"/>
        <w:rPr>
          <w:rFonts w:ascii="Courier New" w:cs="Courier New" w:eastAsia="Courier New" w:hAnsi="Courier New"/>
          <w:sz w:val="16"/>
          <w:szCs w:val="16"/>
          <w:color w:val="auto"/>
        </w:rPr>
      </w:pPr>
    </w:p>
    <w:p>
      <w:pPr>
        <w:ind w:left="920" w:right="2779" w:firstLine="471"/>
        <w:spacing w:after="0" w:line="274" w:lineRule="auto"/>
        <w:tabs>
          <w:tab w:leader="none" w:pos="1757"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or portions thereof, for whose payment or redemption or repayment at the option of the Holder money in the necessary amount has been theretofore deposited with the Trustee or any Paying Agent (other than the Company) in trust or set aside and segregated in trust by the Company (if the Company shall act as Paying Agent) for the Holders of such Securities and any coupons appertaining thereto, provided that, if such Securities are to be redeemed, notice of such redemption has been duly given pursuant to this Indenture or provision therefor satisfactory to the Trustee has been made;</w:t>
      </w:r>
    </w:p>
    <w:p>
      <w:pPr>
        <w:spacing w:after="0" w:line="340" w:lineRule="exact"/>
        <w:rPr>
          <w:rFonts w:ascii="Courier New" w:cs="Courier New" w:eastAsia="Courier New" w:hAnsi="Courier New"/>
          <w:sz w:val="14"/>
          <w:szCs w:val="14"/>
          <w:color w:val="auto"/>
        </w:rPr>
      </w:pPr>
    </w:p>
    <w:p>
      <w:pPr>
        <w:jc w:val="both"/>
        <w:ind w:left="920" w:right="3059" w:firstLine="471"/>
        <w:spacing w:after="0" w:line="283" w:lineRule="auto"/>
        <w:tabs>
          <w:tab w:leader="none" w:pos="1757"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except to the extent provided in Sections 1402 and 1403, with respect to which the Company has effected defeasance and/or covenant defeasance as provided in Article Fourteen; and</w:t>
      </w:r>
    </w:p>
    <w:p>
      <w:pPr>
        <w:spacing w:after="0" w:line="154" w:lineRule="exact"/>
        <w:rPr>
          <w:rFonts w:ascii="Courier New" w:cs="Courier New" w:eastAsia="Courier New" w:hAnsi="Courier New"/>
          <w:sz w:val="14"/>
          <w:szCs w:val="14"/>
          <w:color w:val="auto"/>
        </w:rPr>
      </w:pPr>
    </w:p>
    <w:p>
      <w:pPr>
        <w:ind w:left="920" w:right="2779" w:firstLine="471"/>
        <w:spacing w:after="0" w:line="236" w:lineRule="auto"/>
        <w:tabs>
          <w:tab w:leader="none" w:pos="1757"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which have been paid pursuant to Section 306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w:t>
      </w:r>
    </w:p>
    <w:p>
      <w:pPr>
        <w:spacing w:after="0" w:line="184" w:lineRule="exact"/>
        <w:rPr>
          <w:sz w:val="20"/>
          <w:szCs w:val="20"/>
          <w:color w:val="auto"/>
        </w:rPr>
      </w:pPr>
    </w:p>
    <w:p>
      <w:pPr>
        <w:ind w:right="2779"/>
        <w:spacing w:after="0" w:line="272" w:lineRule="auto"/>
        <w:rPr>
          <w:sz w:val="20"/>
          <w:szCs w:val="20"/>
          <w:color w:val="auto"/>
        </w:rPr>
      </w:pPr>
      <w:r>
        <w:rPr>
          <w:rFonts w:ascii="Courier New" w:cs="Courier New" w:eastAsia="Courier New" w:hAnsi="Courier New"/>
          <w:sz w:val="14"/>
          <w:szCs w:val="14"/>
          <w:color w:val="auto"/>
        </w:rPr>
        <w:t>provided, that in determining whether the Holders of the requisite principal amount of the Outstanding Securities have given any request, demand, authorization, direction, notice, consent or waiver hereunder or are present at a meeting of Holders for quorum purposes, and for the purpose of making the calculations required by TIA Section 313, (i) the principal amount of an Original Issue Discount Security that may be counted in making such determination or calculation and that shall be deemed to be Outstanding for such purpose shall be equal to the amount of principal thereof that would be (or shall have been declared to be) due and payable, at the time of such determination, upon a declaration of acceleration of the Maturity thereof pursuant to Section 502, (ii) the principal amount of any Security denominated in a Foreign Currency that may be counted in making such determination or calculation and that shall be deemed Outstanding for such purpose shall be equal to the Dollar equivalent, determined as of the date such Security is originally issued by the Company as set forth in an Exchange Rate Officer's Certificate delivered to the Trustee, of the principal amount (or, in the case of an Original Issue Discount Security or Indexed Security, the Dollar equivalent as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54" w:right="1440" w:bottom="1440" w:gutter="0" w:footer="0" w:header="0"/>
        </w:sectPr>
      </w:pPr>
    </w:p>
    <w:bookmarkStart w:id="87" w:name="page88"/>
    <w:bookmarkEnd w:id="87"/>
    <w:p>
      <w:pPr>
        <w:ind w:left="5"/>
        <w:spacing w:after="0"/>
        <w:rPr>
          <w:sz w:val="20"/>
          <w:szCs w:val="20"/>
          <w:color w:val="auto"/>
        </w:rPr>
      </w:pPr>
      <w:r>
        <w:rPr>
          <w:rFonts w:ascii="Courier New" w:cs="Courier New" w:eastAsia="Courier New" w:hAnsi="Courier New"/>
          <w:sz w:val="14"/>
          <w:szCs w:val="14"/>
          <w:color w:val="auto"/>
        </w:rPr>
        <w:t>of such date of original issuance of the amount determined as provided in clause</w:t>
      </w:r>
    </w:p>
    <w:p>
      <w:pPr>
        <w:spacing w:after="0" w:line="20" w:lineRule="exact"/>
        <w:rPr>
          <w:sz w:val="20"/>
          <w:szCs w:val="20"/>
          <w:color w:val="auto"/>
        </w:rPr>
      </w:pPr>
    </w:p>
    <w:p>
      <w:pPr>
        <w:ind w:left="5" w:right="2779" w:hanging="5"/>
        <w:spacing w:after="0" w:line="236" w:lineRule="auto"/>
        <w:tabs>
          <w:tab w:leader="none" w:pos="377"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 clause (iii) of this definition, respectively) of such Security, (iii) the principal amount of any Indexed Security that may be counted in making such determination or calculation and that shall be deemed outstanding for such purpose shall be equal to the principal face amount of such Indexed Security at original issuance, unless otherwise provided with respect to such Security pursuant to Section 301, and (iv) Securities owned by the Company or any other obligor upon the Securities or any Affiliate of the Company or of such other obligor shall be disregarded and deemed not to be Outstanding, except that, in determining whether the Trustee shall be protected in making such calculation or in relying upon any such request, demand, authorization, direction, notice, consent or waiver, only Securities which a Responsible Officer of the Trustee actually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w:t>
      </w:r>
    </w:p>
    <w:p>
      <w:pPr>
        <w:spacing w:after="0" w:line="190" w:lineRule="exact"/>
        <w:rPr>
          <w:sz w:val="20"/>
          <w:szCs w:val="20"/>
          <w:color w:val="auto"/>
        </w:rPr>
      </w:pPr>
    </w:p>
    <w:p>
      <w:pPr>
        <w:jc w:val="both"/>
        <w:ind w:left="5" w:right="2779" w:firstLine="1395"/>
        <w:spacing w:after="0" w:line="283" w:lineRule="auto"/>
        <w:rPr>
          <w:sz w:val="20"/>
          <w:szCs w:val="20"/>
          <w:color w:val="auto"/>
        </w:rPr>
      </w:pPr>
      <w:r>
        <w:rPr>
          <w:rFonts w:ascii="Courier New" w:cs="Courier New" w:eastAsia="Courier New" w:hAnsi="Courier New"/>
          <w:sz w:val="14"/>
          <w:szCs w:val="14"/>
          <w:color w:val="auto"/>
        </w:rPr>
        <w:t>"Paying Agent" means any Person (including the Company acting as Paying Agent) authorized by the Company to pay the principal of (or premium, if any) or interest, if any, on any Securities or coupons on behalf of the Company.</w:t>
      </w:r>
    </w:p>
    <w:p>
      <w:pPr>
        <w:spacing w:after="0" w:line="155" w:lineRule="exact"/>
        <w:rPr>
          <w:sz w:val="20"/>
          <w:szCs w:val="20"/>
          <w:color w:val="auto"/>
        </w:rPr>
      </w:pPr>
    </w:p>
    <w:p>
      <w:pPr>
        <w:ind w:left="5" w:right="2779" w:firstLine="1395"/>
        <w:spacing w:after="0" w:line="235" w:lineRule="auto"/>
        <w:rPr>
          <w:sz w:val="20"/>
          <w:szCs w:val="20"/>
          <w:color w:val="auto"/>
        </w:rPr>
      </w:pPr>
      <w:r>
        <w:rPr>
          <w:rFonts w:ascii="Courier New" w:cs="Courier New" w:eastAsia="Courier New" w:hAnsi="Courier New"/>
          <w:sz w:val="16"/>
          <w:szCs w:val="16"/>
          <w:color w:val="auto"/>
        </w:rPr>
        <w:t>"Person" means any individual, corporation, partnership, limited liability company, joint venture, association, joint-stock company, trust, unincorporated organization or government or any agency or political subdivision thereof.</w:t>
      </w:r>
    </w:p>
    <w:p>
      <w:pPr>
        <w:spacing w:after="0" w:line="185" w:lineRule="exact"/>
        <w:rPr>
          <w:sz w:val="20"/>
          <w:szCs w:val="20"/>
          <w:color w:val="auto"/>
        </w:rPr>
      </w:pPr>
    </w:p>
    <w:p>
      <w:pPr>
        <w:ind w:left="5" w:right="2959" w:firstLine="1395"/>
        <w:spacing w:after="0" w:line="235" w:lineRule="auto"/>
        <w:rPr>
          <w:sz w:val="20"/>
          <w:szCs w:val="20"/>
          <w:color w:val="auto"/>
        </w:rPr>
      </w:pPr>
      <w:r>
        <w:rPr>
          <w:rFonts w:ascii="Courier New" w:cs="Courier New" w:eastAsia="Courier New" w:hAnsi="Courier New"/>
          <w:sz w:val="16"/>
          <w:szCs w:val="16"/>
          <w:color w:val="auto"/>
        </w:rPr>
        <w:t>"Place of Payment" means, when used with respect to the Securities of or within any series, the place or places where the principal of (and premium, if any) and interest, if any, on such Securities are payable as specified and as contemplated by Sections 301 and 1002.</w:t>
      </w:r>
    </w:p>
    <w:p>
      <w:pPr>
        <w:spacing w:after="0" w:line="185" w:lineRule="exact"/>
        <w:rPr>
          <w:sz w:val="20"/>
          <w:szCs w:val="20"/>
          <w:color w:val="auto"/>
        </w:rPr>
      </w:pPr>
    </w:p>
    <w:p>
      <w:pPr>
        <w:ind w:left="5" w:right="2779" w:firstLine="1395"/>
        <w:spacing w:after="0" w:line="236" w:lineRule="auto"/>
        <w:rPr>
          <w:sz w:val="20"/>
          <w:szCs w:val="20"/>
          <w:color w:val="auto"/>
        </w:rPr>
      </w:pPr>
      <w:r>
        <w:rPr>
          <w:rFonts w:ascii="Courier New" w:cs="Courier New" w:eastAsia="Courier New" w:hAnsi="Courier New"/>
          <w:sz w:val="16"/>
          <w:szCs w:val="16"/>
          <w:color w:val="auto"/>
        </w:rPr>
        <w:t>"Predecessor Security"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or a Security to which a mutilated, destroyed, lost or stolen coupon appertains shall be deemed to evidence the same debt as the mutilated, destroyed, lost or stolen Security or the Security to which the mutilated, destroyed, lost or stolen coupon appertains.</w:t>
      </w:r>
    </w:p>
    <w:p>
      <w:pPr>
        <w:spacing w:after="0" w:line="185" w:lineRule="exact"/>
        <w:rPr>
          <w:sz w:val="20"/>
          <w:szCs w:val="20"/>
          <w:color w:val="auto"/>
        </w:rPr>
      </w:pPr>
    </w:p>
    <w:p>
      <w:pPr>
        <w:jc w:val="both"/>
        <w:ind w:left="5" w:right="2959" w:firstLine="1395"/>
        <w:spacing w:after="0" w:line="235" w:lineRule="auto"/>
        <w:rPr>
          <w:sz w:val="20"/>
          <w:szCs w:val="20"/>
          <w:color w:val="auto"/>
        </w:rPr>
      </w:pPr>
      <w:r>
        <w:rPr>
          <w:rFonts w:ascii="Courier New" w:cs="Courier New" w:eastAsia="Courier New" w:hAnsi="Courier New"/>
          <w:sz w:val="16"/>
          <w:szCs w:val="16"/>
          <w:color w:val="auto"/>
        </w:rPr>
        <w:t>"Redemption Date", when used with respect to any Security to be redeemed, in whole or in part, means the date fixed for such redemption by or pursuant to this Indenture.</w:t>
      </w:r>
    </w:p>
    <w:p>
      <w:pPr>
        <w:spacing w:after="0" w:line="183" w:lineRule="exact"/>
        <w:rPr>
          <w:sz w:val="20"/>
          <w:szCs w:val="20"/>
          <w:color w:val="auto"/>
        </w:rPr>
      </w:pPr>
    </w:p>
    <w:p>
      <w:pPr>
        <w:ind w:left="5" w:right="2879" w:firstLine="1395"/>
        <w:spacing w:after="0" w:line="235" w:lineRule="auto"/>
        <w:rPr>
          <w:sz w:val="20"/>
          <w:szCs w:val="20"/>
          <w:color w:val="auto"/>
        </w:rPr>
      </w:pPr>
      <w:r>
        <w:rPr>
          <w:rFonts w:ascii="Courier New" w:cs="Courier New" w:eastAsia="Courier New" w:hAnsi="Courier New"/>
          <w:sz w:val="16"/>
          <w:szCs w:val="16"/>
          <w:color w:val="auto"/>
        </w:rPr>
        <w:t>"Redemption Price", when used with respect to any Security to be redeemed, means the price at which it is to be redeemed pursuant to this Indenture.</w:t>
      </w:r>
    </w:p>
    <w:p>
      <w:pPr>
        <w:spacing w:after="0" w:line="183" w:lineRule="exact"/>
        <w:rPr>
          <w:sz w:val="20"/>
          <w:szCs w:val="20"/>
          <w:color w:val="auto"/>
        </w:rPr>
      </w:pPr>
    </w:p>
    <w:p>
      <w:pPr>
        <w:ind w:left="5" w:right="3059" w:firstLine="1395"/>
        <w:spacing w:after="0" w:line="234" w:lineRule="auto"/>
        <w:rPr>
          <w:sz w:val="20"/>
          <w:szCs w:val="20"/>
          <w:color w:val="auto"/>
        </w:rPr>
      </w:pPr>
      <w:r>
        <w:rPr>
          <w:rFonts w:ascii="Courier New" w:cs="Courier New" w:eastAsia="Courier New" w:hAnsi="Courier New"/>
          <w:sz w:val="16"/>
          <w:szCs w:val="16"/>
          <w:color w:val="auto"/>
        </w:rPr>
        <w:t>"Registered Security" means any Security that is registered in the Security Register.</w:t>
      </w:r>
    </w:p>
    <w:p>
      <w:pPr>
        <w:spacing w:after="0" w:line="183" w:lineRule="exact"/>
        <w:rPr>
          <w:sz w:val="20"/>
          <w:szCs w:val="20"/>
          <w:color w:val="auto"/>
        </w:rPr>
      </w:pPr>
    </w:p>
    <w:p>
      <w:pPr>
        <w:ind w:left="5" w:right="2779" w:firstLine="1395"/>
        <w:spacing w:after="0" w:line="235" w:lineRule="auto"/>
        <w:rPr>
          <w:sz w:val="20"/>
          <w:szCs w:val="20"/>
          <w:color w:val="auto"/>
        </w:rPr>
      </w:pPr>
      <w:r>
        <w:rPr>
          <w:rFonts w:ascii="Courier New" w:cs="Courier New" w:eastAsia="Courier New" w:hAnsi="Courier New"/>
          <w:sz w:val="16"/>
          <w:szCs w:val="16"/>
          <w:color w:val="auto"/>
        </w:rPr>
        <w:t>"Regular Record Date" for the interest payable on any Interest Payment Date on the Registered Securities of or within any series means the date specified for that purpose as contemplated by Section 301, whether or not a Business Day.</w:t>
      </w:r>
    </w:p>
    <w:p>
      <w:pPr>
        <w:spacing w:after="0" w:line="35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24"/>
          </w:cols>
          <w:pgMar w:left="235" w:top="654" w:right="1440" w:bottom="1440" w:gutter="0" w:footer="0" w:header="0"/>
        </w:sectPr>
      </w:pPr>
    </w:p>
    <w:bookmarkStart w:id="88" w:name="page89"/>
    <w:bookmarkEnd w:id="88"/>
    <w:p>
      <w:pPr>
        <w:ind w:right="2779" w:firstLine="1395"/>
        <w:spacing w:after="0" w:line="235" w:lineRule="auto"/>
        <w:rPr>
          <w:sz w:val="20"/>
          <w:szCs w:val="20"/>
          <w:color w:val="auto"/>
        </w:rPr>
      </w:pPr>
      <w:r>
        <w:rPr>
          <w:rFonts w:ascii="Courier New" w:cs="Courier New" w:eastAsia="Courier New" w:hAnsi="Courier New"/>
          <w:sz w:val="16"/>
          <w:szCs w:val="16"/>
          <w:color w:val="auto"/>
        </w:rPr>
        <w:t>"Repayment Date" means, when used with respect to any Security to be repaid at the option of the Holder, the date fixed for such repayment by or pursuant to this Indenture.</w:t>
      </w:r>
    </w:p>
    <w:p>
      <w:pPr>
        <w:spacing w:after="0" w:line="183" w:lineRule="exact"/>
        <w:rPr>
          <w:sz w:val="20"/>
          <w:szCs w:val="20"/>
          <w:color w:val="auto"/>
        </w:rPr>
      </w:pPr>
    </w:p>
    <w:p>
      <w:pPr>
        <w:ind w:right="2879" w:firstLine="1395"/>
        <w:spacing w:after="0" w:line="235" w:lineRule="auto"/>
        <w:rPr>
          <w:sz w:val="20"/>
          <w:szCs w:val="20"/>
          <w:color w:val="auto"/>
        </w:rPr>
      </w:pPr>
      <w:r>
        <w:rPr>
          <w:rFonts w:ascii="Courier New" w:cs="Courier New" w:eastAsia="Courier New" w:hAnsi="Courier New"/>
          <w:sz w:val="16"/>
          <w:szCs w:val="16"/>
          <w:color w:val="auto"/>
        </w:rPr>
        <w:t>"Repayment Price" means, when used with respect to any Security to be repaid at the option of the Holder, the price at which it is to be repaid by or pursuant to this Indenture.</w:t>
      </w:r>
    </w:p>
    <w:p>
      <w:pPr>
        <w:spacing w:after="0" w:line="183" w:lineRule="exact"/>
        <w:rPr>
          <w:sz w:val="20"/>
          <w:szCs w:val="20"/>
          <w:color w:val="auto"/>
        </w:rPr>
      </w:pPr>
    </w:p>
    <w:p>
      <w:pPr>
        <w:ind w:right="2879" w:firstLine="1395"/>
        <w:spacing w:after="0" w:line="236" w:lineRule="auto"/>
        <w:rPr>
          <w:sz w:val="20"/>
          <w:szCs w:val="20"/>
          <w:color w:val="auto"/>
        </w:rPr>
      </w:pPr>
      <w:r>
        <w:rPr>
          <w:rFonts w:ascii="Courier New" w:cs="Courier New" w:eastAsia="Courier New" w:hAnsi="Courier New"/>
          <w:sz w:val="16"/>
          <w:szCs w:val="16"/>
          <w:color w:val="auto"/>
        </w:rPr>
        <w:t>"Responsible Officer" shall mean, when used with respect to the Trustee, any officer within the corporate trust department of the Trustee, including any vice president, assistant vice president, assistant treasurer, trust officer or any other officer of the Trustee who customarily performs functions similar to those performed by the Persons who at the time shall be such officers, respectively, or to whom any corporate trust matter is referred because of such person's knowledge of and familiarity with the particular subject and who shall have direct responsibility for the administration of this Indenture.</w:t>
      </w:r>
    </w:p>
    <w:p>
      <w:pPr>
        <w:spacing w:after="0" w:line="185" w:lineRule="exact"/>
        <w:rPr>
          <w:sz w:val="20"/>
          <w:szCs w:val="20"/>
          <w:color w:val="auto"/>
        </w:rPr>
      </w:pPr>
    </w:p>
    <w:p>
      <w:pPr>
        <w:ind w:right="2779" w:firstLine="1395"/>
        <w:spacing w:after="0" w:line="236" w:lineRule="auto"/>
        <w:rPr>
          <w:sz w:val="20"/>
          <w:szCs w:val="20"/>
          <w:color w:val="auto"/>
        </w:rPr>
      </w:pPr>
      <w:r>
        <w:rPr>
          <w:rFonts w:ascii="Courier New" w:cs="Courier New" w:eastAsia="Courier New" w:hAnsi="Courier New"/>
          <w:sz w:val="16"/>
          <w:szCs w:val="16"/>
          <w:color w:val="auto"/>
        </w:rPr>
        <w:t>"Security" or "Securities" has the meaning stated in the first recital of this Indenture and, more particularly, means any Security or Securities authenticated and delivered under this Indenture; provided, that, if at any time there is more than one Person acting as Trustee under this Indenture, "Securities" with respect to the Indenture as to which such Person is Trustee shall have the meaning stated in the first recital of this Indenture and shall more particularly mean Securities authenticated and delivered under this Indenture, exclusive, however, of Securities of any series as to which such Person is not Trustee.</w:t>
      </w:r>
    </w:p>
    <w:p>
      <w:pPr>
        <w:spacing w:after="0" w:line="185" w:lineRule="exact"/>
        <w:rPr>
          <w:sz w:val="20"/>
          <w:szCs w:val="20"/>
          <w:color w:val="auto"/>
        </w:rPr>
      </w:pPr>
    </w:p>
    <w:p>
      <w:pPr>
        <w:ind w:right="2879" w:firstLine="1395"/>
        <w:spacing w:after="0" w:line="234" w:lineRule="auto"/>
        <w:rPr>
          <w:sz w:val="20"/>
          <w:szCs w:val="20"/>
          <w:color w:val="auto"/>
        </w:rPr>
      </w:pPr>
      <w:r>
        <w:rPr>
          <w:rFonts w:ascii="Courier New" w:cs="Courier New" w:eastAsia="Courier New" w:hAnsi="Courier New"/>
          <w:sz w:val="16"/>
          <w:szCs w:val="16"/>
          <w:color w:val="auto"/>
        </w:rPr>
        <w:t>"Security Register" and "Security Registrar" have the respective meanings specified in Section 305.</w:t>
      </w:r>
    </w:p>
    <w:p>
      <w:pPr>
        <w:spacing w:after="0" w:line="183" w:lineRule="exact"/>
        <w:rPr>
          <w:sz w:val="20"/>
          <w:szCs w:val="20"/>
          <w:color w:val="auto"/>
        </w:rPr>
      </w:pPr>
    </w:p>
    <w:p>
      <w:pPr>
        <w:jc w:val="both"/>
        <w:ind w:right="2959" w:firstLine="1395"/>
        <w:spacing w:after="0" w:line="235" w:lineRule="auto"/>
        <w:rPr>
          <w:sz w:val="20"/>
          <w:szCs w:val="20"/>
          <w:color w:val="auto"/>
        </w:rPr>
      </w:pPr>
      <w:r>
        <w:rPr>
          <w:rFonts w:ascii="Courier New" w:cs="Courier New" w:eastAsia="Courier New" w:hAnsi="Courier New"/>
          <w:sz w:val="16"/>
          <w:szCs w:val="16"/>
          <w:color w:val="auto"/>
        </w:rPr>
        <w:t>"Special Record Date" for the payment of any Defaulted Interest on the Registered Securities of or within any series means a date fixed by the Trustee pursuant to Section 307.</w:t>
      </w:r>
    </w:p>
    <w:p>
      <w:pPr>
        <w:spacing w:after="0" w:line="183" w:lineRule="exact"/>
        <w:rPr>
          <w:sz w:val="20"/>
          <w:szCs w:val="20"/>
          <w:color w:val="auto"/>
        </w:rPr>
      </w:pPr>
    </w:p>
    <w:p>
      <w:pPr>
        <w:ind w:right="2879" w:firstLine="1395"/>
        <w:spacing w:after="0" w:line="236" w:lineRule="auto"/>
        <w:rPr>
          <w:sz w:val="20"/>
          <w:szCs w:val="20"/>
          <w:color w:val="auto"/>
        </w:rPr>
      </w:pPr>
      <w:r>
        <w:rPr>
          <w:rFonts w:ascii="Courier New" w:cs="Courier New" w:eastAsia="Courier New" w:hAnsi="Courier New"/>
          <w:sz w:val="16"/>
          <w:szCs w:val="16"/>
          <w:color w:val="auto"/>
        </w:rPr>
        <w:t>"Stated Maturity", when used with respect to any Security or any installment of principal thereof or interest thereon, means the date specified in such Security or a coupon representing such installment of interest as the fixed date on which the principal of such Security or such installment of principal or interest is due and payable, as such date may be extended pursuant to the provisions of Section 308.</w:t>
      </w:r>
    </w:p>
    <w:p>
      <w:pPr>
        <w:spacing w:after="0" w:line="183" w:lineRule="exact"/>
        <w:rPr>
          <w:sz w:val="20"/>
          <w:szCs w:val="20"/>
          <w:color w:val="auto"/>
        </w:rPr>
      </w:pPr>
    </w:p>
    <w:p>
      <w:pPr>
        <w:jc w:val="both"/>
        <w:ind w:right="3439" w:firstLine="1395"/>
        <w:spacing w:after="0" w:line="283" w:lineRule="auto"/>
        <w:rPr>
          <w:sz w:val="20"/>
          <w:szCs w:val="20"/>
          <w:color w:val="auto"/>
        </w:rPr>
      </w:pPr>
      <w:r>
        <w:rPr>
          <w:rFonts w:ascii="Courier New" w:cs="Courier New" w:eastAsia="Courier New" w:hAnsi="Courier New"/>
          <w:sz w:val="14"/>
          <w:szCs w:val="14"/>
          <w:color w:val="auto"/>
        </w:rPr>
        <w:t>"Subsidiary" means any corporation of which at the time of determination the Company, directly and/or indirectly through one or more Subsidiaries, owns more than 50% of the shares of Voting Stock.</w:t>
      </w:r>
    </w:p>
    <w:p>
      <w:pPr>
        <w:spacing w:after="0" w:line="155" w:lineRule="exact"/>
        <w:rPr>
          <w:sz w:val="20"/>
          <w:szCs w:val="20"/>
          <w:color w:val="auto"/>
        </w:rPr>
      </w:pPr>
    </w:p>
    <w:p>
      <w:pPr>
        <w:ind w:right="2879" w:firstLine="1395"/>
        <w:spacing w:after="0" w:line="235" w:lineRule="auto"/>
        <w:rPr>
          <w:sz w:val="20"/>
          <w:szCs w:val="20"/>
          <w:color w:val="auto"/>
        </w:rPr>
      </w:pPr>
      <w:r>
        <w:rPr>
          <w:rFonts w:ascii="Courier New" w:cs="Courier New" w:eastAsia="Courier New" w:hAnsi="Courier New"/>
          <w:sz w:val="16"/>
          <w:szCs w:val="16"/>
          <w:color w:val="auto"/>
        </w:rPr>
        <w:t>"Trust Indenture Act" or "TIA" means the Trust Indenture Act of 1939 as in force at the date as of which this Indenture was executed, except as provided in Section 905.</w:t>
      </w:r>
    </w:p>
    <w:p>
      <w:pPr>
        <w:spacing w:after="0" w:line="183" w:lineRule="exact"/>
        <w:rPr>
          <w:sz w:val="20"/>
          <w:szCs w:val="20"/>
          <w:color w:val="auto"/>
        </w:rPr>
      </w:pPr>
    </w:p>
    <w:p>
      <w:pPr>
        <w:ind w:right="2959" w:firstLine="1395"/>
        <w:spacing w:after="0" w:line="236" w:lineRule="auto"/>
        <w:rPr>
          <w:sz w:val="20"/>
          <w:szCs w:val="20"/>
          <w:color w:val="auto"/>
        </w:rPr>
      </w:pPr>
      <w:r>
        <w:rPr>
          <w:rFonts w:ascii="Courier New" w:cs="Courier New" w:eastAsia="Courier New" w:hAnsi="Courier New"/>
          <w:sz w:val="16"/>
          <w:szCs w:val="16"/>
          <w:color w:val="auto"/>
        </w:rPr>
        <w:t>"Trustee" means the Person named as the "Trustee" in the first paragraph of this Indenture until a successor Trustee shall have become such pursuant to the applicable provisions of this Indenture, and thereafter "Trustee" shall mean or include each Person who is then a Trustee hereunder; provided, that if at any time there is more than one such Person, "Trustee" as used with respect to the Securities of any series shall mean only the Trustee with respect to Securities of that series.</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54" w:right="1440" w:bottom="1440" w:gutter="0" w:footer="0" w:header="0"/>
        </w:sectPr>
      </w:pPr>
    </w:p>
    <w:bookmarkStart w:id="89" w:name="page90"/>
    <w:bookmarkEnd w:id="89"/>
    <w:p>
      <w:pPr>
        <w:ind w:right="2779" w:firstLine="1395"/>
        <w:spacing w:after="0" w:line="235" w:lineRule="auto"/>
        <w:rPr>
          <w:sz w:val="20"/>
          <w:szCs w:val="20"/>
          <w:color w:val="auto"/>
        </w:rPr>
      </w:pPr>
      <w:r>
        <w:rPr>
          <w:rFonts w:ascii="Courier New" w:cs="Courier New" w:eastAsia="Courier New" w:hAnsi="Courier New"/>
          <w:sz w:val="16"/>
          <w:szCs w:val="16"/>
          <w:color w:val="auto"/>
        </w:rPr>
        <w:t>"United States" means, unless otherwise specified with respect to any Securities pursuant to Section 301, the United States of America (including the states and the District of Columbia), its territories, its possessions and other areas subject to its jurisdiction.</w:t>
      </w:r>
    </w:p>
    <w:p>
      <w:pPr>
        <w:spacing w:after="0" w:line="185" w:lineRule="exact"/>
        <w:rPr>
          <w:sz w:val="20"/>
          <w:szCs w:val="20"/>
          <w:color w:val="auto"/>
        </w:rPr>
      </w:pPr>
    </w:p>
    <w:p>
      <w:pPr>
        <w:ind w:right="2959" w:firstLine="1395"/>
        <w:spacing w:after="0" w:line="274" w:lineRule="auto"/>
        <w:rPr>
          <w:sz w:val="20"/>
          <w:szCs w:val="20"/>
          <w:color w:val="auto"/>
        </w:rPr>
      </w:pPr>
      <w:r>
        <w:rPr>
          <w:rFonts w:ascii="Courier New" w:cs="Courier New" w:eastAsia="Courier New" w:hAnsi="Courier New"/>
          <w:sz w:val="14"/>
          <w:szCs w:val="14"/>
          <w:color w:val="auto"/>
        </w:rPr>
        <w:t>"United States Person" means, unless otherwise specified with respect to any Securities pursuant to Section 301, an individual who is a citizen or resident of the United States, a corporation, partnership or other entity created or organized in or under the laws of the United States or an estate the income of which is subject to United States federal income taxation regardless of its source or a trust whose administration is subject to the primary supervision of a United States court and which has one or more United States persons who have the authority to control all of its decisions.</w:t>
      </w:r>
    </w:p>
    <w:p>
      <w:pPr>
        <w:spacing w:after="0" w:line="155"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"Valuation Date" has the meaning specified in Section 312(c).</w:t>
      </w:r>
    </w:p>
    <w:p>
      <w:pPr>
        <w:spacing w:after="0" w:line="183" w:lineRule="exact"/>
        <w:rPr>
          <w:sz w:val="20"/>
          <w:szCs w:val="20"/>
          <w:color w:val="auto"/>
        </w:rPr>
      </w:pPr>
    </w:p>
    <w:p>
      <w:pPr>
        <w:jc w:val="both"/>
        <w:ind w:right="3059" w:firstLine="1395"/>
        <w:spacing w:after="0" w:line="283" w:lineRule="auto"/>
        <w:rPr>
          <w:sz w:val="20"/>
          <w:szCs w:val="20"/>
          <w:color w:val="auto"/>
        </w:rPr>
      </w:pPr>
      <w:r>
        <w:rPr>
          <w:rFonts w:ascii="Courier New" w:cs="Courier New" w:eastAsia="Courier New" w:hAnsi="Courier New"/>
          <w:sz w:val="14"/>
          <w:szCs w:val="14"/>
          <w:color w:val="auto"/>
        </w:rPr>
        <w:t>"Vice President" when used with respect to the Company or the Trustee, means any vice president, whether or not designated by a number or a word or words added before or after the title "vice president".</w:t>
      </w:r>
    </w:p>
    <w:p>
      <w:pPr>
        <w:spacing w:after="0" w:line="155" w:lineRule="exact"/>
        <w:rPr>
          <w:sz w:val="20"/>
          <w:szCs w:val="20"/>
          <w:color w:val="auto"/>
        </w:rPr>
      </w:pPr>
    </w:p>
    <w:p>
      <w:pPr>
        <w:ind w:right="2779" w:firstLine="1395"/>
        <w:spacing w:after="0" w:line="276" w:lineRule="auto"/>
        <w:rPr>
          <w:sz w:val="20"/>
          <w:szCs w:val="20"/>
          <w:color w:val="auto"/>
        </w:rPr>
      </w:pPr>
      <w:r>
        <w:rPr>
          <w:rFonts w:ascii="Courier New" w:cs="Courier New" w:eastAsia="Courier New" w:hAnsi="Courier New"/>
          <w:sz w:val="14"/>
          <w:szCs w:val="14"/>
          <w:color w:val="auto"/>
        </w:rPr>
        <w:t>"Voting Stock" means stock of the class or classes having general voting power under ordinary circumstances to elect at least a majority of the board of directors, managers or trustees of a corporation (irrespective of whether or not at the time stock of any other class or classes shall have or might have voting power by reason of the happening of any contingency).</w:t>
      </w:r>
    </w:p>
    <w:p>
      <w:pPr>
        <w:spacing w:after="0" w:line="161" w:lineRule="exact"/>
        <w:rPr>
          <w:sz w:val="20"/>
          <w:szCs w:val="20"/>
          <w:color w:val="auto"/>
        </w:rPr>
      </w:pPr>
    </w:p>
    <w:p>
      <w:pPr>
        <w:ind w:right="2879" w:firstLine="1395"/>
        <w:spacing w:after="0" w:line="235" w:lineRule="auto"/>
        <w:rPr>
          <w:sz w:val="20"/>
          <w:szCs w:val="20"/>
          <w:color w:val="auto"/>
        </w:rPr>
      </w:pPr>
      <w:r>
        <w:rPr>
          <w:rFonts w:ascii="Courier New" w:cs="Courier New" w:eastAsia="Courier New" w:hAnsi="Courier New"/>
          <w:sz w:val="16"/>
          <w:szCs w:val="16"/>
          <w:color w:val="auto"/>
        </w:rPr>
        <w:t>"Yield to Maturity" means the yield to maturity, computed at the time of issuance of a Security (or, if applicable, at the most recent redetermination of interest on such Security) and as set forth in such Security in accordance with generally accepted United States bond yield computation principles.</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102. Compliance Certificates and Opinions</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1391"/>
        <w:spacing w:after="0" w:line="236" w:lineRule="auto"/>
        <w:tabs>
          <w:tab w:leader="none" w:pos="1767"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any application or request by the Company to the Trustee to take any action under any provision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185" w:lineRule="exact"/>
        <w:rPr>
          <w:rFonts w:ascii="Courier New" w:cs="Courier New" w:eastAsia="Courier New" w:hAnsi="Courier New"/>
          <w:sz w:val="16"/>
          <w:szCs w:val="16"/>
          <w:color w:val="auto"/>
        </w:rPr>
      </w:pPr>
    </w:p>
    <w:p>
      <w:pPr>
        <w:ind w:right="2879" w:firstLine="1391"/>
        <w:spacing w:after="0" w:line="235" w:lineRule="auto"/>
        <w:tabs>
          <w:tab w:leader="none" w:pos="1767"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Every certificate or opinion with respect to compliance with a condition or covenant provided for in this Indenture (other than pursuant to Section 1006) shall include:</w:t>
      </w:r>
    </w:p>
    <w:p>
      <w:pPr>
        <w:spacing w:after="0" w:line="183" w:lineRule="exact"/>
        <w:rPr>
          <w:rFonts w:ascii="Courier New" w:cs="Courier New" w:eastAsia="Courier New" w:hAnsi="Courier New"/>
          <w:sz w:val="16"/>
          <w:szCs w:val="16"/>
          <w:color w:val="auto"/>
        </w:rPr>
      </w:pPr>
    </w:p>
    <w:p>
      <w:pPr>
        <w:ind w:left="1400" w:right="3059" w:firstLine="456"/>
        <w:spacing w:after="0" w:line="235" w:lineRule="auto"/>
        <w:tabs>
          <w:tab w:leader="none" w:pos="2237" w:val="left"/>
        </w:tabs>
        <w:numPr>
          <w:ilvl w:val="1"/>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statement that each individual signing such certificate or opinion has read such condition or covenant and the definitions herein relating thereto;</w:t>
      </w:r>
    </w:p>
    <w:p>
      <w:pPr>
        <w:spacing w:after="0" w:line="183" w:lineRule="exact"/>
        <w:rPr>
          <w:rFonts w:ascii="Courier New" w:cs="Courier New" w:eastAsia="Courier New" w:hAnsi="Courier New"/>
          <w:sz w:val="16"/>
          <w:szCs w:val="16"/>
          <w:color w:val="auto"/>
        </w:rPr>
      </w:pPr>
    </w:p>
    <w:p>
      <w:pPr>
        <w:ind w:left="1400" w:right="3239" w:firstLine="456"/>
        <w:spacing w:after="0" w:line="283" w:lineRule="auto"/>
        <w:tabs>
          <w:tab w:leader="none" w:pos="2237" w:val="left"/>
        </w:tabs>
        <w:numPr>
          <w:ilvl w:val="1"/>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brief statement as to the nature and scope of the examination or investigation upon which the statements or opinions contained in such certificate or opinion are based;</w:t>
      </w:r>
    </w:p>
    <w:p>
      <w:pPr>
        <w:spacing w:after="0" w:line="32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54" w:right="1440" w:bottom="1440" w:gutter="0" w:footer="0" w:header="0"/>
        </w:sectPr>
      </w:pPr>
    </w:p>
    <w:bookmarkStart w:id="90" w:name="page91"/>
    <w:bookmarkEnd w:id="90"/>
    <w:p>
      <w:pPr>
        <w:ind w:left="1760" w:hanging="364"/>
        <w:spacing w:after="0"/>
        <w:tabs>
          <w:tab w:leader="none" w:pos="176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statement that, in the opinion of each such</w:t>
      </w:r>
    </w:p>
    <w:p>
      <w:pPr>
        <w:spacing w:after="0" w:line="3" w:lineRule="exact"/>
        <w:rPr>
          <w:rFonts w:ascii="Courier New" w:cs="Courier New" w:eastAsia="Courier New" w:hAnsi="Courier New"/>
          <w:sz w:val="16"/>
          <w:szCs w:val="16"/>
          <w:color w:val="auto"/>
        </w:rPr>
      </w:pPr>
    </w:p>
    <w:p>
      <w:pPr>
        <w:ind w:left="940" w:right="277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individual, he has made such examination or investigation as is necessary to enable him to express an informed opinion as to whether or not such condition or covenant has been complied with; and</w:t>
      </w:r>
    </w:p>
    <w:p>
      <w:pPr>
        <w:spacing w:after="0" w:line="184" w:lineRule="exact"/>
        <w:rPr>
          <w:rFonts w:ascii="Courier New" w:cs="Courier New" w:eastAsia="Courier New" w:hAnsi="Courier New"/>
          <w:sz w:val="16"/>
          <w:szCs w:val="16"/>
          <w:color w:val="auto"/>
        </w:rPr>
      </w:pPr>
    </w:p>
    <w:p>
      <w:pPr>
        <w:ind w:left="940" w:right="2959" w:firstLine="456"/>
        <w:spacing w:after="0" w:line="295" w:lineRule="auto"/>
        <w:tabs>
          <w:tab w:leader="none" w:pos="1777"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as to whether, in the opinion of each such individual, such condition or covenant has been complied with.</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103. Form of Documents Delivered to Trustee</w:t>
      </w:r>
    </w:p>
    <w:p>
      <w:pPr>
        <w:ind w:left="120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460" w:right="2879" w:firstLine="1391"/>
        <w:spacing w:after="0" w:line="236" w:lineRule="auto"/>
        <w:tabs>
          <w:tab w:leader="none" w:pos="1307"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as to some matters and one or more other such Persons as to other matters, and any such Person may certify or give an opinion with respect to such matters in one or several documents.</w:t>
      </w:r>
    </w:p>
    <w:p>
      <w:pPr>
        <w:spacing w:after="0" w:line="184" w:lineRule="exact"/>
        <w:rPr>
          <w:rFonts w:ascii="Courier New" w:cs="Courier New" w:eastAsia="Courier New" w:hAnsi="Courier New"/>
          <w:sz w:val="16"/>
          <w:szCs w:val="16"/>
          <w:color w:val="auto"/>
        </w:rPr>
      </w:pPr>
    </w:p>
    <w:p>
      <w:pPr>
        <w:ind w:left="-460" w:right="2779" w:firstLine="1391"/>
        <w:spacing w:after="0" w:line="236" w:lineRule="auto"/>
        <w:tabs>
          <w:tab w:leader="none" w:pos="1307"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certificate or opinion of an officer of the Company may be based, insofar as it relates to legal matters, upon an Opinion of Counsel, or a certificate or representations by counsel, unless such officer knows, or in the exercise of reasonable care should know, that the opinion, certificate or representations with respect to the matters upon which his certificate or opinion is based are erroneous. Any such Opinion of Counsel or certificate or representations may be based, insofar as it relates to factual matters, upon a certificate or opinion of, or representations by, an officer or officers of the Company stating that the information as to such factual matters is in the possession of the Company unless such counsel knows, or in the exercise of reasonable care should know, that the certificate or opinion or representations with respect to such matters are erroneous.</w:t>
      </w:r>
    </w:p>
    <w:p>
      <w:pPr>
        <w:spacing w:after="0" w:line="186" w:lineRule="exact"/>
        <w:rPr>
          <w:rFonts w:ascii="Courier New" w:cs="Courier New" w:eastAsia="Courier New" w:hAnsi="Courier New"/>
          <w:sz w:val="16"/>
          <w:szCs w:val="16"/>
          <w:color w:val="auto"/>
        </w:rPr>
      </w:pPr>
    </w:p>
    <w:p>
      <w:pPr>
        <w:ind w:left="-460" w:right="2879" w:firstLine="1391"/>
        <w:spacing w:after="0" w:line="235" w:lineRule="auto"/>
        <w:tabs>
          <w:tab w:leader="none" w:pos="1307"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104. Acts of Holders</w:t>
      </w:r>
    </w:p>
    <w:p>
      <w:pPr>
        <w:ind w:left="120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460" w:right="2779" w:firstLine="1391"/>
        <w:spacing w:after="0" w:line="272" w:lineRule="auto"/>
        <w:tabs>
          <w:tab w:leader="none" w:pos="1307"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request, demand, authorization, direction, notice, consent, waiver or other action provided by this Indenture to be given or taken by Holders of the Outstanding Securities of all series or one or more series, as the case may be, may be embodied in and evidenced by one or more instruments of substantially similar tenor signed (which may be electronically signed) by such Holders in person or by agents duly appointed in writing. If Securities of a series are issuable as Bearer Securities, any request, demand, authorization, direction, notice, consent, waiver or other action provided by this Indenture to be given or taken by Holders of Securities of such series may, alternatively, be embodied in and evidenced by the record of Holders of Securities of such series voting in favor thereof, either in person or by proxies duly appointed in writing, at any meeting of Holders of Securities of such series duly called and held in accordance with the provisions of Article Fifteen, or a combination of such instruments and any such record. Except as herein otherwise expressly provided, such action shall become effective when such instrument or instruments</w:t>
      </w:r>
    </w:p>
    <w:p>
      <w:pPr>
        <w:spacing w:after="0" w:line="200" w:lineRule="exact"/>
        <w:rPr>
          <w:sz w:val="20"/>
          <w:szCs w:val="20"/>
          <w:color w:val="auto"/>
        </w:rPr>
      </w:pPr>
    </w:p>
    <w:p>
      <w:pPr>
        <w:spacing w:after="0" w:line="319"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9759"/>
          </w:cols>
          <w:pgMar w:left="700" w:top="648" w:right="1440" w:bottom="1440" w:gutter="0" w:footer="0" w:header="0"/>
        </w:sectPr>
      </w:pPr>
    </w:p>
    <w:bookmarkStart w:id="91" w:name="page92"/>
    <w:bookmarkEnd w:id="91"/>
    <w:p>
      <w:pPr>
        <w:ind w:left="5" w:right="2779"/>
        <w:spacing w:after="0" w:line="236" w:lineRule="auto"/>
        <w:rPr>
          <w:sz w:val="20"/>
          <w:szCs w:val="20"/>
          <w:color w:val="auto"/>
        </w:rPr>
      </w:pPr>
      <w:r>
        <w:rPr>
          <w:rFonts w:ascii="Courier New" w:cs="Courier New" w:eastAsia="Courier New" w:hAnsi="Courier New"/>
          <w:sz w:val="16"/>
          <w:szCs w:val="16"/>
          <w:color w:val="auto"/>
        </w:rPr>
        <w:t>or record or both are delivered to the Trustee and, where it is hereby expressly required, to the Company. Such instrument or instruments and any such record (and the action embodied therein and evidenced thereby) are herein sometimes referred to as the "Act" of the Holders signing such instrument or instruments or so voting at any such meeting. Proof of execution of any such instrument or of a writing appointing any such agent, or of the holding by any Person of a Security, shall be sufficient for any purpose of this Indenture and conclusive in favor of the Trustee and the Company and any agent of the Trustee or the Company, if made in the manner provided in this Section. The record of any meeting of Holders of Securities shall be proved in the manner provided in Section 1506.</w:t>
      </w:r>
    </w:p>
    <w:p>
      <w:pPr>
        <w:spacing w:after="0" w:line="186" w:lineRule="exact"/>
        <w:rPr>
          <w:sz w:val="20"/>
          <w:szCs w:val="20"/>
          <w:color w:val="auto"/>
        </w:rPr>
      </w:pPr>
    </w:p>
    <w:p>
      <w:pPr>
        <w:ind w:left="5" w:right="2779" w:firstLine="1391"/>
        <w:spacing w:after="0" w:line="273" w:lineRule="auto"/>
        <w:tabs>
          <w:tab w:leader="none" w:pos="1772"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authority. The fact and date of the execution of any such instrument or writing, or the authority of the Person executing the same, may also be proved in any other manner which the Trustee deems reasonably sufficient.</w:t>
      </w:r>
    </w:p>
    <w:p>
      <w:pPr>
        <w:spacing w:after="0" w:line="344" w:lineRule="exact"/>
        <w:rPr>
          <w:rFonts w:ascii="Courier New" w:cs="Courier New" w:eastAsia="Courier New" w:hAnsi="Courier New"/>
          <w:sz w:val="14"/>
          <w:szCs w:val="14"/>
          <w:color w:val="auto"/>
        </w:rPr>
      </w:pPr>
    </w:p>
    <w:p>
      <w:pPr>
        <w:ind w:left="5" w:right="2779" w:firstLine="1391"/>
        <w:spacing w:after="0" w:line="235" w:lineRule="auto"/>
        <w:tabs>
          <w:tab w:leader="none" w:pos="1772" w:val="left"/>
        </w:tabs>
        <w:numPr>
          <w:ilvl w:val="1"/>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amount and serial numbers of Registered Securities held by any Person, and the date of holding the same, shall be proved by the Security Register.</w:t>
      </w:r>
    </w:p>
    <w:p>
      <w:pPr>
        <w:spacing w:after="0" w:line="183" w:lineRule="exact"/>
        <w:rPr>
          <w:rFonts w:ascii="Courier New" w:cs="Courier New" w:eastAsia="Courier New" w:hAnsi="Courier New"/>
          <w:sz w:val="16"/>
          <w:szCs w:val="16"/>
          <w:color w:val="auto"/>
        </w:rPr>
      </w:pPr>
    </w:p>
    <w:p>
      <w:pPr>
        <w:ind w:left="5" w:right="2779" w:firstLine="1391"/>
        <w:spacing w:after="0" w:line="272" w:lineRule="auto"/>
        <w:tabs>
          <w:tab w:leader="none" w:pos="1772"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amount and serial numbers of Bearer Securities held by any Person, and the date of holding the same, may be proved by the production of such Bearer Securities or by a certificate executed, as depositary, by any trust company, bank, banker or other depositary, wherever situated, if such certificate shall be deemed by the Trustee to be satisfactory, showing that at the date therein mentioned such Person had on deposit with such depositary, or exhibited to it, the Bearer Securities therein described; or such facts may be proved by the certificate or affidavit of the Person holding such Bearer Securities, if such certificate or affidavit is deemed by the Trustee to be satisfactory. The Trustee and the Company may assume that such ownership of any Bearer Security continues until (1) another certificate or affidavit bearing a later date issued in respect of the same Bearer Security is produced, or (2) such Bearer Security is produced to the Trustee by some other Person, or (3) such Bearer Security is surrendered in exchange for a Registered Security, or</w:t>
      </w:r>
    </w:p>
    <w:p>
      <w:pPr>
        <w:spacing w:after="0" w:line="164" w:lineRule="exact"/>
        <w:rPr>
          <w:rFonts w:ascii="Courier New" w:cs="Courier New" w:eastAsia="Courier New" w:hAnsi="Courier New"/>
          <w:sz w:val="14"/>
          <w:szCs w:val="14"/>
          <w:color w:val="auto"/>
        </w:rPr>
      </w:pPr>
    </w:p>
    <w:p>
      <w:pPr>
        <w:ind w:left="365" w:hanging="365"/>
        <w:spacing w:after="0" w:line="236" w:lineRule="auto"/>
        <w:tabs>
          <w:tab w:leader="none" w:pos="365"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Bearer Security is no longer Outstanding. The principal amount and</w:t>
      </w:r>
    </w:p>
    <w:p>
      <w:pPr>
        <w:spacing w:after="0" w:line="4" w:lineRule="exact"/>
        <w:rPr>
          <w:rFonts w:ascii="Courier New" w:cs="Courier New" w:eastAsia="Courier New" w:hAnsi="Courier New"/>
          <w:sz w:val="16"/>
          <w:szCs w:val="16"/>
          <w:color w:val="auto"/>
        </w:rPr>
      </w:pPr>
    </w:p>
    <w:p>
      <w:pPr>
        <w:ind w:left="5" w:right="287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serial numbers of Bearer Securities held by any Person, and the date of holding the same, may also be proved in any other manner that the Trustee deems sufficient.</w:t>
      </w:r>
    </w:p>
    <w:p>
      <w:pPr>
        <w:spacing w:after="0" w:line="183" w:lineRule="exact"/>
        <w:rPr>
          <w:rFonts w:ascii="Courier New" w:cs="Courier New" w:eastAsia="Courier New" w:hAnsi="Courier New"/>
          <w:sz w:val="16"/>
          <w:szCs w:val="16"/>
          <w:color w:val="auto"/>
        </w:rPr>
      </w:pPr>
    </w:p>
    <w:p>
      <w:pPr>
        <w:ind w:left="5" w:right="2779" w:firstLine="1391"/>
        <w:spacing w:after="0" w:line="272" w:lineRule="auto"/>
        <w:tabs>
          <w:tab w:leader="none" w:pos="1772" w:val="left"/>
        </w:tabs>
        <w:numPr>
          <w:ilvl w:val="1"/>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shall solicit from the Holders of Registered Securities any request, demand, authorization, direction, notice, consent, waiver or other Act, the Company may, at its option, in or pursuant to a Board Resolution, fix in advance a record date for the determination of Holders entitled to give such request, demand, authorization, direction, notice, consent, waiver or other Act, but the Company shall have no obligation to do so. Notwithstanding TIA Section 316(c), such record date shall be the record date specified in or pursuant to such Board Resolution, which shall be a date not earlier than the date 30 days prior to the first solicitation of Holders generally in connection therewith and not later than the date such solicitation is completed.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w:t>
      </w:r>
    </w:p>
    <w:p>
      <w:pPr>
        <w:spacing w:after="0" w:line="200" w:lineRule="exact"/>
        <w:rPr>
          <w:sz w:val="20"/>
          <w:szCs w:val="20"/>
          <w:color w:val="auto"/>
        </w:rPr>
      </w:pPr>
    </w:p>
    <w:p>
      <w:pPr>
        <w:spacing w:after="0" w:line="320"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24"/>
          </w:cols>
          <w:pgMar w:left="235" w:top="654" w:right="1440" w:bottom="1440" w:gutter="0" w:footer="0" w:header="0"/>
        </w:sectPr>
      </w:pPr>
    </w:p>
    <w:bookmarkStart w:id="92" w:name="page93"/>
    <w:bookmarkEnd w:id="92"/>
    <w:p>
      <w:pPr>
        <w:ind w:right="2779"/>
        <w:spacing w:after="0" w:line="236" w:lineRule="auto"/>
        <w:rPr>
          <w:sz w:val="20"/>
          <w:szCs w:val="20"/>
          <w:color w:val="auto"/>
        </w:rPr>
      </w:pPr>
      <w:r>
        <w:rPr>
          <w:rFonts w:ascii="Courier New" w:cs="Courier New" w:eastAsia="Courier New" w:hAnsi="Courier New"/>
          <w:sz w:val="16"/>
          <w:szCs w:val="16"/>
          <w:color w:val="auto"/>
        </w:rPr>
        <w:t>determining whether Holders of the requisite proportion of Outstanding Securities have authorized or agreed or consented to such request, demand, authorization, direction, notice, consent, waiver or other Act, and for that purpose the Outstanding Securities shall be computed as of such record date; provided that no such authorization, agreement or consent by the Holders on such record date shall be deemed effective unless it shall become effective pursuant to the provisions of this Indenture not later than 180 days after the record date.</w:t>
      </w:r>
    </w:p>
    <w:p>
      <w:pPr>
        <w:spacing w:after="0" w:line="184" w:lineRule="exact"/>
        <w:rPr>
          <w:sz w:val="20"/>
          <w:szCs w:val="20"/>
          <w:color w:val="auto"/>
        </w:rPr>
      </w:pPr>
    </w:p>
    <w:p>
      <w:pPr>
        <w:ind w:right="2879" w:firstLine="1391"/>
        <w:spacing w:after="0" w:line="236" w:lineRule="auto"/>
        <w:tabs>
          <w:tab w:leader="none" w:pos="1767"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any Security Registrar, any Paying Agent, any Authenticating Agent, or the Company in reliance thereon, whether or not notation of such action is made upon such Security.</w:t>
      </w:r>
    </w:p>
    <w:p>
      <w:pPr>
        <w:spacing w:after="0" w:line="17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105. Notices, Etc., to Trustee and Company</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3159" w:firstLine="1391"/>
        <w:spacing w:after="0" w:line="235" w:lineRule="auto"/>
        <w:tabs>
          <w:tab w:leader="none" w:pos="1767"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request, demand, authorization, direction, notice, consent, waiver or Act of Holders or other document provided or permitted by this Indenture to be made upon, given or furnished to, or filed with,</w:t>
      </w:r>
    </w:p>
    <w:p>
      <w:pPr>
        <w:spacing w:after="0" w:line="183" w:lineRule="exact"/>
        <w:rPr>
          <w:rFonts w:ascii="Courier New" w:cs="Courier New" w:eastAsia="Courier New" w:hAnsi="Courier New"/>
          <w:sz w:val="16"/>
          <w:szCs w:val="16"/>
          <w:color w:val="auto"/>
        </w:rPr>
      </w:pPr>
    </w:p>
    <w:p>
      <w:pPr>
        <w:ind w:left="1400" w:right="2779" w:firstLine="456"/>
        <w:spacing w:after="0" w:line="275" w:lineRule="auto"/>
        <w:tabs>
          <w:tab w:leader="none" w:pos="2237" w:val="left"/>
        </w:tabs>
        <w:numPr>
          <w:ilvl w:val="1"/>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by any Holder or by the Company shall be sufficient for every purpose hereunder if made, given, furnished or filed in writing (which may be via facsimile) to or with the Trustee at its Corporate Trust Office, Attention: Corporate Trust Administration, or at any other address previously furnished in writing by the Trustee to the Holders or the Company, or</w:t>
      </w:r>
    </w:p>
    <w:p>
      <w:pPr>
        <w:spacing w:after="0" w:line="161" w:lineRule="exact"/>
        <w:rPr>
          <w:rFonts w:ascii="Courier New" w:cs="Courier New" w:eastAsia="Courier New" w:hAnsi="Courier New"/>
          <w:sz w:val="14"/>
          <w:szCs w:val="14"/>
          <w:color w:val="auto"/>
        </w:rPr>
      </w:pPr>
    </w:p>
    <w:p>
      <w:pPr>
        <w:ind w:left="1400" w:right="2779" w:firstLine="456"/>
        <w:spacing w:after="0" w:line="236" w:lineRule="auto"/>
        <w:tabs>
          <w:tab w:leader="none" w:pos="2237" w:val="left"/>
        </w:tabs>
        <w:numPr>
          <w:ilvl w:val="1"/>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by the Trustee or by any Holder shall be sufficient for every purpose hereunder (unless otherwise herein expressly provided) if in writing and mailed, first-class postage prepaid, to the Company addressed to it at the address of the Company's principal office specified in the first paragraph of this Indenture or at any other address previously furnished in writing to the Trustee by the Company.</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106. Notice to Holders; Waiver</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1391"/>
        <w:spacing w:after="0" w:line="273" w:lineRule="auto"/>
        <w:tabs>
          <w:tab w:leader="none" w:pos="1767"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Where this Indenture provides for notice of any event to Holders of Registered Securities by the Company or the Trustee, such notice shall be sufficiently given (unless otherwise herein expressly provided) if in writing and mailed, first-class postage prepaid, or by email, to each such Holder affected by such event, at his physical address or email address as such address appears in the Security Register, not later than the latest date, and not earlier than the earliest date, prescribed for the giving of such notice. In any case where notice to Holders of Registered Securities is given by mail, neither the failure to mail such notice, nor any defect in any notice so mailed, to any particular Holder shall affect the sufficiency of such notice with respect to other Holders of Registered Securities or the sufficiency of any notice to Holders of Bearer Securities given as provided herein. Any notice</w:t>
      </w:r>
    </w:p>
    <w:p>
      <w:pPr>
        <w:spacing w:after="0" w:line="200" w:lineRule="exact"/>
        <w:rPr>
          <w:sz w:val="20"/>
          <w:szCs w:val="20"/>
          <w:color w:val="auto"/>
        </w:rPr>
      </w:pPr>
    </w:p>
    <w:p>
      <w:pPr>
        <w:spacing w:after="0" w:line="31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54" w:right="1440" w:bottom="1440" w:gutter="0" w:footer="0" w:header="0"/>
        </w:sectPr>
      </w:pPr>
    </w:p>
    <w:bookmarkStart w:id="93" w:name="page94"/>
    <w:bookmarkEnd w:id="93"/>
    <w:p>
      <w:pPr>
        <w:ind w:right="2879"/>
        <w:spacing w:after="0" w:line="235" w:lineRule="auto"/>
        <w:rPr>
          <w:sz w:val="20"/>
          <w:szCs w:val="20"/>
          <w:color w:val="auto"/>
        </w:rPr>
      </w:pPr>
      <w:r>
        <w:rPr>
          <w:rFonts w:ascii="Courier New" w:cs="Courier New" w:eastAsia="Courier New" w:hAnsi="Courier New"/>
          <w:sz w:val="16"/>
          <w:szCs w:val="16"/>
          <w:color w:val="auto"/>
        </w:rPr>
        <w:t>mailed to a Holder in the manner herein prescribed shall be conclusively deemed to have been received by such Holder, whether or not such Holder actually receives such notice.</w:t>
      </w:r>
    </w:p>
    <w:p>
      <w:pPr>
        <w:spacing w:after="0" w:line="183" w:lineRule="exact"/>
        <w:rPr>
          <w:sz w:val="20"/>
          <w:szCs w:val="20"/>
          <w:color w:val="auto"/>
        </w:rPr>
      </w:pPr>
    </w:p>
    <w:p>
      <w:pPr>
        <w:ind w:right="2779" w:firstLine="1391"/>
        <w:spacing w:after="0" w:line="275" w:lineRule="auto"/>
        <w:tabs>
          <w:tab w:leader="none" w:pos="1767"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by reason of the suspension of or irregularities in regular mail service or by reason of any other cause, it shall be impracticable to mail notice of any event to Holders of Registered Securities when such notice is required to be given pursuant to any provision of this Indenture, then any manner of giving such notice as shall be satisfactory to the Trustee shall be deemed to be sufficient giving of such notice for every purpose hereunder.</w:t>
      </w:r>
    </w:p>
    <w:p>
      <w:pPr>
        <w:spacing w:after="0" w:line="161" w:lineRule="exact"/>
        <w:rPr>
          <w:rFonts w:ascii="Courier New" w:cs="Courier New" w:eastAsia="Courier New" w:hAnsi="Courier New"/>
          <w:sz w:val="14"/>
          <w:szCs w:val="14"/>
          <w:color w:val="auto"/>
        </w:rPr>
      </w:pPr>
    </w:p>
    <w:p>
      <w:pPr>
        <w:ind w:right="2779" w:firstLine="1391"/>
        <w:spacing w:after="0" w:line="236" w:lineRule="auto"/>
        <w:tabs>
          <w:tab w:leader="none" w:pos="1767"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expressly provided herein or otherwise specified with respect to any Securities pursuant to Section 301, where this Indenture provides for notice to Holders of Bearer Securities of any event, such notice shall be sufficiently given to Holders of Bearer Securities if published at least twice in an Authorized Newspaper in The City of New York and in such other city or cities as may be specified in such Securities on a Business Day, the first such publication to be not earlier than the earliest date, and not later than the latest date, prescribed for the giving of such notice. Any such notice shall be deemed to have been given on the date of the first such publication.</w:t>
      </w:r>
    </w:p>
    <w:p>
      <w:pPr>
        <w:spacing w:after="0" w:line="185" w:lineRule="exact"/>
        <w:rPr>
          <w:rFonts w:ascii="Courier New" w:cs="Courier New" w:eastAsia="Courier New" w:hAnsi="Courier New"/>
          <w:sz w:val="16"/>
          <w:szCs w:val="16"/>
          <w:color w:val="auto"/>
        </w:rPr>
      </w:pPr>
    </w:p>
    <w:p>
      <w:pPr>
        <w:ind w:right="2779" w:firstLine="1391"/>
        <w:spacing w:after="0" w:line="273" w:lineRule="auto"/>
        <w:tabs>
          <w:tab w:leader="none" w:pos="1767"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by reason of the suspension of publication of any Authorized Newspaper or Authorized Newspapers or by reason of any other cause it shall be impracticable to publish any notice to Holders of Bearer Securities as provided above, then such notification to Holders of Bearer Securities as shall be given with the approval of the Trustee shall constitute sufficient notice to such Holders for every purpose hereunder. Neither the failure to give notice by publication to any Holder of Bearer Securities as provided above, nor any defect in any notice so published, shall affect the sufficiency of such notice with respect to other Holders of Bearer Securities or the sufficiency of any notice to Holders of Registered Securities given as provided herein.</w:t>
      </w:r>
    </w:p>
    <w:p>
      <w:pPr>
        <w:spacing w:after="0" w:line="163" w:lineRule="exact"/>
        <w:rPr>
          <w:rFonts w:ascii="Courier New" w:cs="Courier New" w:eastAsia="Courier New" w:hAnsi="Courier New"/>
          <w:sz w:val="14"/>
          <w:szCs w:val="14"/>
          <w:color w:val="auto"/>
        </w:rPr>
      </w:pPr>
    </w:p>
    <w:p>
      <w:pPr>
        <w:ind w:right="3159" w:firstLine="1391"/>
        <w:spacing w:after="0" w:line="235" w:lineRule="auto"/>
        <w:tabs>
          <w:tab w:leader="none" w:pos="1767"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request, demand, authorization, direction, notice, consent or waiver required or permitted under this Indenture shall be in the English language, except that any published notice may be in an official language of the country of publication.</w:t>
      </w:r>
    </w:p>
    <w:p>
      <w:pPr>
        <w:spacing w:after="0" w:line="184" w:lineRule="exact"/>
        <w:rPr>
          <w:rFonts w:ascii="Courier New" w:cs="Courier New" w:eastAsia="Courier New" w:hAnsi="Courier New"/>
          <w:sz w:val="16"/>
          <w:szCs w:val="16"/>
          <w:color w:val="auto"/>
        </w:rPr>
      </w:pPr>
    </w:p>
    <w:p>
      <w:pPr>
        <w:ind w:right="2879" w:firstLine="1391"/>
        <w:spacing w:after="0" w:line="236" w:lineRule="auto"/>
        <w:tabs>
          <w:tab w:leader="none" w:pos="1767"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107. Effect of Headings and Table of Contents</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1395"/>
        <w:spacing w:after="0" w:line="295" w:lineRule="auto"/>
        <w:rPr>
          <w:sz w:val="20"/>
          <w:szCs w:val="20"/>
          <w:color w:val="auto"/>
        </w:rPr>
      </w:pPr>
      <w:r>
        <w:rPr>
          <w:rFonts w:ascii="Courier New" w:cs="Courier New" w:eastAsia="Courier New" w:hAnsi="Courier New"/>
          <w:sz w:val="14"/>
          <w:szCs w:val="14"/>
          <w:color w:val="auto"/>
        </w:rPr>
        <w:t>The Article and Section headings herein and the Table of Contents are for convenience only and shall not affect the construction hereof.</w:t>
      </w:r>
    </w:p>
    <w:p>
      <w:pPr>
        <w:spacing w:after="0" w:line="14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108. Successors and Assigns</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3159" w:firstLine="1395"/>
        <w:spacing w:after="0" w:line="295" w:lineRule="auto"/>
        <w:rPr>
          <w:sz w:val="20"/>
          <w:szCs w:val="20"/>
          <w:color w:val="auto"/>
        </w:rPr>
      </w:pPr>
      <w:r>
        <w:rPr>
          <w:rFonts w:ascii="Courier New" w:cs="Courier New" w:eastAsia="Courier New" w:hAnsi="Courier New"/>
          <w:sz w:val="14"/>
          <w:szCs w:val="14"/>
          <w:color w:val="auto"/>
        </w:rPr>
        <w:t>All covenants and agreements in this Indenture by the Company shall bind its successors and assigns, whether so expressed or not.</w:t>
      </w:r>
    </w:p>
    <w:p>
      <w:pPr>
        <w:spacing w:after="0" w:line="32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54" w:right="1440" w:bottom="1440" w:gutter="0" w:footer="0" w:header="0"/>
        </w:sectPr>
      </w:pPr>
    </w:p>
    <w:bookmarkStart w:id="94" w:name="page95"/>
    <w:bookmarkEnd w:id="94"/>
    <w:p>
      <w:pPr>
        <w:ind w:left="460"/>
        <w:spacing w:after="0"/>
        <w:rPr>
          <w:sz w:val="20"/>
          <w:szCs w:val="20"/>
          <w:color w:val="auto"/>
        </w:rPr>
      </w:pPr>
      <w:r>
        <w:rPr>
          <w:rFonts w:ascii="Courier New" w:cs="Courier New" w:eastAsia="Courier New" w:hAnsi="Courier New"/>
          <w:sz w:val="16"/>
          <w:szCs w:val="16"/>
          <w:color w:val="auto"/>
        </w:rPr>
        <w:t>SECTION 109. Separability Clause</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jc w:val="both"/>
        <w:ind w:right="2959" w:firstLine="1395"/>
        <w:spacing w:after="0" w:line="235" w:lineRule="auto"/>
        <w:rPr>
          <w:sz w:val="20"/>
          <w:szCs w:val="20"/>
          <w:color w:val="auto"/>
        </w:rPr>
      </w:pPr>
      <w:r>
        <w:rPr>
          <w:rFonts w:ascii="Courier New" w:cs="Courier New" w:eastAsia="Courier New" w:hAnsi="Courier New"/>
          <w:sz w:val="16"/>
          <w:szCs w:val="16"/>
          <w:color w:val="auto"/>
        </w:rPr>
        <w:t>In case any provision in this Indenture or in any Security, or coupon shall be invalid, illegal or unenforceable, the validity, legality and enforceability of the remaining provisions shall not in any way be affected or impaired thereby.</w:t>
      </w:r>
    </w:p>
    <w:p>
      <w:pPr>
        <w:spacing w:after="0" w:line="17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110. Benefits of Indenture</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1395"/>
        <w:spacing w:after="0" w:line="235" w:lineRule="auto"/>
        <w:rPr>
          <w:sz w:val="20"/>
          <w:szCs w:val="20"/>
          <w:color w:val="auto"/>
        </w:rPr>
      </w:pPr>
      <w:r>
        <w:rPr>
          <w:rFonts w:ascii="Courier New" w:cs="Courier New" w:eastAsia="Courier New" w:hAnsi="Courier New"/>
          <w:sz w:val="16"/>
          <w:szCs w:val="16"/>
          <w:color w:val="auto"/>
        </w:rPr>
        <w:t>Nothing in this Indenture or in the Securities, or coupons, express or implied, shall give to any Person, other than the parties hereto, any Security Registrar, any Paying Agent, any Authenticating Agent and their successors hereunder and the Holders any benefit or any legal or equitable right, remedy or claim under this Indenture.</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111. Governing Law</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879" w:firstLine="1395"/>
        <w:spacing w:after="0" w:line="235" w:lineRule="auto"/>
        <w:rPr>
          <w:sz w:val="20"/>
          <w:szCs w:val="20"/>
          <w:color w:val="auto"/>
        </w:rPr>
      </w:pPr>
      <w:r>
        <w:rPr>
          <w:rFonts w:ascii="Courier New" w:cs="Courier New" w:eastAsia="Courier New" w:hAnsi="Courier New"/>
          <w:sz w:val="16"/>
          <w:szCs w:val="16"/>
          <w:color w:val="auto"/>
        </w:rPr>
        <w:t>This Indenture, the Securities, and coupons shall be governed by and construed in accordance with the law of the State of New York. This Indenture is subject to the provisions of the Trust Indenture Act that are required to be part of this Indenture and shall, to the extent applicable, be governed by such provisions.</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112. Legal Holidays</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1395"/>
        <w:spacing w:after="0" w:line="272" w:lineRule="auto"/>
        <w:rPr>
          <w:sz w:val="20"/>
          <w:szCs w:val="20"/>
          <w:color w:val="auto"/>
        </w:rPr>
      </w:pPr>
      <w:r>
        <w:rPr>
          <w:rFonts w:ascii="Courier New" w:cs="Courier New" w:eastAsia="Courier New" w:hAnsi="Courier New"/>
          <w:sz w:val="14"/>
          <w:szCs w:val="14"/>
          <w:color w:val="auto"/>
        </w:rPr>
        <w:t>In any case where any Interest Payment Date, Redemption Date, Repayment Date, sinking fund payment date, Stated Maturity or Maturity of any Security shall not be a Business Day at any Place of Payment, then (notwithstanding any other provision of this Indenture or any Security or coupon other than a provision in the Securities of any series which specifically states that such provision shall apply in lieu of this Section), payment of principal (or premium, if any) or interest, if any, need not be made at such Place of Payment on such date, but may be made on the next succeeding Business Day at such Place of Payment with the same force and effect as if made on the Interest Payment Date, Redemption Date, Repayment Date or sinking fund payment date, or at the Stated Maturity or Maturity; provided that no interest shall accrue on the amount so payable for the period from and after such Interest Payment Date, Redemption Date, Repayment Date, sinking fund payment date, Stated Maturity or Maturity, as the case may be.</w:t>
      </w:r>
    </w:p>
    <w:p>
      <w:pPr>
        <w:spacing w:after="0" w:line="34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113. Conflict of Any Provision of Indenture with Trust</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ind w:left="1660"/>
        <w:spacing w:after="0" w:line="237" w:lineRule="auto"/>
        <w:rPr>
          <w:sz w:val="20"/>
          <w:szCs w:val="20"/>
          <w:color w:val="auto"/>
        </w:rPr>
      </w:pPr>
      <w:r>
        <w:rPr>
          <w:rFonts w:ascii="Courier New" w:cs="Courier New" w:eastAsia="Courier New" w:hAnsi="Courier New"/>
          <w:sz w:val="16"/>
          <w:szCs w:val="16"/>
          <w:color w:val="auto"/>
        </w:rPr>
        <w:t>Indenture Act</w:t>
      </w:r>
    </w:p>
    <w:p>
      <w:pPr>
        <w:ind w:left="1660"/>
        <w:spacing w:after="0" w:line="237"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1395"/>
        <w:spacing w:after="0" w:line="274" w:lineRule="auto"/>
        <w:rPr>
          <w:sz w:val="20"/>
          <w:szCs w:val="20"/>
          <w:color w:val="auto"/>
        </w:rPr>
      </w:pPr>
      <w:r>
        <w:rPr>
          <w:rFonts w:ascii="Courier New" w:cs="Courier New" w:eastAsia="Courier New" w:hAnsi="Courier New"/>
          <w:sz w:val="14"/>
          <w:szCs w:val="14"/>
          <w:color w:val="auto"/>
        </w:rPr>
        <w:t>If and to the extent that any provision of this Indenture limits, qualifies or conflicts with any provision (an "incorporated provision") required by or deemed to be included in this Indenture by operation of the TIA, such imposed duties or incorporated provisions shall control. If any provision of this Indenture modifies or excludes any provision of the TIA that may be so modified or excluded, the latter provision shall be deemed to apply to this Indenture as so modified or excluded, as the case may be.</w:t>
      </w:r>
    </w:p>
    <w:p>
      <w:pPr>
        <w:spacing w:after="0" w:line="15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114. No Recourse against Others</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879" w:firstLine="1395"/>
        <w:spacing w:after="0" w:line="283" w:lineRule="auto"/>
        <w:rPr>
          <w:sz w:val="20"/>
          <w:szCs w:val="20"/>
          <w:color w:val="auto"/>
        </w:rPr>
      </w:pPr>
      <w:r>
        <w:rPr>
          <w:rFonts w:ascii="Courier New" w:cs="Courier New" w:eastAsia="Courier New" w:hAnsi="Courier New"/>
          <w:sz w:val="14"/>
          <w:szCs w:val="14"/>
          <w:color w:val="auto"/>
        </w:rPr>
        <w:t>A director, officer, employee or stockholder, as such, of the Company shall not have any liability for any obligations of the Company under the Securities or this Indenture or for any claim based on, in respect of or by</w:t>
      </w:r>
    </w:p>
    <w:p>
      <w:pPr>
        <w:spacing w:after="0" w:line="32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48" w:right="1440" w:bottom="1440" w:gutter="0" w:footer="0" w:header="0"/>
        </w:sectPr>
      </w:pPr>
    </w:p>
    <w:bookmarkStart w:id="95" w:name="page96"/>
    <w:bookmarkEnd w:id="95"/>
    <w:p>
      <w:pPr>
        <w:ind w:right="3059"/>
        <w:spacing w:after="0" w:line="234" w:lineRule="auto"/>
        <w:rPr>
          <w:sz w:val="20"/>
          <w:szCs w:val="20"/>
          <w:color w:val="auto"/>
        </w:rPr>
      </w:pPr>
      <w:r>
        <w:rPr>
          <w:rFonts w:ascii="Courier New" w:cs="Courier New" w:eastAsia="Courier New" w:hAnsi="Courier New"/>
          <w:sz w:val="16"/>
          <w:szCs w:val="16"/>
          <w:color w:val="auto"/>
        </w:rPr>
        <w:t>reason of such obligations or their creation. Each Holder by accepting any of the Securities waives and releases all such liability.</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115. Waiver of Trial by Jury</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3059" w:firstLine="1395"/>
        <w:spacing w:after="0" w:line="283" w:lineRule="auto"/>
        <w:rPr>
          <w:sz w:val="20"/>
          <w:szCs w:val="20"/>
          <w:color w:val="auto"/>
        </w:rPr>
      </w:pPr>
      <w:r>
        <w:rPr>
          <w:rFonts w:ascii="Courier New" w:cs="Courier New" w:eastAsia="Courier New" w:hAnsi="Courier New"/>
          <w:sz w:val="14"/>
          <w:szCs w:val="14"/>
          <w:color w:val="auto"/>
        </w:rPr>
        <w:t>The Company, the Trustee, and Holders hereby irrevocably and unconditionally waive the right to trial by jury in connection with any claim arising out of or relating to the Securities and under this Indenture.</w:t>
      </w:r>
    </w:p>
    <w:p>
      <w:pPr>
        <w:spacing w:after="0" w:line="14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ARTICLE TWO</w:t>
      </w:r>
    </w:p>
    <w:p>
      <w:pPr>
        <w:ind w:left="2980"/>
        <w:spacing w:after="0" w:line="236" w:lineRule="auto"/>
        <w:rPr>
          <w:sz w:val="20"/>
          <w:szCs w:val="20"/>
          <w:color w:val="auto"/>
        </w:rPr>
      </w:pPr>
      <w:r>
        <w:rPr>
          <w:rFonts w:ascii="Courier New" w:cs="Courier New" w:eastAsia="Courier New" w:hAnsi="Courier New"/>
          <w:sz w:val="16"/>
          <w:szCs w:val="16"/>
          <w:color w:val="auto"/>
        </w:rPr>
        <w:t>SECURITIES FORMS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201. Forms of Securities</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1391"/>
        <w:spacing w:after="0" w:line="273" w:lineRule="auto"/>
        <w:tabs>
          <w:tab w:leader="none" w:pos="1767"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Registered Securities, if any, of each series, the Bearer Securities, if any, of each series and related coupons shall be in substantially the forms as shall be established in one or more indentures supplemental hereto or approved from time to time by or pursuant to a Board Resolution in accordance with Section 301, shall have such appropriate insertions, omissions, substitutions and other variations as are required or permitted by this Indenture or any indenture supplemental hereto, and may have such letters, numbers or other marks of identification or designation and such legends or endorsements placed thereon as the Company, as the case may be, may deem appropriate and as are not inconsistent with the provisions of this Indenture, or as may be required to comply with any law or with any rule or regulation made pursuant thereto or with any rule or regulation of any stock exchange on which the Securities may be listed, or to conform to usage.</w:t>
      </w:r>
    </w:p>
    <w:p>
      <w:pPr>
        <w:spacing w:after="0" w:line="339" w:lineRule="exact"/>
        <w:rPr>
          <w:rFonts w:ascii="Courier New" w:cs="Courier New" w:eastAsia="Courier New" w:hAnsi="Courier New"/>
          <w:sz w:val="14"/>
          <w:szCs w:val="14"/>
          <w:color w:val="auto"/>
        </w:rPr>
      </w:pPr>
    </w:p>
    <w:p>
      <w:pPr>
        <w:ind w:right="3059" w:firstLine="1391"/>
        <w:spacing w:after="0" w:line="234" w:lineRule="auto"/>
        <w:tabs>
          <w:tab w:leader="none" w:pos="1767"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otherwise specified as contemplated by Section 301, Bearer Securities shall have interest coupons attached.</w:t>
      </w:r>
    </w:p>
    <w:p>
      <w:pPr>
        <w:spacing w:after="0" w:line="183" w:lineRule="exact"/>
        <w:rPr>
          <w:rFonts w:ascii="Courier New" w:cs="Courier New" w:eastAsia="Courier New" w:hAnsi="Courier New"/>
          <w:sz w:val="16"/>
          <w:szCs w:val="16"/>
          <w:color w:val="auto"/>
        </w:rPr>
      </w:pPr>
    </w:p>
    <w:p>
      <w:pPr>
        <w:ind w:right="2879" w:firstLine="1391"/>
        <w:spacing w:after="0" w:line="235" w:lineRule="auto"/>
        <w:tabs>
          <w:tab w:leader="none" w:pos="1767"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definitive Securities and coupons shall be printed, lithographed or engraved or produced by any combination of these methods on a steel engraved border or steel engraved borders or may be produced in any other manner, all as determined by the officers executing such Securities or coupons, as evidenced by their execution of such Securities or coupons.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54" w:right="1440" w:bottom="1440" w:gutter="0" w:footer="0" w:header="0"/>
        </w:sectPr>
      </w:pPr>
    </w:p>
    <w:bookmarkStart w:id="96" w:name="page97"/>
    <w:bookmarkEnd w:id="96"/>
    <w:p>
      <w:pPr>
        <w:ind w:left="465"/>
        <w:spacing w:after="0"/>
        <w:rPr>
          <w:sz w:val="20"/>
          <w:szCs w:val="20"/>
          <w:color w:val="auto"/>
        </w:rPr>
      </w:pPr>
      <w:r>
        <w:rPr>
          <w:rFonts w:ascii="Courier New" w:cs="Courier New" w:eastAsia="Courier New" w:hAnsi="Courier New"/>
          <w:sz w:val="16"/>
          <w:szCs w:val="16"/>
          <w:color w:val="auto"/>
        </w:rPr>
        <w:t>SECTION 202. Form of Trustee's Certificate of Authentication</w:t>
      </w:r>
    </w:p>
    <w:p>
      <w:pPr>
        <w:ind w:left="1665"/>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5" w:right="3999" w:firstLine="1395"/>
        <w:spacing w:after="0" w:line="234" w:lineRule="auto"/>
        <w:rPr>
          <w:sz w:val="20"/>
          <w:szCs w:val="20"/>
          <w:color w:val="auto"/>
        </w:rPr>
      </w:pPr>
      <w:r>
        <w:rPr>
          <w:rFonts w:ascii="Courier New" w:cs="Courier New" w:eastAsia="Courier New" w:hAnsi="Courier New"/>
          <w:sz w:val="16"/>
          <w:szCs w:val="16"/>
          <w:color w:val="auto"/>
        </w:rPr>
        <w:t>Subject to Section 611, the Trustee's certificate of authentication shall be in substantially the following form:</w:t>
      </w:r>
    </w:p>
    <w:p>
      <w:pPr>
        <w:spacing w:after="0" w:line="183" w:lineRule="exact"/>
        <w:rPr>
          <w:sz w:val="20"/>
          <w:szCs w:val="20"/>
          <w:color w:val="auto"/>
        </w:rPr>
      </w:pPr>
    </w:p>
    <w:p>
      <w:pPr>
        <w:ind w:left="5" w:right="2779" w:firstLine="1395"/>
        <w:spacing w:after="0" w:line="234" w:lineRule="auto"/>
        <w:rPr>
          <w:sz w:val="20"/>
          <w:szCs w:val="20"/>
          <w:color w:val="auto"/>
        </w:rPr>
      </w:pPr>
      <w:r>
        <w:rPr>
          <w:rFonts w:ascii="Courier New" w:cs="Courier New" w:eastAsia="Courier New" w:hAnsi="Courier New"/>
          <w:sz w:val="16"/>
          <w:szCs w:val="16"/>
          <w:color w:val="auto"/>
        </w:rPr>
        <w:t>This is one of the Securities of the series designated herein and referred to in the within-mentioned Indenture.</w:t>
      </w:r>
    </w:p>
    <w:p>
      <w:pPr>
        <w:spacing w:after="0" w:line="177" w:lineRule="exact"/>
        <w:rPr>
          <w:sz w:val="20"/>
          <w:szCs w:val="20"/>
          <w:color w:val="auto"/>
        </w:rPr>
      </w:pPr>
    </w:p>
    <w:p>
      <w:pPr>
        <w:ind w:left="2705"/>
        <w:spacing w:after="0"/>
        <w:rPr>
          <w:sz w:val="20"/>
          <w:szCs w:val="20"/>
          <w:color w:val="auto"/>
        </w:rPr>
      </w:pPr>
      <w:r>
        <w:rPr>
          <w:rFonts w:ascii="Courier New" w:cs="Courier New" w:eastAsia="Courier New" w:hAnsi="Courier New"/>
          <w:sz w:val="16"/>
          <w:szCs w:val="16"/>
          <w:color w:val="auto"/>
        </w:rPr>
        <w:t>THE BANK OF NEW YORK</w:t>
      </w:r>
    </w:p>
    <w:p>
      <w:pPr>
        <w:ind w:left="2705"/>
        <w:spacing w:after="0" w:line="236" w:lineRule="auto"/>
        <w:rPr>
          <w:sz w:val="20"/>
          <w:szCs w:val="20"/>
          <w:color w:val="auto"/>
        </w:rPr>
      </w:pPr>
      <w:r>
        <w:rPr>
          <w:rFonts w:ascii="Courier New" w:cs="Courier New" w:eastAsia="Courier New" w:hAnsi="Courier New"/>
          <w:sz w:val="16"/>
          <w:szCs w:val="16"/>
          <w:color w:val="auto"/>
        </w:rPr>
        <w:t>as Trustee</w:t>
      </w:r>
    </w:p>
    <w:p>
      <w:pPr>
        <w:spacing w:after="0" w:line="356" w:lineRule="exact"/>
        <w:rPr>
          <w:sz w:val="20"/>
          <w:szCs w:val="20"/>
          <w:color w:val="auto"/>
        </w:rPr>
      </w:pPr>
    </w:p>
    <w:p>
      <w:pPr>
        <w:ind w:left="2705"/>
        <w:spacing w:after="0"/>
        <w:rPr>
          <w:sz w:val="20"/>
          <w:szCs w:val="20"/>
          <w:color w:val="auto"/>
        </w:rPr>
      </w:pPr>
      <w:r>
        <w:rPr>
          <w:rFonts w:ascii="Courier New" w:cs="Courier New" w:eastAsia="Courier New" w:hAnsi="Courier New"/>
          <w:sz w:val="16"/>
          <w:szCs w:val="16"/>
          <w:color w:val="auto"/>
        </w:rPr>
        <w:t>By</w:t>
      </w:r>
    </w:p>
    <w:p>
      <w:pPr>
        <w:ind w:left="2885"/>
        <w:spacing w:after="0" w:line="236" w:lineRule="auto"/>
        <w:rPr>
          <w:sz w:val="20"/>
          <w:szCs w:val="20"/>
          <w:color w:val="auto"/>
        </w:rPr>
      </w:pPr>
      <w:r>
        <w:rPr>
          <w:rFonts w:ascii="Courier New" w:cs="Courier New" w:eastAsia="Courier New" w:hAnsi="Courier New"/>
          <w:sz w:val="16"/>
          <w:szCs w:val="16"/>
          <w:color w:val="auto"/>
        </w:rPr>
        <w:t>---------------------------</w:t>
      </w:r>
    </w:p>
    <w:p>
      <w:pPr>
        <w:ind w:left="2885"/>
        <w:spacing w:after="0" w:line="237" w:lineRule="auto"/>
        <w:rPr>
          <w:sz w:val="20"/>
          <w:szCs w:val="20"/>
          <w:color w:val="auto"/>
        </w:rPr>
      </w:pPr>
      <w:r>
        <w:rPr>
          <w:rFonts w:ascii="Courier New" w:cs="Courier New" w:eastAsia="Courier New" w:hAnsi="Courier New"/>
          <w:sz w:val="16"/>
          <w:szCs w:val="16"/>
          <w:color w:val="auto"/>
        </w:rPr>
        <w:t>Authorized Signatory</w:t>
      </w:r>
    </w:p>
    <w:p>
      <w:pPr>
        <w:spacing w:after="0" w:line="356" w:lineRule="exact"/>
        <w:rPr>
          <w:sz w:val="20"/>
          <w:szCs w:val="20"/>
          <w:color w:val="auto"/>
        </w:rPr>
      </w:pPr>
    </w:p>
    <w:p>
      <w:pPr>
        <w:ind w:left="2705"/>
        <w:spacing w:after="0"/>
        <w:rPr>
          <w:sz w:val="20"/>
          <w:szCs w:val="20"/>
          <w:color w:val="auto"/>
        </w:rPr>
      </w:pPr>
      <w:r>
        <w:rPr>
          <w:rFonts w:ascii="Courier New" w:cs="Courier New" w:eastAsia="Courier New" w:hAnsi="Courier New"/>
          <w:sz w:val="16"/>
          <w:szCs w:val="16"/>
          <w:color w:val="auto"/>
        </w:rPr>
        <w:t>Dated:</w:t>
      </w:r>
    </w:p>
    <w:p>
      <w:pPr>
        <w:ind w:left="3265"/>
        <w:spacing w:after="0" w:line="236" w:lineRule="auto"/>
        <w:rPr>
          <w:sz w:val="20"/>
          <w:szCs w:val="20"/>
          <w:color w:val="auto"/>
        </w:rPr>
      </w:pPr>
      <w:r>
        <w:rPr>
          <w:rFonts w:ascii="Courier New" w:cs="Courier New" w:eastAsia="Courier New" w:hAnsi="Courier New"/>
          <w:sz w:val="16"/>
          <w:szCs w:val="16"/>
          <w:color w:val="auto"/>
        </w:rPr>
        <w:t>-----------------------</w:t>
      </w:r>
    </w:p>
    <w:p>
      <w:pPr>
        <w:spacing w:after="0" w:line="356"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SECTION 203. Securities Issuable in Global Form</w:t>
      </w:r>
    </w:p>
    <w:p>
      <w:pPr>
        <w:ind w:left="1665"/>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5" w:right="2879" w:firstLine="1391"/>
        <w:spacing w:after="0" w:line="270" w:lineRule="auto"/>
        <w:tabs>
          <w:tab w:leader="none" w:pos="1772" w:val="left"/>
        </w:tabs>
        <w:numPr>
          <w:ilvl w:val="1"/>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Securities of or within a series are issuable in global form, as specified as contemplated by Section 301, then, notwithstanding clause</w:t>
      </w:r>
    </w:p>
    <w:p>
      <w:pPr>
        <w:ind w:left="5" w:right="2779" w:hanging="5"/>
        <w:spacing w:after="0" w:line="272" w:lineRule="auto"/>
        <w:tabs>
          <w:tab w:leader="none" w:pos="377"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Subsection 301(b) and the provisions of Section 302, any such Security shall represent such of the Outstanding Securities of such series as shall be specified therein and may provide that it shall represent the aggregate amount of Outstanding Securities of such series from time to time endorsed thereon and that the aggregate amount of Outstanding Securities of such series represented thereby may from time to time be increased or decreased to reflect exchanges. Any endorsement of a Security in global form to reflect the amount, or any increase or decrease in the amount, of Outstanding Securities represented thereby shall be made by the Trustee in such manner and upon instructions given by such Person or Persons as shall be specified therein or in the Company Order to be delivered to the Trustee pursuant to Section 303 or Section 304. Subject to the provisions of Section 303 and, if applicable, Section 304, the Trustee shall deliver and redeliver any Security in permanent global form in the manner and upon instructions given by the Person or Persons specified therein or in the applicable Company Order. If a Company Order pursuant to Section 303 or Section 304 has been, or simultaneously is, delivered, any instructions by the Company with respect to endorsement, delivery or redelivery of a Security in global form shall be in writing but need not comply with Section 102 and need not be accompanied by an Opinion of Counsel.</w:t>
      </w:r>
    </w:p>
    <w:p>
      <w:pPr>
        <w:spacing w:after="0" w:line="200" w:lineRule="exact"/>
        <w:rPr>
          <w:rFonts w:ascii="Courier New" w:cs="Courier New" w:eastAsia="Courier New" w:hAnsi="Courier New"/>
          <w:sz w:val="14"/>
          <w:szCs w:val="14"/>
          <w:color w:val="auto"/>
        </w:rPr>
      </w:pPr>
    </w:p>
    <w:p>
      <w:pPr>
        <w:spacing w:after="0" w:line="322" w:lineRule="exact"/>
        <w:rPr>
          <w:rFonts w:ascii="Courier New" w:cs="Courier New" w:eastAsia="Courier New" w:hAnsi="Courier New"/>
          <w:sz w:val="14"/>
          <w:szCs w:val="14"/>
          <w:color w:val="auto"/>
        </w:rPr>
      </w:pPr>
    </w:p>
    <w:p>
      <w:pPr>
        <w:ind w:left="5" w:right="2779" w:firstLine="1391"/>
        <w:spacing w:after="0" w:line="236" w:lineRule="auto"/>
        <w:tabs>
          <w:tab w:leader="none" w:pos="1772" w:val="left"/>
        </w:tabs>
        <w:numPr>
          <w:ilvl w:val="1"/>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provisions of Section 303(h) shall apply to any Security represented by a Security in global form if such Security was never issued and sold by the Company and the Company delivers to the Trustee the Security in global form together with written instructions (which need not comply with Section 102 and need not be accompanied by an Opinion of Counsel) with regard to the reduction in the principal amount of Securities represented thereby, together with the written statement contemplated by the last sentence of Section 303.</w:t>
      </w:r>
    </w:p>
    <w:p>
      <w:pPr>
        <w:spacing w:after="0" w:line="35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24"/>
          </w:cols>
          <w:pgMar w:left="235" w:top="648" w:right="1440" w:bottom="1440" w:gutter="0" w:footer="0" w:header="0"/>
        </w:sectPr>
      </w:pPr>
    </w:p>
    <w:bookmarkStart w:id="97" w:name="page98"/>
    <w:bookmarkEnd w:id="97"/>
    <w:p>
      <w:pPr>
        <w:ind w:right="2779" w:firstLine="1391"/>
        <w:spacing w:after="0" w:line="235" w:lineRule="auto"/>
        <w:tabs>
          <w:tab w:leader="none" w:pos="1767"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provisions of Section 307, unless otherwise specified as contemplated by Section 301, payment of principal of (and premium, if any) and interest, if any, on any Security in permanent global form shall be made to the Person or Persons specified therein.</w:t>
      </w:r>
    </w:p>
    <w:p>
      <w:pPr>
        <w:spacing w:after="0" w:line="184" w:lineRule="exact"/>
        <w:rPr>
          <w:rFonts w:ascii="Courier New" w:cs="Courier New" w:eastAsia="Courier New" w:hAnsi="Courier New"/>
          <w:sz w:val="16"/>
          <w:szCs w:val="16"/>
          <w:color w:val="auto"/>
        </w:rPr>
      </w:pPr>
    </w:p>
    <w:p>
      <w:pPr>
        <w:ind w:right="2879" w:firstLine="1391"/>
        <w:spacing w:after="0" w:line="274" w:lineRule="auto"/>
        <w:tabs>
          <w:tab w:leader="none" w:pos="1767"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provisions of Section 309 and except as provided in Subsection (c) of this Section, the Company, the Trustee and any agent of the Company, and the Trustee shall treat as the Holder of such principal amount of Outstanding Securities represented by a permanent global Security (1) in the case of a permanent global Security in registered form, the Holder of such permanent global Security in registered form, or (2) in the case of a permanent global Security in bearer form, Euroclear or Clearstream.</w:t>
      </w:r>
    </w:p>
    <w:p>
      <w:pPr>
        <w:spacing w:after="0" w:line="15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204. Form of Legend for Book-Entry Securities</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jc w:val="both"/>
        <w:ind w:right="2959" w:firstLine="1395"/>
        <w:spacing w:after="0" w:line="283" w:lineRule="auto"/>
        <w:rPr>
          <w:sz w:val="20"/>
          <w:szCs w:val="20"/>
          <w:color w:val="auto"/>
        </w:rPr>
      </w:pPr>
      <w:r>
        <w:rPr>
          <w:rFonts w:ascii="Courier New" w:cs="Courier New" w:eastAsia="Courier New" w:hAnsi="Courier New"/>
          <w:sz w:val="14"/>
          <w:szCs w:val="14"/>
          <w:color w:val="auto"/>
        </w:rPr>
        <w:t>Any Global Security authenticated and delivered hereunder shall bear a legend (which would be in addition to any other legends required in the case of a restricted Security) in substantially the following form:</w:t>
      </w:r>
    </w:p>
    <w:p>
      <w:pPr>
        <w:spacing w:after="0" w:line="155" w:lineRule="exact"/>
        <w:rPr>
          <w:sz w:val="20"/>
          <w:szCs w:val="20"/>
          <w:color w:val="auto"/>
        </w:rPr>
      </w:pPr>
    </w:p>
    <w:p>
      <w:pPr>
        <w:ind w:left="740" w:right="2959" w:firstLine="651"/>
        <w:spacing w:after="0" w:line="236" w:lineRule="auto"/>
        <w:rPr>
          <w:sz w:val="20"/>
          <w:szCs w:val="20"/>
          <w:color w:val="auto"/>
        </w:rPr>
      </w:pPr>
      <w:r>
        <w:rPr>
          <w:rFonts w:ascii="Courier New" w:cs="Courier New" w:eastAsia="Courier New" w:hAnsi="Courier New"/>
          <w:sz w:val="16"/>
          <w:szCs w:val="16"/>
          <w:color w:val="auto"/>
        </w:rPr>
        <w:t>THIS SECURITY IS A GLOBAL SECURITY WITHIN THE MEANING OF THE INDENTURE HEREINAFTER REFERRED TO AND IS REGISTERED IN THE NAME OF A DEPOSITORY OR A NOMINEE THEREOF. THIS SECURITY MAY NOT BE EXCHANGED IN WHOLE OR IN PART FOR A SECURITY REGISTERED, AND NO TRANSFER OF THIS SECURITY IN WHOLE OR IN PART MAY BE REGISTERED, IN THE NAME OF ANY PERSON OTHER THAN SUCH DEPOSITORY OR ITS NOMINEE EXCEPT IN THE LIMITED CIRCUMSTANCES DESCRIBED IN THE INDENTURE.</w:t>
      </w:r>
    </w:p>
    <w:p>
      <w:pPr>
        <w:spacing w:after="0" w:line="184" w:lineRule="exact"/>
        <w:rPr>
          <w:sz w:val="20"/>
          <w:szCs w:val="20"/>
          <w:color w:val="auto"/>
        </w:rPr>
      </w:pPr>
    </w:p>
    <w:p>
      <w:pPr>
        <w:ind w:left="740" w:right="2779" w:firstLine="651"/>
        <w:spacing w:after="0" w:line="274" w:lineRule="auto"/>
        <w:rPr>
          <w:sz w:val="20"/>
          <w:szCs w:val="20"/>
          <w:color w:val="auto"/>
        </w:rPr>
      </w:pPr>
      <w:r>
        <w:rPr>
          <w:rFonts w:ascii="Courier New" w:cs="Courier New" w:eastAsia="Courier New" w:hAnsi="Courier New"/>
          <w:sz w:val="14"/>
          <w:szCs w:val="14"/>
          <w:color w:val="auto"/>
        </w:rPr>
        <w:t>UNLESS THIS CERTIFICATE IS PRESENTED BY AN AUTHORIZED REPRESENTATIVE OF THE DEPOSITARY TRUST COMPANY TO THE ISSUER OR ITS AGENT FOR REGISTRATION OF TRANSFER, EXCHANGE OR PAYMENT AND ANY CERTIFICATE ISSUED IN EXCHANGE FOR THIS CERTIFICATE IS REGISTERED IN THE NAME OF CEDE &amp; CO., OR SUCH OTHER NAME AS REQUESTED BY AN AUTHORIZED REPRESENTATIVE OF THE DEPOSITORY, ANY TRANSFER, PLEDGE OR OTHER USE HEREOF FOR VALUE OR OTHERWISE BY OR TO ANY PERSON IS WRONGFUL, SINCE THE REGISTERED OWNER HEREOF, CEDE &amp; CO., HAS AN INTEREST HEREIN.</w:t>
      </w:r>
    </w:p>
    <w:p>
      <w:pPr>
        <w:spacing w:after="0" w:line="15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ARTICLE THREE</w:t>
      </w:r>
    </w:p>
    <w:p>
      <w:pPr>
        <w:ind w:left="3060"/>
        <w:spacing w:after="0" w:line="236" w:lineRule="auto"/>
        <w:rPr>
          <w:sz w:val="20"/>
          <w:szCs w:val="20"/>
          <w:color w:val="auto"/>
        </w:rPr>
      </w:pPr>
      <w:r>
        <w:rPr>
          <w:rFonts w:ascii="Courier New" w:cs="Courier New" w:eastAsia="Courier New" w:hAnsi="Courier New"/>
          <w:sz w:val="16"/>
          <w:szCs w:val="16"/>
          <w:color w:val="auto"/>
        </w:rPr>
        <w:t>THE SECURITIES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301. Amount Unlimited; Issuable in Series</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3159" w:firstLine="1391"/>
        <w:spacing w:after="0" w:line="234" w:lineRule="auto"/>
        <w:tabs>
          <w:tab w:leader="none" w:pos="1767"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principal amount of Securities which may be authenticated and delivered under this Indenture is unlimited.</w:t>
      </w:r>
    </w:p>
    <w:p>
      <w:pPr>
        <w:spacing w:after="0" w:line="183" w:lineRule="exact"/>
        <w:rPr>
          <w:rFonts w:ascii="Courier New" w:cs="Courier New" w:eastAsia="Courier New" w:hAnsi="Courier New"/>
          <w:sz w:val="16"/>
          <w:szCs w:val="16"/>
          <w:color w:val="auto"/>
        </w:rPr>
      </w:pPr>
    </w:p>
    <w:p>
      <w:pPr>
        <w:ind w:right="2779" w:firstLine="1391"/>
        <w:spacing w:after="0" w:line="279" w:lineRule="auto"/>
        <w:tabs>
          <w:tab w:leader="none" w:pos="1767"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Securities shall rank equally and pari passu and may be issued in one or more series. There shall be established in one or more Board Resolutions or pursuant to authority granted by one or more Board Resolutions and, subject to Section 303, set forth, or determined in the manner provided, in</w:t>
      </w:r>
    </w:p>
    <w:p>
      <w:pPr>
        <w:spacing w:after="0" w:line="33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54" w:right="1440" w:bottom="1440" w:gutter="0" w:footer="0" w:header="0"/>
        </w:sectPr>
      </w:pPr>
    </w:p>
    <w:bookmarkStart w:id="98" w:name="page99"/>
    <w:bookmarkEnd w:id="98"/>
    <w:p>
      <w:pPr>
        <w:ind w:right="2779"/>
        <w:spacing w:after="0" w:line="275" w:lineRule="auto"/>
        <w:rPr>
          <w:sz w:val="20"/>
          <w:szCs w:val="20"/>
          <w:color w:val="auto"/>
        </w:rPr>
      </w:pPr>
      <w:r>
        <w:rPr>
          <w:rFonts w:ascii="Courier New" w:cs="Courier New" w:eastAsia="Courier New" w:hAnsi="Courier New"/>
          <w:sz w:val="14"/>
          <w:szCs w:val="14"/>
          <w:color w:val="auto"/>
        </w:rPr>
        <w:t>an Officers' Certificate, or established in one or more indentures supplemental hereto, prior to the issuance of Securities of any series, any or all of the following, as applicable (each of which (except for the matters set forth in clauses (1), (2) and (15) below), if so provided, may be determined from time to time by the Company with respect to unissued Securities of the series and set forth in such Securities of the series when issued from time to time):</w:t>
      </w:r>
    </w:p>
    <w:p>
      <w:pPr>
        <w:spacing w:after="0" w:line="162" w:lineRule="exact"/>
        <w:rPr>
          <w:sz w:val="20"/>
          <w:szCs w:val="20"/>
          <w:color w:val="auto"/>
        </w:rPr>
      </w:pPr>
    </w:p>
    <w:p>
      <w:pPr>
        <w:jc w:val="both"/>
        <w:ind w:left="1400" w:right="3159" w:firstLine="456"/>
        <w:spacing w:after="0" w:line="283" w:lineRule="auto"/>
        <w:tabs>
          <w:tab w:leader="none" w:pos="2237"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title of the Securities of the series, including CUSIP Numbers (which shall distinguish the Securities of such series from all other series of Securities);</w:t>
      </w:r>
    </w:p>
    <w:p>
      <w:pPr>
        <w:spacing w:after="0" w:line="154" w:lineRule="exact"/>
        <w:rPr>
          <w:rFonts w:ascii="Courier New" w:cs="Courier New" w:eastAsia="Courier New" w:hAnsi="Courier New"/>
          <w:sz w:val="14"/>
          <w:szCs w:val="14"/>
          <w:color w:val="auto"/>
        </w:rPr>
      </w:pPr>
    </w:p>
    <w:p>
      <w:pPr>
        <w:ind w:left="1400" w:right="2779" w:firstLine="456"/>
        <w:spacing w:after="0" w:line="272" w:lineRule="auto"/>
        <w:tabs>
          <w:tab w:leader="none" w:pos="2237"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limit upon the aggregate principal amount of the Securities of the series that may be authenticated and delivered under this Indenture (except for Securities authenticated and delivered upon registration of transfer of, or in exchange for, or in lieu of, other Securities of the series pursuant to Section 304, 305, 306, 906, 1107 or 1305) and whether any series may be reopened for additional Securities of that series; in the event that such series of Securities may be reopened from time to time for issuances of additional Securities of such series, the terms thereof shall indicate whether any such additional Securities shall have the same terms as the prior Securities of such series or whether the Company may establish additional or different terms with respect to such additional Securities;</w:t>
      </w:r>
    </w:p>
    <w:p>
      <w:pPr>
        <w:spacing w:after="0" w:line="167" w:lineRule="exact"/>
        <w:rPr>
          <w:rFonts w:ascii="Courier New" w:cs="Courier New" w:eastAsia="Courier New" w:hAnsi="Courier New"/>
          <w:sz w:val="14"/>
          <w:szCs w:val="14"/>
          <w:color w:val="auto"/>
        </w:rPr>
      </w:pPr>
    </w:p>
    <w:p>
      <w:pPr>
        <w:ind w:left="1400" w:right="2779" w:firstLine="456"/>
        <w:spacing w:after="0" w:line="235" w:lineRule="auto"/>
        <w:tabs>
          <w:tab w:leader="none" w:pos="2237"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or dates, or the method by which such date or dates will be determined or extended, on which the principal (and premium, if any,) of the Securities of the series shall be payable;</w:t>
      </w:r>
    </w:p>
    <w:p>
      <w:pPr>
        <w:spacing w:after="0" w:line="184" w:lineRule="exact"/>
        <w:rPr>
          <w:rFonts w:ascii="Courier New" w:cs="Courier New" w:eastAsia="Courier New" w:hAnsi="Courier New"/>
          <w:sz w:val="16"/>
          <w:szCs w:val="16"/>
          <w:color w:val="auto"/>
        </w:rPr>
      </w:pPr>
    </w:p>
    <w:p>
      <w:pPr>
        <w:ind w:left="1400" w:right="2779" w:firstLine="456"/>
        <w:spacing w:after="0" w:line="236" w:lineRule="auto"/>
        <w:tabs>
          <w:tab w:leader="none" w:pos="2237"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rate or rates at which the Securities of the series shall bear interest, if any, or the method by which such rate or rates shall be determined, the date or dates from which such interest shall accrue or the method by which such date or dates shall be determined, the Interest Payment Dates on which such interest shall be payable and the Regular Record Date, if any, for the interest payable on any Registered Security on any Interest Payment Date, or the method by which such date shall be determined, and the basis upon which interest shall be calculated if other than on the basis of a 360-day year of twelve 30-day months;</w:t>
      </w:r>
    </w:p>
    <w:p>
      <w:pPr>
        <w:spacing w:after="0" w:line="186" w:lineRule="exact"/>
        <w:rPr>
          <w:rFonts w:ascii="Courier New" w:cs="Courier New" w:eastAsia="Courier New" w:hAnsi="Courier New"/>
          <w:sz w:val="16"/>
          <w:szCs w:val="16"/>
          <w:color w:val="auto"/>
        </w:rPr>
      </w:pPr>
    </w:p>
    <w:p>
      <w:pPr>
        <w:ind w:left="1400" w:right="2779" w:firstLine="456"/>
        <w:spacing w:after="0" w:line="236" w:lineRule="auto"/>
        <w:tabs>
          <w:tab w:leader="none" w:pos="2237"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place or places, if any, other than or in addition to the Borough of Manhattan, The City of New York, where the principal of (and premium, if any) and interest, if any, on Securities of the series shall be payable, where any Registered Securities of the series may be surrendered for registration of transfer, where Securities of the series may be surrendered for exchange, where Securities of the series that are convertible or exchangeable may be surrendered for conversion or exchange, as applicable, and where notices or demands to or upon the Company in respect of the Securities of the series and this Indenture may be served;</w:t>
      </w:r>
    </w:p>
    <w:p>
      <w:pPr>
        <w:spacing w:after="0" w:line="186" w:lineRule="exact"/>
        <w:rPr>
          <w:rFonts w:ascii="Courier New" w:cs="Courier New" w:eastAsia="Courier New" w:hAnsi="Courier New"/>
          <w:sz w:val="16"/>
          <w:szCs w:val="16"/>
          <w:color w:val="auto"/>
        </w:rPr>
      </w:pPr>
    </w:p>
    <w:p>
      <w:pPr>
        <w:ind w:left="1400" w:right="2779" w:firstLine="456"/>
        <w:spacing w:after="0" w:line="235" w:lineRule="auto"/>
        <w:tabs>
          <w:tab w:leader="none" w:pos="2237"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period or periods within which, or the date or dates on which, the price or prices at which, the Currency or Currencies in which, and other terms and conditions upon which</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54" w:right="1440" w:bottom="1440" w:gutter="0" w:footer="0" w:header="0"/>
        </w:sectPr>
      </w:pPr>
    </w:p>
    <w:bookmarkStart w:id="99" w:name="page100"/>
    <w:bookmarkEnd w:id="99"/>
    <w:p>
      <w:pPr>
        <w:jc w:val="both"/>
        <w:ind w:left="200" w:right="2779"/>
        <w:spacing w:after="0" w:line="295" w:lineRule="auto"/>
        <w:rPr>
          <w:sz w:val="20"/>
          <w:szCs w:val="20"/>
          <w:color w:val="auto"/>
        </w:rPr>
      </w:pPr>
      <w:r>
        <w:rPr>
          <w:rFonts w:ascii="Courier New" w:cs="Courier New" w:eastAsia="Courier New" w:hAnsi="Courier New"/>
          <w:sz w:val="14"/>
          <w:szCs w:val="14"/>
          <w:color w:val="auto"/>
        </w:rPr>
        <w:t>Securities of the series may be redeemed, in whole or in part, at the option of the Company, if the Company is to have that option;</w:t>
      </w:r>
    </w:p>
    <w:p>
      <w:pPr>
        <w:spacing w:after="0" w:line="147" w:lineRule="exact"/>
        <w:rPr>
          <w:sz w:val="20"/>
          <w:szCs w:val="20"/>
          <w:color w:val="auto"/>
        </w:rPr>
      </w:pPr>
    </w:p>
    <w:p>
      <w:pPr>
        <w:ind w:left="200" w:right="2779" w:firstLine="456"/>
        <w:spacing w:after="0" w:line="274" w:lineRule="auto"/>
        <w:tabs>
          <w:tab w:leader="none" w:pos="1037"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obligation, if any, of the Company to redeem, repay or purchase Securities of the series pursuant to any sinking fund or analogous provision or at the option of a Holder thereof, and the period or periods within which or the date or dates on which, the price or prices at which, the Currency or Currencies in which, and other terms and conditions upon which Securities of the series shall be redeemed, repaid or purchased, in whole or in part, pursuant to such obligation;</w:t>
      </w:r>
    </w:p>
    <w:p>
      <w:pPr>
        <w:spacing w:after="0" w:line="161" w:lineRule="exact"/>
        <w:rPr>
          <w:rFonts w:ascii="Courier New" w:cs="Courier New" w:eastAsia="Courier New" w:hAnsi="Courier New"/>
          <w:sz w:val="14"/>
          <w:szCs w:val="14"/>
          <w:color w:val="auto"/>
        </w:rPr>
      </w:pPr>
    </w:p>
    <w:p>
      <w:pPr>
        <w:ind w:left="200" w:right="2879" w:firstLine="456"/>
        <w:spacing w:after="0" w:line="236" w:lineRule="auto"/>
        <w:tabs>
          <w:tab w:leader="none" w:pos="1037"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other than denominations of $1,000 and any integral multiple thereof, the denomination or denominations in which any Registered Securities of the series shall be issuable and, if other than denominations of $5,000, the denomination or denominations in which any Bearer Securities of the series shall be issuable;</w:t>
      </w:r>
    </w:p>
    <w:p>
      <w:pPr>
        <w:spacing w:after="0" w:line="182" w:lineRule="exact"/>
        <w:rPr>
          <w:rFonts w:ascii="Courier New" w:cs="Courier New" w:eastAsia="Courier New" w:hAnsi="Courier New"/>
          <w:sz w:val="16"/>
          <w:szCs w:val="16"/>
          <w:color w:val="auto"/>
        </w:rPr>
      </w:pPr>
    </w:p>
    <w:p>
      <w:pPr>
        <w:ind w:left="200" w:right="2779" w:firstLine="456"/>
        <w:spacing w:after="0" w:line="234" w:lineRule="auto"/>
        <w:tabs>
          <w:tab w:leader="none" w:pos="1037"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other than the Trustee, the identity of each Security Registrar and/or Paying Agent;</w:t>
      </w:r>
    </w:p>
    <w:p>
      <w:pPr>
        <w:spacing w:after="0" w:line="183" w:lineRule="exact"/>
        <w:rPr>
          <w:rFonts w:ascii="Courier New" w:cs="Courier New" w:eastAsia="Courier New" w:hAnsi="Courier New"/>
          <w:sz w:val="16"/>
          <w:szCs w:val="16"/>
          <w:color w:val="auto"/>
        </w:rPr>
      </w:pPr>
    </w:p>
    <w:p>
      <w:pPr>
        <w:ind w:left="200" w:right="2779" w:firstLine="456"/>
        <w:spacing w:after="0" w:line="235" w:lineRule="auto"/>
        <w:tabs>
          <w:tab w:leader="none" w:pos="113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other than the principal amount thereof, the portion of the principal amount of Securities of the series that shall be payable upon declaration of acceleration of the Maturity thereof pursuant to Section 502 or the method by which such portion shall be determined;</w:t>
      </w:r>
    </w:p>
    <w:p>
      <w:pPr>
        <w:spacing w:after="0" w:line="185" w:lineRule="exact"/>
        <w:rPr>
          <w:rFonts w:ascii="Courier New" w:cs="Courier New" w:eastAsia="Courier New" w:hAnsi="Courier New"/>
          <w:sz w:val="16"/>
          <w:szCs w:val="16"/>
          <w:color w:val="auto"/>
        </w:rPr>
      </w:pPr>
    </w:p>
    <w:p>
      <w:pPr>
        <w:ind w:left="200" w:right="2779" w:firstLine="456"/>
        <w:spacing w:after="0" w:line="236" w:lineRule="auto"/>
        <w:tabs>
          <w:tab w:leader="none" w:pos="113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other than Dollars, the Currency or Currencies in which payment of the principal of (or premium, if any) or interest, if any, on the Securities of the series shall be made or in which the Securities of the series shall be denominated and the particular provisions applicable thereto in accordance with, in addition to or in lieu of any of the provisions of Section 312;</w:t>
      </w:r>
    </w:p>
    <w:p>
      <w:pPr>
        <w:spacing w:after="0" w:line="183" w:lineRule="exact"/>
        <w:rPr>
          <w:rFonts w:ascii="Courier New" w:cs="Courier New" w:eastAsia="Courier New" w:hAnsi="Courier New"/>
          <w:sz w:val="16"/>
          <w:szCs w:val="16"/>
          <w:color w:val="auto"/>
        </w:rPr>
      </w:pPr>
    </w:p>
    <w:p>
      <w:pPr>
        <w:ind w:left="200" w:right="2959" w:firstLine="456"/>
        <w:spacing w:after="0" w:line="236" w:lineRule="auto"/>
        <w:tabs>
          <w:tab w:leader="none" w:pos="113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the amount of payments of principal of (or premium, if any) or interest, if any, on the Securities of the series may be determined with reference to an index, formula or other method (which index, formula or method may be based, without limitation, on one or more Currencies, commodities, equity indices or other indices), and the manner in which such amounts shall be determined;</w:t>
      </w:r>
    </w:p>
    <w:p>
      <w:pPr>
        <w:spacing w:after="0" w:line="183" w:lineRule="exact"/>
        <w:rPr>
          <w:rFonts w:ascii="Courier New" w:cs="Courier New" w:eastAsia="Courier New" w:hAnsi="Courier New"/>
          <w:sz w:val="16"/>
          <w:szCs w:val="16"/>
          <w:color w:val="auto"/>
        </w:rPr>
      </w:pPr>
    </w:p>
    <w:p>
      <w:pPr>
        <w:ind w:left="200" w:right="2779" w:firstLine="456"/>
        <w:spacing w:after="0" w:line="273" w:lineRule="auto"/>
        <w:tabs>
          <w:tab w:leader="none" w:pos="113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the principal of (or premium, if any) or interest, if any, on the Securities of the series are to be payable, at the election of the Company or a Holder thereof, in a Currency other than that in which such Securities are denominated or stated to be payable, the period or periods within which (including the Election Date), and the terms and conditions upon which, such election may be made, and the time and manner of determining the exchange rate between the Currency in which such Securities are denominated or stated to be payable and the Currency in which such Securities are to be so payable, in each</w:t>
      </w:r>
    </w:p>
    <w:p>
      <w:pPr>
        <w:spacing w:after="0" w:line="200" w:lineRule="exact"/>
        <w:rPr>
          <w:sz w:val="20"/>
          <w:szCs w:val="20"/>
          <w:color w:val="auto"/>
        </w:rPr>
      </w:pPr>
    </w:p>
    <w:p>
      <w:pPr>
        <w:spacing w:after="0" w:line="317"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9019"/>
          </w:cols>
          <w:pgMar w:left="1440" w:top="654" w:right="1440" w:bottom="1440" w:gutter="0" w:footer="0" w:header="0"/>
        </w:sectPr>
      </w:pPr>
    </w:p>
    <w:bookmarkStart w:id="100" w:name="page101"/>
    <w:bookmarkEnd w:id="100"/>
    <w:p>
      <w:pPr>
        <w:ind w:left="200" w:right="2879"/>
        <w:spacing w:after="0" w:line="234" w:lineRule="auto"/>
        <w:rPr>
          <w:sz w:val="20"/>
          <w:szCs w:val="20"/>
          <w:color w:val="auto"/>
        </w:rPr>
      </w:pPr>
      <w:r>
        <w:rPr>
          <w:rFonts w:ascii="Courier New" w:cs="Courier New" w:eastAsia="Courier New" w:hAnsi="Courier New"/>
          <w:sz w:val="16"/>
          <w:szCs w:val="16"/>
          <w:color w:val="auto"/>
        </w:rPr>
        <w:t>case in accordance with, in addition to or in lieu of any of the provisions of Section 312;</w:t>
      </w:r>
    </w:p>
    <w:p>
      <w:pPr>
        <w:spacing w:after="0" w:line="183" w:lineRule="exact"/>
        <w:rPr>
          <w:sz w:val="20"/>
          <w:szCs w:val="20"/>
          <w:color w:val="auto"/>
        </w:rPr>
      </w:pPr>
    </w:p>
    <w:p>
      <w:pPr>
        <w:ind w:left="200" w:right="2959" w:firstLine="456"/>
        <w:spacing w:after="0" w:line="235" w:lineRule="auto"/>
        <w:tabs>
          <w:tab w:leader="none" w:pos="113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provisions, if any, granting special rights to the Holders of Securities of the series upon the occurrence of such events as may be specified;</w:t>
      </w:r>
    </w:p>
    <w:p>
      <w:pPr>
        <w:spacing w:after="0" w:line="183" w:lineRule="exact"/>
        <w:rPr>
          <w:rFonts w:ascii="Courier New" w:cs="Courier New" w:eastAsia="Courier New" w:hAnsi="Courier New"/>
          <w:sz w:val="16"/>
          <w:szCs w:val="16"/>
          <w:color w:val="auto"/>
        </w:rPr>
      </w:pPr>
    </w:p>
    <w:p>
      <w:pPr>
        <w:ind w:left="200" w:right="2779" w:firstLine="456"/>
        <w:spacing w:after="0" w:line="274" w:lineRule="auto"/>
        <w:tabs>
          <w:tab w:leader="none" w:pos="113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deletions from, modifications of or additions to the Events of Default or covenants or other provisions (including any deletions from, modifications of or additions to any of the provisions of Section 1007) of the Company with respect to Securities of the series, whether or not such Events of Default or covenants or other provisions are consistent with the Events of Default or covenants or other provisions set forth herein;</w:t>
      </w:r>
    </w:p>
    <w:p>
      <w:pPr>
        <w:spacing w:after="0" w:line="163" w:lineRule="exact"/>
        <w:rPr>
          <w:rFonts w:ascii="Courier New" w:cs="Courier New" w:eastAsia="Courier New" w:hAnsi="Courier New"/>
          <w:sz w:val="14"/>
          <w:szCs w:val="14"/>
          <w:color w:val="auto"/>
        </w:rPr>
      </w:pPr>
    </w:p>
    <w:p>
      <w:pPr>
        <w:ind w:left="200" w:right="2779" w:firstLine="456"/>
        <w:spacing w:after="0" w:line="272" w:lineRule="auto"/>
        <w:tabs>
          <w:tab w:leader="none" w:pos="113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Securities of the series are to be issuable as Registered Securities, Bearer Securities or both, any restrictions applicable to the offer, sale or delivery of Bearer Securities, whether any Securities of the series are to be issuable initially in temporary global form and whether any Securities of the series are to be issuable in permanent global form with or without coupons and, if so, whether beneficial owners of interests in any such permanent global Security may exchange such interests for Securities of such series and of like tenor of any authorized form and denomination and the circumstances under which any such exchanges may occur, if other than in the manner provided in Section 305, whether Registered Securities of the series may be exchanged for Bearer Securities of the series (if permitted by applicable laws and regulations), whether Bearer Securities of the series may be exchanged for Registered Securities of such series, and the circumstances under which and the place or places where any such exchanges may be made and if Securities of the series are to be issuable in global form, the identity of any initial depository therefor;</w:t>
      </w:r>
    </w:p>
    <w:p>
      <w:pPr>
        <w:spacing w:after="0" w:line="342" w:lineRule="exact"/>
        <w:rPr>
          <w:rFonts w:ascii="Courier New" w:cs="Courier New" w:eastAsia="Courier New" w:hAnsi="Courier New"/>
          <w:sz w:val="14"/>
          <w:szCs w:val="14"/>
          <w:color w:val="auto"/>
        </w:rPr>
      </w:pPr>
    </w:p>
    <w:p>
      <w:pPr>
        <w:ind w:left="200" w:right="2779" w:firstLine="456"/>
        <w:spacing w:after="0" w:line="235" w:lineRule="auto"/>
        <w:tabs>
          <w:tab w:leader="none" w:pos="113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as of which any Bearer Securities of the series and any temporary global Security representing Outstanding Securities of the series shall be dated if other than the date of original issuance of the first Security of the series to be issued;</w:t>
      </w:r>
    </w:p>
    <w:p>
      <w:pPr>
        <w:spacing w:after="0" w:line="185" w:lineRule="exact"/>
        <w:rPr>
          <w:rFonts w:ascii="Courier New" w:cs="Courier New" w:eastAsia="Courier New" w:hAnsi="Courier New"/>
          <w:sz w:val="16"/>
          <w:szCs w:val="16"/>
          <w:color w:val="auto"/>
        </w:rPr>
      </w:pPr>
    </w:p>
    <w:p>
      <w:pPr>
        <w:ind w:left="200" w:right="2779" w:firstLine="456"/>
        <w:spacing w:after="0" w:line="273" w:lineRule="auto"/>
        <w:tabs>
          <w:tab w:leader="none" w:pos="113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Person to whom any interest on any Registered Security of the series shall be payable, if other than the Person in whose name such Security (or one or more Predecessor Securities) is registered at the close of business on the Regular Record Date for such interest, the manner in which, or the Person to whom, any interest on any Bearer Security of the series shall be payable, if otherwise than upon presentation and surrender of the coupons appertaining thereto as they severally mature, and the extent to which, or the manner in which, any interest payable on a temporary global Security on an Interest Payment Date will be paid if other than in the manner provided in Section 304;</w:t>
      </w:r>
    </w:p>
    <w:p>
      <w:pPr>
        <w:spacing w:after="0" w:line="342" w:lineRule="exact"/>
        <w:rPr>
          <w:rFonts w:ascii="Courier New" w:cs="Courier New" w:eastAsia="Courier New" w:hAnsi="Courier New"/>
          <w:sz w:val="14"/>
          <w:szCs w:val="14"/>
          <w:color w:val="auto"/>
        </w:rPr>
      </w:pPr>
    </w:p>
    <w:p>
      <w:pPr>
        <w:ind w:left="200" w:right="2779" w:firstLine="456"/>
        <w:spacing w:after="0" w:line="235" w:lineRule="auto"/>
        <w:tabs>
          <w:tab w:leader="none" w:pos="113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applicability, if any, of Sections 1402 and 1403 to the Securities of the series and any provisions in modification of, in addition to or in lieu of any of the provisions of Article Fourteen;</w:t>
      </w:r>
    </w:p>
    <w:p>
      <w:pPr>
        <w:spacing w:after="0" w:line="357"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9019"/>
          </w:cols>
          <w:pgMar w:left="1440" w:top="654" w:right="1440" w:bottom="1440" w:gutter="0" w:footer="0" w:header="0"/>
        </w:sectPr>
      </w:pPr>
    </w:p>
    <w:bookmarkStart w:id="101" w:name="page102"/>
    <w:bookmarkEnd w:id="101"/>
    <w:p>
      <w:pPr>
        <w:ind w:left="200" w:right="2779" w:firstLine="456"/>
        <w:spacing w:after="0" w:line="236" w:lineRule="auto"/>
        <w:tabs>
          <w:tab w:leader="none" w:pos="1130" w:val="left"/>
        </w:tabs>
        <w:numPr>
          <w:ilvl w:val="1"/>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Securities of such series are to be issuable in definitive form (whether upon original issue or upon exchange of a temporary Security of such series) only upon receipt of certain certificates or other documents or satisfaction of other conditions, then the form and/or terms of such certificates, documents or conditions;</w:t>
      </w:r>
    </w:p>
    <w:p>
      <w:pPr>
        <w:spacing w:after="0" w:line="182" w:lineRule="exact"/>
        <w:rPr>
          <w:rFonts w:ascii="Courier New" w:cs="Courier New" w:eastAsia="Courier New" w:hAnsi="Courier New"/>
          <w:sz w:val="16"/>
          <w:szCs w:val="16"/>
          <w:color w:val="auto"/>
        </w:rPr>
      </w:pPr>
    </w:p>
    <w:p>
      <w:pPr>
        <w:ind w:left="200" w:right="2779" w:firstLine="456"/>
        <w:spacing w:after="0" w:line="274" w:lineRule="auto"/>
        <w:tabs>
          <w:tab w:leader="none" w:pos="1130" w:val="left"/>
        </w:tabs>
        <w:numPr>
          <w:ilvl w:val="1"/>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under what circumstances and the Currency in which, the Company will pay Additional Amounts as contemplated by Section 1005 on the Securities of the series to any Holder who is not a United States person (including any modification to the definition of such term) in respect of any tax, assessment or governmental charge and, if so, whether the Company will have the option to redeem such Securities rather than pay such Additional Amounts (and the terms of any such option);</w:t>
      </w:r>
    </w:p>
    <w:p>
      <w:pPr>
        <w:spacing w:after="0" w:line="161" w:lineRule="exact"/>
        <w:rPr>
          <w:rFonts w:ascii="Courier New" w:cs="Courier New" w:eastAsia="Courier New" w:hAnsi="Courier New"/>
          <w:sz w:val="14"/>
          <w:szCs w:val="14"/>
          <w:color w:val="auto"/>
        </w:rPr>
      </w:pPr>
    </w:p>
    <w:p>
      <w:pPr>
        <w:ind w:left="1120" w:hanging="464"/>
        <w:spacing w:after="0"/>
        <w:tabs>
          <w:tab w:leader="none" w:pos="1120" w:val="left"/>
        </w:tabs>
        <w:numPr>
          <w:ilvl w:val="1"/>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designation of the initial Exchange Rate Agent, if</w:t>
      </w:r>
    </w:p>
    <w:p>
      <w:pPr>
        <w:spacing w:after="0" w:line="16" w:lineRule="exact"/>
        <w:rPr>
          <w:rFonts w:ascii="Courier New" w:cs="Courier New" w:eastAsia="Courier New" w:hAnsi="Courier New"/>
          <w:sz w:val="14"/>
          <w:szCs w:val="14"/>
          <w:color w:val="auto"/>
        </w:rPr>
      </w:pPr>
    </w:p>
    <w:p>
      <w:pPr>
        <w:ind w:left="20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any;</w:t>
      </w:r>
    </w:p>
    <w:p>
      <w:pPr>
        <w:spacing w:after="0" w:line="183" w:lineRule="exact"/>
        <w:rPr>
          <w:rFonts w:ascii="Courier New" w:cs="Courier New" w:eastAsia="Courier New" w:hAnsi="Courier New"/>
          <w:sz w:val="14"/>
          <w:szCs w:val="14"/>
          <w:color w:val="auto"/>
        </w:rPr>
      </w:pPr>
    </w:p>
    <w:p>
      <w:pPr>
        <w:ind w:left="200" w:right="2779" w:firstLine="456"/>
        <w:spacing w:after="0" w:line="274" w:lineRule="auto"/>
        <w:tabs>
          <w:tab w:leader="none" w:pos="1130" w:val="left"/>
        </w:tabs>
        <w:numPr>
          <w:ilvl w:val="1"/>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Securities of the series are to be convertible into or exchangeable for any securities of any Person (including the Company), the terms and conditions upon which such Securities of the series will be so convertible or exchangeable (including, without limitation, the initial conversion price or rate, the conversion period, the conversion agent, if any, adjustments of the applicable conversion price or rate and any requirements with respect to the reservation of shares or Securities for purposes of conversion);</w:t>
      </w:r>
    </w:p>
    <w:p>
      <w:pPr>
        <w:spacing w:after="0" w:line="340" w:lineRule="exact"/>
        <w:rPr>
          <w:rFonts w:ascii="Courier New" w:cs="Courier New" w:eastAsia="Courier New" w:hAnsi="Courier New"/>
          <w:sz w:val="14"/>
          <w:szCs w:val="14"/>
          <w:color w:val="auto"/>
        </w:rPr>
      </w:pPr>
    </w:p>
    <w:p>
      <w:pPr>
        <w:ind w:left="200" w:right="2959" w:firstLine="456"/>
        <w:spacing w:after="0" w:line="235" w:lineRule="auto"/>
        <w:tabs>
          <w:tab w:leader="none" w:pos="1130" w:val="left"/>
        </w:tabs>
        <w:numPr>
          <w:ilvl w:val="1"/>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Securities of the series are to be issued upon the exercise of warrants, the time, manner and place for such Securities to be authenticated and delivered; and</w:t>
      </w:r>
    </w:p>
    <w:p>
      <w:pPr>
        <w:spacing w:after="0" w:line="183" w:lineRule="exact"/>
        <w:rPr>
          <w:rFonts w:ascii="Courier New" w:cs="Courier New" w:eastAsia="Courier New" w:hAnsi="Courier New"/>
          <w:sz w:val="16"/>
          <w:szCs w:val="16"/>
          <w:color w:val="auto"/>
        </w:rPr>
      </w:pPr>
    </w:p>
    <w:p>
      <w:pPr>
        <w:ind w:left="200" w:right="2779" w:firstLine="456"/>
        <w:spacing w:after="0" w:line="234" w:lineRule="auto"/>
        <w:tabs>
          <w:tab w:leader="none" w:pos="1130" w:val="left"/>
        </w:tabs>
        <w:numPr>
          <w:ilvl w:val="1"/>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terms of the series (which terms shall not be inconsistent with the requirements of the TIA).</w:t>
      </w:r>
    </w:p>
    <w:p>
      <w:pPr>
        <w:spacing w:after="0" w:line="183" w:lineRule="exact"/>
        <w:rPr>
          <w:rFonts w:ascii="Courier New" w:cs="Courier New" w:eastAsia="Courier New" w:hAnsi="Courier New"/>
          <w:sz w:val="16"/>
          <w:szCs w:val="16"/>
          <w:color w:val="auto"/>
        </w:rPr>
      </w:pPr>
    </w:p>
    <w:p>
      <w:pPr>
        <w:ind w:left="-1200" w:right="2779" w:firstLine="1391"/>
        <w:spacing w:after="0" w:line="236" w:lineRule="auto"/>
        <w:tabs>
          <w:tab w:leader="none" w:pos="567"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Securities of any one series and the coupons appertaining to any Bearer Securities of such series shall be substantially identical except, in the case of Registered Securities, as to denomination and except as may otherwise be provided in or pursuant to such Board Resolution (subject to Section 303) and set forth in such Officers' Certificate or in any such indenture supplemental hereto. Not all Securities of any one series need to be issued at the same time and, unless otherwise provided, a series may be reopened, without the consent of the Holders, for issuances of additional Securities of such series or to establish additional terms of such series of Securities (which additional terms shall only be applicable to unissued or additional Securities of such series).</w:t>
      </w:r>
    </w:p>
    <w:p>
      <w:pPr>
        <w:spacing w:after="0" w:line="186" w:lineRule="exact"/>
        <w:rPr>
          <w:rFonts w:ascii="Courier New" w:cs="Courier New" w:eastAsia="Courier New" w:hAnsi="Courier New"/>
          <w:sz w:val="16"/>
          <w:szCs w:val="16"/>
          <w:color w:val="auto"/>
        </w:rPr>
      </w:pPr>
    </w:p>
    <w:p>
      <w:pPr>
        <w:ind w:left="-1200" w:right="2779" w:firstLine="1391"/>
        <w:spacing w:after="0" w:line="236" w:lineRule="auto"/>
        <w:tabs>
          <w:tab w:leader="none" w:pos="567"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of the terms of the Securities of any series are established by action taken pursuant to one or more Board Resolutions, a copy of an appropriate record of such action(s) shall be certified by the Secretary or an Assistant Secretary [or any Vice President] of the Company and delivered to the Trustee at or prior to the delivery of the Officers' Certificate setting forth the terms of the Securities of such series.</w:t>
      </w:r>
    </w:p>
    <w:p>
      <w:pPr>
        <w:spacing w:after="0" w:line="356"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9019"/>
          </w:cols>
          <w:pgMar w:left="1440" w:top="654" w:right="1440" w:bottom="1440" w:gutter="0" w:footer="0" w:header="0"/>
        </w:sectPr>
      </w:pPr>
    </w:p>
    <w:bookmarkStart w:id="102" w:name="page103"/>
    <w:bookmarkEnd w:id="102"/>
    <w:p>
      <w:pPr>
        <w:ind w:left="460"/>
        <w:spacing w:after="0"/>
        <w:rPr>
          <w:sz w:val="20"/>
          <w:szCs w:val="20"/>
          <w:color w:val="auto"/>
        </w:rPr>
      </w:pPr>
      <w:r>
        <w:rPr>
          <w:rFonts w:ascii="Courier New" w:cs="Courier New" w:eastAsia="Courier New" w:hAnsi="Courier New"/>
          <w:sz w:val="16"/>
          <w:szCs w:val="16"/>
          <w:color w:val="auto"/>
        </w:rPr>
        <w:t>SECTION 302. Denominations</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1395"/>
        <w:spacing w:after="0" w:line="236" w:lineRule="auto"/>
        <w:rPr>
          <w:sz w:val="20"/>
          <w:szCs w:val="20"/>
          <w:color w:val="auto"/>
        </w:rPr>
      </w:pPr>
      <w:r>
        <w:rPr>
          <w:rFonts w:ascii="Courier New" w:cs="Courier New" w:eastAsia="Courier New" w:hAnsi="Courier New"/>
          <w:sz w:val="16"/>
          <w:szCs w:val="16"/>
          <w:color w:val="auto"/>
        </w:rPr>
        <w:t>The Securities of each series shall be issuable in such denominations as shall be specified as contemplated by Section 301. In the absence of any such provision with respect to Securities of any series, the principal, premium and interest and Additional Amounts with respect to the Securities shall be payable in Dollars. With respect to Securities of any series denominated in Dollars, in the absence of any such provisions with respect to the Securities of any series, the Registered Securities of such series, other than Registered Securities issued in global form (which may be of any denomination) shall be issuable in denominations of $1,000 and any integral multiple thereof, and the Bearer Securities of such series, other than Bearer Securities issued in global form (which may be of any denomination), shall be issuable in a denomination of $5,000.</w:t>
      </w:r>
    </w:p>
    <w:p>
      <w:pPr>
        <w:spacing w:after="0" w:line="18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303. Execution, Authentication, Delivery and Dating</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1391"/>
        <w:spacing w:after="0" w:line="236" w:lineRule="auto"/>
        <w:tabs>
          <w:tab w:leader="none" w:pos="1767"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Securities and any coupons appertaining thereto shall be executed on behalf of the Company by its Chairman, its President or Chief Executive Officer, under its corporate seal reproduced thereon or a facsimile or copy thereof and attested by its Secretary or one of its Assistant Secretaries or Vice Presidents. The signature of any of these officers on the Securities and coupons may be manual or facsimile signatures of the present or any future such authorized officer and may be imprinted or otherwise reproduced on the Securities.</w:t>
      </w:r>
    </w:p>
    <w:p>
      <w:pPr>
        <w:spacing w:after="0" w:line="184" w:lineRule="exact"/>
        <w:rPr>
          <w:rFonts w:ascii="Courier New" w:cs="Courier New" w:eastAsia="Courier New" w:hAnsi="Courier New"/>
          <w:sz w:val="16"/>
          <w:szCs w:val="16"/>
          <w:color w:val="auto"/>
        </w:rPr>
      </w:pPr>
    </w:p>
    <w:p>
      <w:pPr>
        <w:ind w:right="2879" w:firstLine="1391"/>
        <w:spacing w:after="0" w:line="236" w:lineRule="auto"/>
        <w:tabs>
          <w:tab w:leader="none" w:pos="1767"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or coupons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 or coupons.</w:t>
      </w:r>
    </w:p>
    <w:p>
      <w:pPr>
        <w:spacing w:after="0" w:line="182" w:lineRule="exact"/>
        <w:rPr>
          <w:rFonts w:ascii="Courier New" w:cs="Courier New" w:eastAsia="Courier New" w:hAnsi="Courier New"/>
          <w:sz w:val="16"/>
          <w:szCs w:val="16"/>
          <w:color w:val="auto"/>
        </w:rPr>
      </w:pPr>
    </w:p>
    <w:p>
      <w:pPr>
        <w:ind w:right="2779" w:firstLine="1391"/>
        <w:spacing w:after="0" w:line="271" w:lineRule="auto"/>
        <w:tabs>
          <w:tab w:leader="none" w:pos="1767"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and from time to time after the execution and delivery of this Indenture, the Company may deliver Securities of any series, together with any coupon appertaining thereto, executed by the Company, to the Trustee for authentication, together with a Company Order for the authentication and delivery of such Securities, and the Trustee in accordance with the Company Order shall authenticate and deliver such Securities; provided, that, in connection with its original issuance, no Bearer Security shall be mailed or otherwise delivered to any location in the United States; and provided further that, unless otherwise specified with respect to any series of Securities pursuant to Section 301, a Bearer Security may be delivered in connection with its original issuance only if the Person entitled to receive such Bearer Security shall have furnished a certificate in the form set forth in Exhibit A-1 to this Indenture or such other certificate as may be specified with respect to any series of Securities pursuant to Section 301, dated no earlier than 15 days prior to the earlier of the date on which such Bearer Security is delivered and the date on which any temporary Security first becomes exchangeable for such Bearer Security in accordance with the terms of such temporary Security and this Indenture. If any Security shall be represented by a permanent global Bearer Security, then, for purposes of this Section and Section 304, the notation of a beneficial owner's interest therein upon original issuance of such Security or upon exchange of a portion of a temporary global Security shall be deemed to be delivery in connection with its original issuance of such beneficial owner's interest in such permanent global Bearer Security. Except as permitted by</w:t>
      </w:r>
    </w:p>
    <w:p>
      <w:pPr>
        <w:spacing w:after="0" w:line="200" w:lineRule="exact"/>
        <w:rPr>
          <w:sz w:val="20"/>
          <w:szCs w:val="20"/>
          <w:color w:val="auto"/>
        </w:rPr>
      </w:pPr>
    </w:p>
    <w:p>
      <w:pPr>
        <w:spacing w:after="0" w:line="32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48" w:right="1440" w:bottom="1440" w:gutter="0" w:footer="0" w:header="0"/>
        </w:sectPr>
      </w:pPr>
    </w:p>
    <w:bookmarkStart w:id="103" w:name="page104"/>
    <w:bookmarkEnd w:id="103"/>
    <w:p>
      <w:pPr>
        <w:ind w:right="2779"/>
        <w:spacing w:after="0" w:line="236" w:lineRule="auto"/>
        <w:rPr>
          <w:sz w:val="20"/>
          <w:szCs w:val="20"/>
          <w:color w:val="auto"/>
        </w:rPr>
      </w:pPr>
      <w:r>
        <w:rPr>
          <w:rFonts w:ascii="Courier New" w:cs="Courier New" w:eastAsia="Courier New" w:hAnsi="Courier New"/>
          <w:sz w:val="16"/>
          <w:szCs w:val="16"/>
          <w:color w:val="auto"/>
        </w:rPr>
        <w:t>Section 306, the Trustee shall not authenticate and deliver any Bearer Security unless all appurtenant coupons for interest then matured have been detached and cancelled. If all the Securities of any series are not to be issued at one time and if the Board Resolution or supplemental indenture establishing such series shall so permit, such Company Order may set forth procedures acceptable to the Trustee for the issuance of such Securities and determining the terms of particular Securities of such series, such as interest rate, maturity date, date of issuance and date from which interest shall accrue. In authenticating such Securities, and accepting the additional responsibilities under this Indenture in relation to such Securities, the Trustee shall be entitled to receive, and (subject to TIA Sections 315(a) through 315(d)) shall be fully protected in relying upon,</w:t>
      </w:r>
    </w:p>
    <w:p>
      <w:pPr>
        <w:spacing w:after="0" w:line="181" w:lineRule="exact"/>
        <w:rPr>
          <w:sz w:val="20"/>
          <w:szCs w:val="20"/>
          <w:color w:val="auto"/>
        </w:rPr>
      </w:pPr>
    </w:p>
    <w:p>
      <w:pPr>
        <w:ind w:left="1760" w:hanging="369"/>
        <w:spacing w:after="0"/>
        <w:tabs>
          <w:tab w:leader="none" w:pos="176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Opinion of Counsel stating,</w:t>
      </w:r>
    </w:p>
    <w:p>
      <w:pPr>
        <w:spacing w:after="0" w:line="182" w:lineRule="exact"/>
        <w:rPr>
          <w:rFonts w:ascii="Courier New" w:cs="Courier New" w:eastAsia="Courier New" w:hAnsi="Courier New"/>
          <w:sz w:val="16"/>
          <w:szCs w:val="16"/>
          <w:color w:val="auto"/>
        </w:rPr>
      </w:pPr>
    </w:p>
    <w:p>
      <w:pPr>
        <w:ind w:left="1400" w:right="2959" w:firstLine="456"/>
        <w:spacing w:after="0" w:line="235" w:lineRule="auto"/>
        <w:tabs>
          <w:tab w:leader="none" w:pos="2237" w:val="left"/>
        </w:tabs>
        <w:numPr>
          <w:ilvl w:val="1"/>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the form or forms of such Securities and any coupons have been established in conformity with the provisions of this Indenture;</w:t>
      </w:r>
    </w:p>
    <w:p>
      <w:pPr>
        <w:spacing w:after="0" w:line="183" w:lineRule="exact"/>
        <w:rPr>
          <w:rFonts w:ascii="Courier New" w:cs="Courier New" w:eastAsia="Courier New" w:hAnsi="Courier New"/>
          <w:sz w:val="16"/>
          <w:szCs w:val="16"/>
          <w:color w:val="auto"/>
        </w:rPr>
      </w:pPr>
    </w:p>
    <w:p>
      <w:pPr>
        <w:ind w:left="1400" w:right="2879" w:firstLine="456"/>
        <w:spacing w:after="0" w:line="235" w:lineRule="auto"/>
        <w:tabs>
          <w:tab w:leader="none" w:pos="2330" w:val="left"/>
        </w:tabs>
        <w:numPr>
          <w:ilvl w:val="1"/>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the terms of such Securities and any coupons have been established in conformity with the provisions of this Indenture; and</w:t>
      </w:r>
    </w:p>
    <w:p>
      <w:pPr>
        <w:spacing w:after="0" w:line="183" w:lineRule="exact"/>
        <w:rPr>
          <w:rFonts w:ascii="Courier New" w:cs="Courier New" w:eastAsia="Courier New" w:hAnsi="Courier New"/>
          <w:sz w:val="16"/>
          <w:szCs w:val="16"/>
          <w:color w:val="auto"/>
        </w:rPr>
      </w:pPr>
    </w:p>
    <w:p>
      <w:pPr>
        <w:ind w:left="1400" w:right="2779" w:firstLine="456"/>
        <w:spacing w:after="0" w:line="236" w:lineRule="auto"/>
        <w:tabs>
          <w:tab w:leader="none" w:pos="2423" w:val="left"/>
        </w:tabs>
        <w:numPr>
          <w:ilvl w:val="1"/>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such Securities, together with any coupons appertaining thereto, when completed by appropriate insertions and executed and delivered by the Company to the Trustee for authentication in accordance with this Indenture, authenticated and delivered by the Trustee in accordance with this Indenture and issued by the Company in the manner and subject to any conditions specified in such Opinion of Counsel, will constitute legal, valid and binding obligations of the Company, enforceable in accordance with their terms, subject to applicable bankruptcy, insolvency, reorganization and other similar laws of general applicability relating to or affecting the enforcement of creditors' rights, to general equitable principles and to such other qualifications as such counsel shall conclude do not materially affect the rights of Holders of such Securities and any coupons;</w:t>
      </w:r>
    </w:p>
    <w:p>
      <w:pPr>
        <w:spacing w:after="0" w:line="189" w:lineRule="exact"/>
        <w:rPr>
          <w:sz w:val="20"/>
          <w:szCs w:val="20"/>
          <w:color w:val="auto"/>
        </w:rPr>
      </w:pPr>
    </w:p>
    <w:p>
      <w:pPr>
        <w:ind w:left="1400" w:right="2779" w:firstLine="456"/>
        <w:spacing w:after="0" w:line="235" w:lineRule="auto"/>
        <w:tabs>
          <w:tab w:leader="none" w:pos="2237" w:val="left"/>
        </w:tabs>
        <w:numPr>
          <w:ilvl w:val="1"/>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Officers' Certificate stating, to the best of the knowledge of the signers of such certificate, that no Event of Default with respect to any of the Securities shall have occurred and be continuing; and</w:t>
      </w:r>
    </w:p>
    <w:p>
      <w:pPr>
        <w:spacing w:after="0" w:line="178" w:lineRule="exact"/>
        <w:rPr>
          <w:rFonts w:ascii="Courier New" w:cs="Courier New" w:eastAsia="Courier New" w:hAnsi="Courier New"/>
          <w:sz w:val="16"/>
          <w:szCs w:val="16"/>
          <w:color w:val="auto"/>
        </w:rPr>
      </w:pPr>
    </w:p>
    <w:p>
      <w:pPr>
        <w:ind w:left="2220" w:hanging="364"/>
        <w:spacing w:after="0"/>
        <w:tabs>
          <w:tab w:leader="none" w:pos="2220" w:val="left"/>
        </w:tabs>
        <w:numPr>
          <w:ilvl w:val="1"/>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executed supplemental indenture (if any).</w:t>
      </w:r>
    </w:p>
    <w:p>
      <w:pPr>
        <w:spacing w:after="0" w:line="182" w:lineRule="exact"/>
        <w:rPr>
          <w:rFonts w:ascii="Courier New" w:cs="Courier New" w:eastAsia="Courier New" w:hAnsi="Courier New"/>
          <w:sz w:val="16"/>
          <w:szCs w:val="16"/>
          <w:color w:val="auto"/>
        </w:rPr>
      </w:pPr>
    </w:p>
    <w:p>
      <w:pPr>
        <w:ind w:right="2779" w:firstLine="1391"/>
        <w:spacing w:after="0" w:line="236" w:lineRule="auto"/>
        <w:tabs>
          <w:tab w:leader="none" w:pos="1767"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provisions of Section 301 and of this Section 303, if all the Securities of any series are not to be issued at one time, it shall not be necessary to deliver an Officers' Certificate otherwise required pursuant to Section 301 or the Company Order, Opinion of Counsel or Officers' Certificate otherwise required pursuant to Subsection (c) of this Section at the time of issuance of each Security of such series, but such order, opinion and certificates, with appropriate modifications to cover such future issuances, shall be delivered at or before the time of issuance of the first Security of such series.</w:t>
      </w:r>
    </w:p>
    <w:p>
      <w:pPr>
        <w:spacing w:after="0" w:line="184" w:lineRule="exact"/>
        <w:rPr>
          <w:rFonts w:ascii="Courier New" w:cs="Courier New" w:eastAsia="Courier New" w:hAnsi="Courier New"/>
          <w:sz w:val="16"/>
          <w:szCs w:val="16"/>
          <w:color w:val="auto"/>
        </w:rPr>
      </w:pPr>
    </w:p>
    <w:p>
      <w:pPr>
        <w:ind w:right="2959" w:firstLine="1391"/>
        <w:spacing w:after="0" w:line="283" w:lineRule="auto"/>
        <w:tabs>
          <w:tab w:leader="none" w:pos="1767"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not be required to authenticate such Securities if the issue of such Securities pursuant to this Indenture will affect the Trustee's own rights, duties or immunities under the Securities and</w:t>
      </w:r>
    </w:p>
    <w:p>
      <w:pPr>
        <w:spacing w:after="0" w:line="32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654" w:right="1440" w:bottom="1440" w:gutter="0" w:footer="0" w:header="0"/>
        </w:sectPr>
      </w:pPr>
    </w:p>
    <w:bookmarkStart w:id="104" w:name="page105"/>
    <w:bookmarkEnd w:id="104"/>
    <w:p>
      <w:pPr>
        <w:ind w:right="2879"/>
        <w:spacing w:after="0" w:line="235" w:lineRule="auto"/>
        <w:rPr>
          <w:sz w:val="20"/>
          <w:szCs w:val="20"/>
          <w:color w:val="auto"/>
        </w:rPr>
      </w:pPr>
      <w:r>
        <w:rPr>
          <w:rFonts w:ascii="Courier New" w:cs="Courier New" w:eastAsia="Courier New" w:hAnsi="Courier New"/>
          <w:sz w:val="16"/>
          <w:szCs w:val="16"/>
          <w:color w:val="auto"/>
        </w:rPr>
        <w:t>this Indenture or otherwise in a manner which is not reasonably acceptable to the Trustee. Notwithstanding the generality of the foregoing, the Trustee will not be required to authenticate Securities denominated in a Foreign Currency if the Trustee reasonably believes that it would be unable to perform its duties with respect to such Securities.</w:t>
      </w:r>
    </w:p>
    <w:p>
      <w:pPr>
        <w:spacing w:after="0" w:line="186" w:lineRule="exact"/>
        <w:rPr>
          <w:sz w:val="20"/>
          <w:szCs w:val="20"/>
          <w:color w:val="auto"/>
        </w:rPr>
      </w:pPr>
    </w:p>
    <w:p>
      <w:pPr>
        <w:ind w:right="2879" w:firstLine="1391"/>
        <w:spacing w:after="0" w:line="235" w:lineRule="auto"/>
        <w:tabs>
          <w:tab w:leader="none" w:pos="1767"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Registered Security shall be dated the date of its authentication and each Bearer Security shall be dated as of the date specified as contemplated by Section 301.</w:t>
      </w:r>
    </w:p>
    <w:p>
      <w:pPr>
        <w:spacing w:after="0" w:line="183" w:lineRule="exact"/>
        <w:rPr>
          <w:rFonts w:ascii="Courier New" w:cs="Courier New" w:eastAsia="Courier New" w:hAnsi="Courier New"/>
          <w:sz w:val="16"/>
          <w:szCs w:val="16"/>
          <w:color w:val="auto"/>
        </w:rPr>
      </w:pPr>
    </w:p>
    <w:p>
      <w:pPr>
        <w:ind w:right="2779" w:firstLine="1391"/>
        <w:spacing w:after="0" w:line="274" w:lineRule="auto"/>
        <w:tabs>
          <w:tab w:leader="none" w:pos="1767"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Security or coupon shall be entitled to any benefit under this Indenture or be valid or obligatory for any purpose unless there appears on such Security or Security to which such coupon appertains a certificate of authentication substantially in the form provided for herein duly executed by the Trustee or an Authenticating Agent by manual signature of an authorized signatory, and such certificate upon any Security shall be conclusive evidence, and the only evidence, that such Security has been duly authenticated and delivered hereunder and is entitled to the benefits of this Indenture.</w:t>
      </w:r>
    </w:p>
    <w:p>
      <w:pPr>
        <w:spacing w:after="0" w:line="161" w:lineRule="exact"/>
        <w:rPr>
          <w:rFonts w:ascii="Courier New" w:cs="Courier New" w:eastAsia="Courier New" w:hAnsi="Courier New"/>
          <w:sz w:val="14"/>
          <w:szCs w:val="14"/>
          <w:color w:val="auto"/>
        </w:rPr>
      </w:pPr>
    </w:p>
    <w:p>
      <w:pPr>
        <w:ind w:right="2779" w:firstLine="1391"/>
        <w:spacing w:after="0" w:line="236" w:lineRule="auto"/>
        <w:tabs>
          <w:tab w:leader="none" w:pos="1767"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if any Security shall have been authenticated and delivered hereunder but never issued and sold by the Company, and the Company shall deliver such Security to the Trustee for cancellation as provided in Section 310 together with a written statement (which need not comply with Section 102 and need not be accompanied by an Opinion of Counsel) stating that such Security has never been issued and sold by the Company, for all purposes of this Indenture such Security shall be deemed never to have been authenticated and delivered hereunder and shall never be entitled to the benefits of this Indenture.</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304. Temporary Securities</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1391"/>
        <w:spacing w:after="0" w:line="273" w:lineRule="auto"/>
        <w:tabs>
          <w:tab w:leader="none" w:pos="1767"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Pending the preparation of definitive Securities of any series,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in lieu of which they are issued, in registered form, or, if authorized, in bearer form with one or more coupons or without coupons, and with such appropriate insertions, omissions, substitutions and other variations as the officers executing such Securities may determine, as conclusively evidenced by their execution of such Securities. Such temporary Securities may be in global form.</w:t>
      </w:r>
    </w:p>
    <w:p>
      <w:pPr>
        <w:spacing w:after="0" w:line="344" w:lineRule="exact"/>
        <w:rPr>
          <w:rFonts w:ascii="Courier New" w:cs="Courier New" w:eastAsia="Courier New" w:hAnsi="Courier New"/>
          <w:sz w:val="14"/>
          <w:szCs w:val="14"/>
          <w:color w:val="auto"/>
        </w:rPr>
      </w:pPr>
    </w:p>
    <w:p>
      <w:pPr>
        <w:ind w:right="2779" w:firstLine="1391"/>
        <w:spacing w:after="0" w:line="272" w:lineRule="auto"/>
        <w:tabs>
          <w:tab w:leader="none" w:pos="1767"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in the case of temporary Securities in global form (which shall be exchanged in accordance with Subsection 304(c) or as otherwise provided in or pursuant to a Board Resolution), 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(accompanied by any non-matured coupons appertaining thereto), the Company shall execute and the Trustee shall authenticate and deliver in exchange therefor a like principal amount of definitive Securities of the same series of authorized denominations; provided, that, no definitive Bearer Security shall be delivered in exchange for a temporary Registered Security; and provided further that a</w:t>
      </w:r>
    </w:p>
    <w:p>
      <w:pPr>
        <w:spacing w:after="0" w:line="200" w:lineRule="exact"/>
        <w:rPr>
          <w:sz w:val="20"/>
          <w:szCs w:val="20"/>
          <w:color w:val="auto"/>
        </w:rPr>
      </w:pPr>
    </w:p>
    <w:p>
      <w:pPr>
        <w:spacing w:after="0" w:line="31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654" w:right="1440" w:bottom="1440" w:gutter="0" w:footer="0" w:header="0"/>
        </w:sectPr>
      </w:pPr>
    </w:p>
    <w:bookmarkStart w:id="105" w:name="page106"/>
    <w:bookmarkEnd w:id="105"/>
    <w:p>
      <w:pPr>
        <w:ind w:right="2779"/>
        <w:spacing w:after="0" w:line="235" w:lineRule="auto"/>
        <w:rPr>
          <w:sz w:val="20"/>
          <w:szCs w:val="20"/>
          <w:color w:val="auto"/>
        </w:rPr>
      </w:pPr>
      <w:r>
        <w:rPr>
          <w:rFonts w:ascii="Courier New" w:cs="Courier New" w:eastAsia="Courier New" w:hAnsi="Courier New"/>
          <w:sz w:val="16"/>
          <w:szCs w:val="16"/>
          <w:color w:val="auto"/>
        </w:rPr>
        <w:t>definitive Bearer Security shall be delivered in exchange for a temporary Bearer Security only in compliance with the conditions set forth in Section 303. Until so exchanged, the temporary Securities of any series shall in all respects be entitled to the same benefits under this Indenture as definitive Securities of such series.</w:t>
      </w:r>
    </w:p>
    <w:p>
      <w:pPr>
        <w:spacing w:after="0" w:line="186" w:lineRule="exact"/>
        <w:rPr>
          <w:sz w:val="20"/>
          <w:szCs w:val="20"/>
          <w:color w:val="auto"/>
        </w:rPr>
      </w:pPr>
    </w:p>
    <w:p>
      <w:pPr>
        <w:ind w:right="3339" w:firstLine="1391"/>
        <w:spacing w:after="0" w:line="235" w:lineRule="auto"/>
        <w:tabs>
          <w:tab w:leader="none" w:pos="1767"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(1) Unless otherwise provided in or pursuant to a Board Resolution, this Section 304(c) shall govern the exchange of temporary Securities issued in global form.</w:t>
      </w:r>
    </w:p>
    <w:p>
      <w:pPr>
        <w:spacing w:after="0" w:line="183" w:lineRule="exact"/>
        <w:rPr>
          <w:rFonts w:ascii="Courier New" w:cs="Courier New" w:eastAsia="Courier New" w:hAnsi="Courier New"/>
          <w:sz w:val="16"/>
          <w:szCs w:val="16"/>
          <w:color w:val="auto"/>
        </w:rPr>
      </w:pPr>
    </w:p>
    <w:p>
      <w:pPr>
        <w:ind w:left="1400" w:right="2879" w:firstLine="456"/>
        <w:spacing w:after="0" w:line="274" w:lineRule="auto"/>
        <w:tabs>
          <w:tab w:leader="none" w:pos="2237" w:val="left"/>
        </w:tabs>
        <w:numPr>
          <w:ilvl w:val="1"/>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temporary Securities of any series are issued in global form, any such temporary global Security shall, unless otherwise provided therein, be delivered to the London office of a depositary or common depositary (the "Common Depositary"), for the benefit of Euroclear and Clearstream, for credit to the respective accounts of the beneficial owners of such Securities (or to such other accounts as they may direct).</w:t>
      </w:r>
    </w:p>
    <w:p>
      <w:pPr>
        <w:spacing w:after="0" w:line="163" w:lineRule="exact"/>
        <w:rPr>
          <w:rFonts w:ascii="Courier New" w:cs="Courier New" w:eastAsia="Courier New" w:hAnsi="Courier New"/>
          <w:sz w:val="14"/>
          <w:szCs w:val="14"/>
          <w:color w:val="auto"/>
        </w:rPr>
      </w:pPr>
    </w:p>
    <w:p>
      <w:pPr>
        <w:ind w:left="1400" w:right="2779" w:firstLine="456"/>
        <w:spacing w:after="0" w:line="271" w:lineRule="auto"/>
        <w:tabs>
          <w:tab w:leader="none" w:pos="2237" w:val="left"/>
        </w:tabs>
        <w:numPr>
          <w:ilvl w:val="1"/>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unnecessary delay but in any event not later than the date specified in, or determined pursuant to the terms of, any such temporary global Security (the "Exchange Date"), the Company shall deliver to the Trustee definitive Securities, in aggregate principal amount equal to the principal amount of such temporary global Security, executed by the Company. On or after the Exchange Date, such temporary global Security shall be surrendered by the Common Depositary to the Trustee, as the Company's agent for such purpose, to be exchanged, in whole or from time to time in part, for definitive Securities without charge, and the Trustee shall authenticate and deliver, in exchange for each portion of such temporary global Security and upon receipt of the Company Order described in Section 303, an equal aggregate principal amount of definitive Securities of the same series of authorized denominations and of like tenor as the portion of such temporary global Security to be exchanged. The definitive Securities to be delivered in exchange for any such temporary global Security shall be in bearer form, registered form, permanent global bearer form or permanent global registered form, or any combination thereof, as specified as contemplated by Section 301, and, if any combination thereof is so specified, as requested by the beneficial owner thereof; provided, that, unless otherwise specified in such temporary global Security, upon such presentation by the Common Depositary, such temporary global Security is accompanied by a certificate dated the Exchange Date or a subsequent date and signed by Euroclear as to the portion of such temporary global Security held for its account then to be exchanged and a certificate dated the Exchange Date or a subsequent date and signed by Clearstream as to the portion of such temporary global Security held for its account then to be exchanged, each in the form set forth in Exhibit A-2 to this Indenture or in such other form as may be established pursuant to Section 301; and provided further that definitive Bearer Securities shall be delivered in exchange for a portion of a temporary global Security only in compliance with the requirements of Section 303.</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309" w:lineRule="exact"/>
        <w:rPr>
          <w:rFonts w:ascii="Courier New" w:cs="Courier New" w:eastAsia="Courier New" w:hAnsi="Courier New"/>
          <w:sz w:val="14"/>
          <w:szCs w:val="14"/>
          <w:color w:val="auto"/>
        </w:rPr>
      </w:pPr>
    </w:p>
    <w:p>
      <w:pPr>
        <w:ind w:left="1400" w:right="2959" w:firstLine="456"/>
        <w:spacing w:after="0" w:line="283" w:lineRule="auto"/>
        <w:tabs>
          <w:tab w:leader="none" w:pos="2237" w:val="left"/>
        </w:tabs>
        <w:numPr>
          <w:ilvl w:val="1"/>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specified in such temporary global Security, the interest of a beneficial owner of Securities of a series in a temporary global Security shall be exchanged for</w:t>
      </w:r>
    </w:p>
    <w:p>
      <w:pPr>
        <w:spacing w:after="0" w:line="32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654" w:right="1440" w:bottom="1440" w:gutter="0" w:footer="0" w:header="0"/>
        </w:sectPr>
      </w:pPr>
    </w:p>
    <w:bookmarkStart w:id="106" w:name="page107"/>
    <w:bookmarkEnd w:id="106"/>
    <w:p>
      <w:pPr>
        <w:ind w:left="200" w:right="2779"/>
        <w:spacing w:after="0" w:line="236" w:lineRule="auto"/>
        <w:rPr>
          <w:sz w:val="20"/>
          <w:szCs w:val="20"/>
          <w:color w:val="auto"/>
        </w:rPr>
      </w:pPr>
      <w:r>
        <w:rPr>
          <w:rFonts w:ascii="Courier New" w:cs="Courier New" w:eastAsia="Courier New" w:hAnsi="Courier New"/>
          <w:sz w:val="16"/>
          <w:szCs w:val="16"/>
          <w:color w:val="auto"/>
        </w:rPr>
        <w:t>definitive Securities of the same series and of like tenor following the Exchange Date when the account holder instructs Euroclear or Clearstream, as the case may be, to request such exchange on his behalf and delivers to Euroclear or Clearstream, as the case may be, a certificate in the form set forth in Exhibit A-1 to this Indenture (or in such other form as may be established pursuant to Section 301), dated no earlier than 15 days prior to the Exchange Date, copies of which certificate shall be available from the offices of Euroclear and Clearstream, the Trustee, any Authenticating Agent appointed for such series of Securities and each Paying Agent. Unless otherwise specified in such temporary global Security, any such exchange shall be made free of charge to the beneficial owners of such temporary global Security, except that a Person receiving definitive Securities must bear the cost of insurance, postage, transportation and the like in the event that such Person does not take delivery of such definitive Securities in person at the offices of Euroclear or Clearstream. Definitive Securities in bearer form to be delivered in exchange for any portion of a temporary global Security shall be delivered only outside the United States.</w:t>
      </w:r>
    </w:p>
    <w:p>
      <w:pPr>
        <w:spacing w:after="0" w:line="193" w:lineRule="exact"/>
        <w:rPr>
          <w:sz w:val="20"/>
          <w:szCs w:val="20"/>
          <w:color w:val="auto"/>
        </w:rPr>
      </w:pPr>
    </w:p>
    <w:p>
      <w:pPr>
        <w:ind w:left="200" w:right="2779" w:firstLine="456"/>
        <w:spacing w:after="0" w:line="271" w:lineRule="auto"/>
        <w:tabs>
          <w:tab w:leader="none" w:pos="1037" w:val="left"/>
        </w:tabs>
        <w:numPr>
          <w:ilvl w:val="1"/>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Until exchanged in full as hereinabove provided, the temporary Securities of any series shall in all respects be entitled to the same benefits under this Indenture as definitive Securities of the same series and of like tenor authenticated and delivered hereunder, except that, unless otherwise specified as contemplated by Section 301, interest payable on a temporary global Security on an Interest Payment Date for Securities of such series occurring prior to the applicable Exchange Date shall be payable to Euroclear and Clearstream on such Interest Payment Date upon delivery by Euroclear and Clearstream to the Trustee of a certificate or certificates in the form set forth in Exhibit A-2 to this Indenture (or in such other forms as may be established pursuant to Section 301), for credit without further interest thereon on or after such Interest Payment Date to the respective accounts of the Persons who are the beneficial owners of such temporary global Security on such Interest Payment Date and who have each delivered to Euroclear or Clearstream, as the case may be, a certificate dated no earlier than 15 days prior to the Interest Payment Date occurring prior to such Exchange Date in the form set forth in Exhibit A-1 to this Indenture (or in such other forms as may be established pursuant to Section 301). Notwithstanding anything to the contrary herein contained, the certifications made pursuant to this clause (5) of Subsection 304(c) shall satisfy the certification requirements of clauses</w:t>
      </w:r>
    </w:p>
    <w:p>
      <w:pPr>
        <w:spacing w:after="0" w:line="174" w:lineRule="exact"/>
        <w:rPr>
          <w:rFonts w:ascii="Courier New" w:cs="Courier New" w:eastAsia="Courier New" w:hAnsi="Courier New"/>
          <w:sz w:val="14"/>
          <w:szCs w:val="14"/>
          <w:color w:val="auto"/>
        </w:rPr>
      </w:pPr>
    </w:p>
    <w:p>
      <w:pPr>
        <w:ind w:left="200" w:right="2779" w:hanging="9"/>
        <w:spacing w:after="0" w:line="270" w:lineRule="auto"/>
        <w:tabs>
          <w:tab w:leader="none" w:pos="572"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(4) of this Subsection 304(c) and of Subsection 303(c) of this Indenture and the interests of the Persons who are the beneficial owners of the temporary global Security with respect to which such certification was made will be exchanged for definitive Securities of the same series and of like tenor on the Exchange Date or the date of certification if such date occurs after the Exchange Date, without further act or deed by such beneficial owners. Except as otherwise provided in this clause</w:t>
      </w:r>
    </w:p>
    <w:p>
      <w:pPr>
        <w:spacing w:after="0" w:line="3" w:lineRule="exact"/>
        <w:rPr>
          <w:rFonts w:ascii="Courier New" w:cs="Courier New" w:eastAsia="Courier New" w:hAnsi="Courier New"/>
          <w:sz w:val="14"/>
          <w:szCs w:val="14"/>
          <w:color w:val="auto"/>
        </w:rPr>
      </w:pPr>
    </w:p>
    <w:p>
      <w:pPr>
        <w:ind w:left="200" w:right="2779" w:hanging="9"/>
        <w:spacing w:after="0" w:line="275" w:lineRule="auto"/>
        <w:tabs>
          <w:tab w:leader="none" w:pos="572"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Subsection 304(c), no payments of principal (or premium, if any) or interest, if any, owing with respect to a beneficial interest in a temporary global Security will be made unless and until such interest in such temporary global Security shall have been exchanged for an interest in a definitive Security. Any interest so received by Euroclear and Clearstream and not paid as</w:t>
      </w:r>
    </w:p>
    <w:p>
      <w:pPr>
        <w:spacing w:after="0" w:line="335"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9019"/>
          </w:cols>
          <w:pgMar w:left="1440" w:top="654" w:right="1440" w:bottom="1440" w:gutter="0" w:footer="0" w:header="0"/>
        </w:sectPr>
      </w:pPr>
    </w:p>
    <w:bookmarkStart w:id="107" w:name="page108"/>
    <w:bookmarkEnd w:id="107"/>
    <w:p>
      <w:pPr>
        <w:ind w:left="940" w:right="2779"/>
        <w:spacing w:after="0" w:line="235" w:lineRule="auto"/>
        <w:rPr>
          <w:sz w:val="20"/>
          <w:szCs w:val="20"/>
          <w:color w:val="auto"/>
        </w:rPr>
      </w:pPr>
      <w:r>
        <w:rPr>
          <w:rFonts w:ascii="Courier New" w:cs="Courier New" w:eastAsia="Courier New" w:hAnsi="Courier New"/>
          <w:sz w:val="16"/>
          <w:szCs w:val="16"/>
          <w:color w:val="auto"/>
        </w:rPr>
        <w:t>herein provided shall be returned to the Trustee prior to the expiration of two years after such Interest Payment Date in order to be repaid to the Company.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305. Registration, Registration of Transfer and Exchange</w:t>
      </w:r>
    </w:p>
    <w:p>
      <w:pPr>
        <w:ind w:left="120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460" w:right="2779" w:firstLine="1391"/>
        <w:spacing w:after="0" w:line="272" w:lineRule="auto"/>
        <w:tabs>
          <w:tab w:leader="none" w:pos="1307"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cause to be kept at the Corporate Trust Office of the Trustee or in any office or agency of the Company in a Place of Payment a register for each series of Securities (the registers maintained in such office or in any such office or agency of the Company in a Place of Payment being herein sometimes referred to collectively as the "Security Register") in which, subject to such reasonable regulations as it may prescribe, the Company shall provide for the registration of Registered Securities and of transfers of Registered Securities. The Security Register shall be in written form or any other form capable of being converted into written form within a reasonable time. The Trustee, at its Corporate Trust Office, is hereby initially appointed "Security Registrar" for the purpose of registering Registered Securities and transfers of Registered Securities on such Security Register as herein provided. In the event that the Trustee shall cease to be Security Registrar, it shall have the right to examine the Security Register at all reasonable times.</w:t>
      </w:r>
    </w:p>
    <w:p>
      <w:pPr>
        <w:spacing w:after="0" w:line="346" w:lineRule="exact"/>
        <w:rPr>
          <w:rFonts w:ascii="Courier New" w:cs="Courier New" w:eastAsia="Courier New" w:hAnsi="Courier New"/>
          <w:sz w:val="14"/>
          <w:szCs w:val="14"/>
          <w:color w:val="auto"/>
        </w:rPr>
      </w:pPr>
    </w:p>
    <w:p>
      <w:pPr>
        <w:ind w:left="-460" w:right="2779" w:firstLine="1391"/>
        <w:spacing w:after="0" w:line="274" w:lineRule="auto"/>
        <w:tabs>
          <w:tab w:leader="none" w:pos="1307"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surrender for registration of transfer of any Registered Security of any series at any office or agency in a Place of Payment for the register and transfer of Securities that series, the Company shall execute, and the Trustee shall authenticate and deliver, subject to the terms and conditions of this Article Three, in the name of the designated transferee or transferees, one or more new Registered Securities of the same series, of any authorized denominations and of a like aggregate principal amount, and tenor.</w:t>
      </w:r>
    </w:p>
    <w:p>
      <w:pPr>
        <w:spacing w:after="0" w:line="163" w:lineRule="exact"/>
        <w:rPr>
          <w:rFonts w:ascii="Courier New" w:cs="Courier New" w:eastAsia="Courier New" w:hAnsi="Courier New"/>
          <w:sz w:val="14"/>
          <w:szCs w:val="14"/>
          <w:color w:val="auto"/>
        </w:rPr>
      </w:pPr>
    </w:p>
    <w:p>
      <w:pPr>
        <w:ind w:left="-460" w:right="2779" w:firstLine="1391"/>
        <w:spacing w:after="0" w:line="273" w:lineRule="auto"/>
        <w:tabs>
          <w:tab w:leader="none" w:pos="1307"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option of the Holder, Registered Securities of any series may be exchanged for other Registered Securities of the same series, of any authorized denomination and of a like aggregate principal amount, containing identical terms and provisions, upon surrender of the Registered Securities to be exchanged at such office or agency. Whenever any Registered Securities are so surrendered for exchange, the Company shall execute, and the Trustee shall authenticate and deliver, the Registered Securities which the Holder making the exchange is entitled to receive. Unless otherwise specified with respect to any series of Securities as contemplated by Section 301, Bearer Securities may not be issued in exchange for Registered Securities.</w:t>
      </w:r>
    </w:p>
    <w:p>
      <w:pPr>
        <w:spacing w:after="0" w:line="344" w:lineRule="exact"/>
        <w:rPr>
          <w:rFonts w:ascii="Courier New" w:cs="Courier New" w:eastAsia="Courier New" w:hAnsi="Courier New"/>
          <w:sz w:val="14"/>
          <w:szCs w:val="14"/>
          <w:color w:val="auto"/>
        </w:rPr>
      </w:pPr>
    </w:p>
    <w:p>
      <w:pPr>
        <w:ind w:left="-460" w:right="2779" w:firstLine="1391"/>
        <w:spacing w:after="0" w:line="272" w:lineRule="auto"/>
        <w:tabs>
          <w:tab w:leader="none" w:pos="1307"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(but only if) expressly permitted in or pursuant the applicable Board Resolution and (subject to Section 303) set forth in the applicable Officers' Certificate, or in any indenture supplemental hereto, delivered as contemplated by Section 301, at the option of the Holder, Bearer Securities of any series may be exchanged for Registered Securities of the same series of any authorized denomination and of a like aggregate principal amount and tenor, upon surrender of the Bearer Securities to be exchanged at any such office or agency, with all unmatured coupons and all matured coupons in default thereto appertaining. If the Holder of a Bearer Security is unable to produce any such unmatured coupon or coupons or matured coupon or coupons in default, any such permitted exchange may be effected if the Bearer Securities are accompanied by payment in funds acceptable to the Company in an amount equal to the face amount of such missing coupon or coupons, or the surrender of such missing coupon or coupons may be waived by the Company and the Trustee if there is furnished to them such security or indemnity as they may require to save each</w:t>
      </w:r>
    </w:p>
    <w:p>
      <w:pPr>
        <w:spacing w:after="0" w:line="200" w:lineRule="exact"/>
        <w:rPr>
          <w:sz w:val="20"/>
          <w:szCs w:val="20"/>
          <w:color w:val="auto"/>
        </w:rPr>
      </w:pPr>
    </w:p>
    <w:p>
      <w:pPr>
        <w:spacing w:after="0" w:line="319"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9759"/>
          </w:cols>
          <w:pgMar w:left="700" w:top="654" w:right="1440" w:bottom="1440" w:gutter="0" w:footer="0" w:header="0"/>
        </w:sectPr>
      </w:pPr>
    </w:p>
    <w:bookmarkStart w:id="108" w:name="page109"/>
    <w:bookmarkEnd w:id="108"/>
    <w:p>
      <w:pPr>
        <w:ind w:right="2779"/>
        <w:spacing w:after="0" w:line="272" w:lineRule="auto"/>
        <w:rPr>
          <w:sz w:val="20"/>
          <w:szCs w:val="20"/>
          <w:color w:val="auto"/>
        </w:rPr>
      </w:pPr>
      <w:r>
        <w:rPr>
          <w:rFonts w:ascii="Courier New" w:cs="Courier New" w:eastAsia="Courier New" w:hAnsi="Courier New"/>
          <w:sz w:val="14"/>
          <w:szCs w:val="14"/>
          <w:color w:val="auto"/>
        </w:rPr>
        <w:t>of them and any Paying Agent harmless. If thereafter the Holder of such Security shall surrender to any Paying Agent any such missing coupon in respect of which such a payment shall have been made, such Holder shall be entitled to receive the amount of such payment; provided, that, except as otherwise provided in Section 1002, interest represented by coupons shall be payable only upon presentation and surrender of those coupons at an office or agency located outside the United States. Notwithstanding the foregoing, in case a Bearer Security of any series is surrendered at any such office or agency in a permitted exchange for a Registered Security of the same series and like tenor after the close of business at such office or agency on (1) any Regular Record Date and before the opening of business at such office or agency on the relevant Interest Payment Date, or (2) any Special Record Date and before the opening of business at such office or agency on the related proposed date for payment of Defaulted Interest, such Bearer Security shall be surrendered without the coupon relating to such Interest Payment Date or proposed date for payment, as the case may be, and interest or Defaulted Interest, as the case may be, will not be payable on such Interest Payment Date or proposed date for payment, as the case may be, in respect of the Registered Security issued in exchange for such Bearer Security, but will be payable only to the Holder of such coupon when due in accordance with the provisions of this Indenture.</w:t>
      </w:r>
    </w:p>
    <w:p>
      <w:pPr>
        <w:spacing w:after="0" w:line="200" w:lineRule="exact"/>
        <w:rPr>
          <w:sz w:val="20"/>
          <w:szCs w:val="20"/>
          <w:color w:val="auto"/>
        </w:rPr>
      </w:pPr>
    </w:p>
    <w:p>
      <w:pPr>
        <w:spacing w:after="0" w:line="321" w:lineRule="exact"/>
        <w:rPr>
          <w:sz w:val="20"/>
          <w:szCs w:val="20"/>
          <w:color w:val="auto"/>
        </w:rPr>
      </w:pPr>
    </w:p>
    <w:p>
      <w:pPr>
        <w:ind w:right="2879" w:firstLine="1391"/>
        <w:spacing w:after="0" w:line="235" w:lineRule="auto"/>
        <w:tabs>
          <w:tab w:leader="none" w:pos="1767"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any Securities are so surrendered for exchange, the Company shall execute, and the Trustee shall authenticate and deliver, the Securities which the Holder making the exchange is entitled to receive.</w:t>
      </w:r>
    </w:p>
    <w:p>
      <w:pPr>
        <w:spacing w:after="0" w:line="183" w:lineRule="exact"/>
        <w:rPr>
          <w:rFonts w:ascii="Courier New" w:cs="Courier New" w:eastAsia="Courier New" w:hAnsi="Courier New"/>
          <w:sz w:val="16"/>
          <w:szCs w:val="16"/>
          <w:color w:val="auto"/>
        </w:rPr>
      </w:pPr>
    </w:p>
    <w:p>
      <w:pPr>
        <w:ind w:right="2779" w:firstLine="1391"/>
        <w:spacing w:after="0" w:line="271" w:lineRule="auto"/>
        <w:tabs>
          <w:tab w:leader="none" w:pos="1767"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except as otherwise specified as contemplated by Section 301, any permanent global Security shall be exchangeable only as provided in this Subsection 305(f). If any beneficial owner of an interest in a permanent global Security is entitled to exchange such interest for Securities of such series and of like tenor and principal amount of another authorized form and denomination, as specified as contemplated by Section 301 and provided that any applicable notice provided in the permanent global Security shall have been given, then without unnecessary delay but in any event not later than the earliest date on which such interest may be so exchanged, the Company shall deliver to the Trustee definitive Securities in aggregate principal amount equal to the principal amount of such beneficial owner's interest in such permanent global Security, executed by the Company. On or after the earliest date on which such interests may be so exchanged, such permanent global Security shall be surrendered by the Common Depositary or such other depositary as shall be specified in the Company Order with respect thereto to the Trustee, as the Company's agent for such purpose, to be exchanged, in whole or from time to time in part, for definitive Securities without charge and the Trustee shall authenticate and deliver, in exchange for each portion of such permanent global Security, an equal aggregate principal amount of definitive Securities of the same series of authorized denominations and of like tenor as the portion of such permanent global Security to be exchanged which, unless the Securities of the series are not issuable both as Bearer Securities and as Registered Securities, as specified as contemplated by Section 301, shall be in the form of Bearer Securities or Registered Securities, or any combination thereof, as shall be specified by the beneficial owner thereof; provided, that, no such exchanges may occur during a period beginning at the opening of business 15 days before any selection of Securities to be redeemed and ending on the relevant Redemption Date if the Security for which exchange is requested may be among those selected for redemption; and provided further that no Bearer Security delivered in exchange for a portion of a permanent global Security shall be mailed or otherwise delivered to any location in the United States. If</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654" w:right="1440" w:bottom="1440" w:gutter="0" w:footer="0" w:header="0"/>
        </w:sectPr>
      </w:pPr>
    </w:p>
    <w:bookmarkStart w:id="109" w:name="page110"/>
    <w:bookmarkEnd w:id="109"/>
    <w:p>
      <w:pPr>
        <w:ind w:left="5" w:right="2779"/>
        <w:spacing w:after="0" w:line="236" w:lineRule="auto"/>
        <w:rPr>
          <w:sz w:val="20"/>
          <w:szCs w:val="20"/>
          <w:color w:val="auto"/>
        </w:rPr>
      </w:pPr>
      <w:r>
        <w:rPr>
          <w:rFonts w:ascii="Courier New" w:cs="Courier New" w:eastAsia="Courier New" w:hAnsi="Courier New"/>
          <w:sz w:val="16"/>
          <w:szCs w:val="16"/>
          <w:color w:val="auto"/>
        </w:rPr>
        <w:t>a Registered Security is issued in exchange for any portion of a permanent global Security after the close of business at the office or agency where such exchange occurs on (1) any Regular Record Date and before the opening of business at such office or agency on the relevant Interest Payment Date, or (2) any Special Record Date and before the opening of business at such office or agency on the related proposed date for payment of Defaulted Interest, interest or Defaulted Interest, as the case may be, will not be payable on such Interest Payment Date or proposed date for payment, as the case may be, in respect of such Registered Security, but will be payable on such Interest Payment Date or proposed date for payment, as the case may be, only to the Person to whom interest in respect of such portion of such permanent global Security is payable in accordance with the provisions of this Indenture.</w:t>
      </w:r>
    </w:p>
    <w:p>
      <w:pPr>
        <w:spacing w:after="0" w:line="187" w:lineRule="exact"/>
        <w:rPr>
          <w:sz w:val="20"/>
          <w:szCs w:val="20"/>
          <w:color w:val="auto"/>
        </w:rPr>
      </w:pPr>
    </w:p>
    <w:p>
      <w:pPr>
        <w:ind w:left="5" w:right="2779" w:firstLine="1391"/>
        <w:spacing w:after="0" w:line="235" w:lineRule="auto"/>
        <w:tabs>
          <w:tab w:leader="none" w:pos="1772" w:val="left"/>
        </w:tabs>
        <w:numPr>
          <w:ilvl w:val="1"/>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Securities issued upon any registration of transfer or exchange of Securities shall be valid obligations of the Company, evidencing the same debt and entitled to the same benefits under this Indenture, as the Securities surrendered upon such registration of transfer or exchange.</w:t>
      </w:r>
    </w:p>
    <w:p>
      <w:pPr>
        <w:spacing w:after="0" w:line="184" w:lineRule="exact"/>
        <w:rPr>
          <w:rFonts w:ascii="Courier New" w:cs="Courier New" w:eastAsia="Courier New" w:hAnsi="Courier New"/>
          <w:sz w:val="16"/>
          <w:szCs w:val="16"/>
          <w:color w:val="auto"/>
        </w:rPr>
      </w:pPr>
    </w:p>
    <w:p>
      <w:pPr>
        <w:ind w:left="5" w:right="2779" w:firstLine="1391"/>
        <w:spacing w:after="0" w:line="236" w:lineRule="auto"/>
        <w:tabs>
          <w:tab w:leader="none" w:pos="1772" w:val="left"/>
        </w:tabs>
        <w:numPr>
          <w:ilvl w:val="1"/>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Every Registered Security presented or surrendered for registration of transfer or for exchange shall (if so required by the Company or the Security Registrar) be duly endorsed, or be accompanied by a written instrument of transfer in form satisfactory to the Company and the Security Registrar, duly executed by the Holder thereof or his attorney duly authorized in writing.</w:t>
      </w:r>
    </w:p>
    <w:p>
      <w:pPr>
        <w:spacing w:after="0" w:line="182" w:lineRule="exact"/>
        <w:rPr>
          <w:rFonts w:ascii="Courier New" w:cs="Courier New" w:eastAsia="Courier New" w:hAnsi="Courier New"/>
          <w:sz w:val="16"/>
          <w:szCs w:val="16"/>
          <w:color w:val="auto"/>
        </w:rPr>
      </w:pPr>
    </w:p>
    <w:p>
      <w:pPr>
        <w:ind w:left="5" w:right="2779" w:firstLine="1391"/>
        <w:spacing w:after="0" w:line="236" w:lineRule="auto"/>
        <w:tabs>
          <w:tab w:leader="none" w:pos="1772" w:val="left"/>
        </w:tabs>
        <w:numPr>
          <w:ilvl w:val="1"/>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service charge shall be made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Section 304, 906, 1107 or 1305 not involving any transfer.</w:t>
      </w:r>
    </w:p>
    <w:p>
      <w:pPr>
        <w:spacing w:after="0" w:line="182" w:lineRule="exact"/>
        <w:rPr>
          <w:rFonts w:ascii="Courier New" w:cs="Courier New" w:eastAsia="Courier New" w:hAnsi="Courier New"/>
          <w:sz w:val="16"/>
          <w:szCs w:val="16"/>
          <w:color w:val="auto"/>
        </w:rPr>
      </w:pPr>
    </w:p>
    <w:p>
      <w:pPr>
        <w:ind w:left="5" w:right="2779" w:firstLine="1391"/>
        <w:spacing w:after="0" w:line="270" w:lineRule="auto"/>
        <w:tabs>
          <w:tab w:leader="none" w:pos="1772" w:val="left"/>
        </w:tabs>
        <w:numPr>
          <w:ilvl w:val="1"/>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not be required (1) to issue, register the transfer of or exchange any Security if such Security may be among those selected for redemption during a period beginning at the opening of business 15 days before, and ending at the close of business on (i) if such Securities are issuable only as Registered Securities, the day of the mailing of the relevant notice of redemption and (ii) if such Securities are issuable as Bearer Securities, the day of the first publication of the relevant notice of redemption or, if such Securities are also issuable as Registered Securities and there is no publication, the mailing of the relevant notice of redemption, or</w:t>
      </w:r>
    </w:p>
    <w:p>
      <w:pPr>
        <w:spacing w:after="0" w:line="4" w:lineRule="exact"/>
        <w:rPr>
          <w:rFonts w:ascii="Courier New" w:cs="Courier New" w:eastAsia="Courier New" w:hAnsi="Courier New"/>
          <w:sz w:val="14"/>
          <w:szCs w:val="14"/>
          <w:color w:val="auto"/>
        </w:rPr>
      </w:pPr>
    </w:p>
    <w:p>
      <w:pPr>
        <w:ind w:left="5" w:right="2879" w:hanging="5"/>
        <w:spacing w:after="0" w:line="273" w:lineRule="auto"/>
        <w:tabs>
          <w:tab w:leader="none" w:pos="377"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register the transfer of or exchange any Registered Security so selected for redemption in whole or in part, except, in the case of any Registered Security to be redeemed in part, the unredeemed portion thereof, or (3) to exchange any Bearer Security so selected for redemption except that such a Bearer Security may be exchanged for a Registered Security of that series and like tenor, provided that such Registered Security shall be simultaneously surrendered for redemption, or (4) to issue, register the transfer of or exchange any Security which has been surrendered for repayment at the option of the Holder, except the portion, if any, of such Security not to be so repaid.</w:t>
      </w:r>
    </w:p>
    <w:p>
      <w:pPr>
        <w:spacing w:after="0" w:line="165" w:lineRule="exact"/>
        <w:rPr>
          <w:rFonts w:ascii="Courier New" w:cs="Courier New" w:eastAsia="Courier New" w:hAnsi="Courier New"/>
          <w:sz w:val="14"/>
          <w:szCs w:val="14"/>
          <w:color w:val="auto"/>
        </w:rPr>
      </w:pPr>
    </w:p>
    <w:p>
      <w:pPr>
        <w:jc w:val="both"/>
        <w:ind w:left="5" w:right="2779" w:firstLine="1391"/>
        <w:spacing w:after="0" w:line="295" w:lineRule="auto"/>
        <w:tabs>
          <w:tab w:leader="none" w:pos="1772" w:val="left"/>
        </w:tabs>
        <w:numPr>
          <w:ilvl w:val="1"/>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Holder of a Security agrees to indemnify the Company and the Trustee against any liability that may result from the transfer, exchange or</w:t>
      </w:r>
    </w:p>
    <w:p>
      <w:pPr>
        <w:spacing w:after="0" w:line="320"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24"/>
          </w:cols>
          <w:pgMar w:left="235" w:top="654" w:right="1440" w:bottom="1440" w:gutter="0" w:footer="0" w:header="0"/>
        </w:sectPr>
      </w:pPr>
    </w:p>
    <w:bookmarkStart w:id="110" w:name="page111"/>
    <w:bookmarkEnd w:id="110"/>
    <w:p>
      <w:pPr>
        <w:jc w:val="both"/>
        <w:ind w:left="5" w:right="3339"/>
        <w:spacing w:after="0" w:line="295" w:lineRule="auto"/>
        <w:rPr>
          <w:sz w:val="20"/>
          <w:szCs w:val="20"/>
          <w:color w:val="auto"/>
        </w:rPr>
      </w:pPr>
      <w:r>
        <w:rPr>
          <w:rFonts w:ascii="Courier New" w:cs="Courier New" w:eastAsia="Courier New" w:hAnsi="Courier New"/>
          <w:sz w:val="14"/>
          <w:szCs w:val="14"/>
          <w:color w:val="auto"/>
        </w:rPr>
        <w:t>assignment of such Holder's Security in violation of any provision of this Indenture and/or applicable United States Federal or state securities law.</w:t>
      </w:r>
    </w:p>
    <w:p>
      <w:pPr>
        <w:spacing w:after="0" w:line="147" w:lineRule="exact"/>
        <w:rPr>
          <w:sz w:val="20"/>
          <w:szCs w:val="20"/>
          <w:color w:val="auto"/>
        </w:rPr>
      </w:pPr>
    </w:p>
    <w:p>
      <w:pPr>
        <w:ind w:left="5" w:right="2779" w:firstLine="1391"/>
        <w:spacing w:after="0" w:line="273" w:lineRule="auto"/>
        <w:tabs>
          <w:tab w:leader="none" w:pos="1772"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Depository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59"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SECTION 306. Mutilated, Destroyed, Lost and Stolen Securities</w:t>
      </w:r>
    </w:p>
    <w:p>
      <w:pPr>
        <w:ind w:left="1665"/>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5" w:right="2779" w:firstLine="1391"/>
        <w:spacing w:after="0" w:line="236" w:lineRule="auto"/>
        <w:tabs>
          <w:tab w:leader="none" w:pos="1772" w:val="left"/>
        </w:tabs>
        <w:numPr>
          <w:ilvl w:val="1"/>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mutilated Security or a Security with a mutilated coupon appertaining to it is surrendered to the Trustee or the Company, together with, in proper cases, such security or indemnity as may be required by the Company or the Trustee to save each of them or any agent of either of them harmless, the Company shall execute and the Trustee shall authenticate and deliver in exchange therefor a new Security of the same series and of like tenor and principal amount, and bearing a number not contemporaneously outstanding, with coupons corresponding to the coupons, if any, appertaining to the surrendered Security.</w:t>
      </w:r>
    </w:p>
    <w:p>
      <w:pPr>
        <w:spacing w:after="0" w:line="184" w:lineRule="exact"/>
        <w:rPr>
          <w:rFonts w:ascii="Courier New" w:cs="Courier New" w:eastAsia="Courier New" w:hAnsi="Courier New"/>
          <w:sz w:val="16"/>
          <w:szCs w:val="16"/>
          <w:color w:val="auto"/>
        </w:rPr>
      </w:pPr>
    </w:p>
    <w:p>
      <w:pPr>
        <w:ind w:left="1765" w:hanging="369"/>
        <w:spacing w:after="0"/>
        <w:tabs>
          <w:tab w:leader="none" w:pos="1765" w:val="left"/>
        </w:tabs>
        <w:numPr>
          <w:ilvl w:val="1"/>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there shall be delivered to the Company and to the Trustee</w:t>
      </w:r>
    </w:p>
    <w:p>
      <w:pPr>
        <w:spacing w:after="0" w:line="20" w:lineRule="exact"/>
        <w:rPr>
          <w:rFonts w:ascii="Courier New" w:cs="Courier New" w:eastAsia="Courier New" w:hAnsi="Courier New"/>
          <w:sz w:val="14"/>
          <w:szCs w:val="14"/>
          <w:color w:val="auto"/>
        </w:rPr>
      </w:pPr>
    </w:p>
    <w:p>
      <w:pPr>
        <w:ind w:left="5" w:right="2779" w:hanging="5"/>
        <w:spacing w:after="0" w:line="236" w:lineRule="auto"/>
        <w:tabs>
          <w:tab w:leader="none" w:pos="377"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evidence to their satisfaction of the destruction, loss or theft of any Security or coupon, and (2) such security or indemnity as may be required by them to save each of them and any agent of either of them harmless, then, in the absence of notice to the Company or the Trustee that such Security or coupon has been acquired by a bona fide purchaser, the Company shall execute and upon Company Order the Trustee shall authenticate and deliver, in lieu of any such destroyed, lost or stolen Security or in exchange for the Security to which a destroyed, lost or stolen coupon appertains (with all appurtenant coupons not destroyed, lost or stolen), a new Security of the same series and of like tenor and principal amount and bearing a number not contemporaneously outstanding, with coupons corresponding to the coupons, if any, appertaining to such destroyed, lost or stolen Security or to the Security to which such destroyed, lost or stolen coupon appertains.</w:t>
      </w:r>
    </w:p>
    <w:p>
      <w:pPr>
        <w:spacing w:after="0" w:line="187" w:lineRule="exact"/>
        <w:rPr>
          <w:rFonts w:ascii="Courier New" w:cs="Courier New" w:eastAsia="Courier New" w:hAnsi="Courier New"/>
          <w:sz w:val="16"/>
          <w:szCs w:val="16"/>
          <w:color w:val="auto"/>
        </w:rPr>
      </w:pPr>
    </w:p>
    <w:p>
      <w:pPr>
        <w:ind w:left="5" w:right="2779" w:firstLine="1391"/>
        <w:spacing w:after="0" w:line="236" w:lineRule="auto"/>
        <w:tabs>
          <w:tab w:leader="none" w:pos="1772" w:val="left"/>
        </w:tabs>
        <w:numPr>
          <w:ilvl w:val="1"/>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provisions of the Subsections 306(a) and 306(b), in case any such mutilated, destroyed, lost or stolen Security or coupon has become or is about to become due and payable, the Company in its discretion may, instead of issuing a new Security, with coupons corresponding to the coupons, if any, appertaining to such mutilated, destroyed, lost or stolen Security or to the Security to which such mutilated, destroyed, lost or stolen coupon appertains, pay such Security or coupon; provided, that, payment of principal of (and premium, if any) and interest, if any, on Bearer Securities shall, except as otherwise provided in Section 1002, be payable only at an office or agency located outside the United States and, unless otherwise specified as contemplated by Section 301, any interest on Bearer Securities shall be payable only upon presentation and surrender of the coupons appertaining thereto.</w:t>
      </w:r>
    </w:p>
    <w:p>
      <w:pPr>
        <w:spacing w:after="0" w:line="187" w:lineRule="exact"/>
        <w:rPr>
          <w:rFonts w:ascii="Courier New" w:cs="Courier New" w:eastAsia="Courier New" w:hAnsi="Courier New"/>
          <w:sz w:val="16"/>
          <w:szCs w:val="16"/>
          <w:color w:val="auto"/>
        </w:rPr>
      </w:pPr>
    </w:p>
    <w:p>
      <w:pPr>
        <w:ind w:left="5" w:right="2779" w:firstLine="1391"/>
        <w:spacing w:after="0" w:line="295" w:lineRule="auto"/>
        <w:tabs>
          <w:tab w:leader="none" w:pos="1772" w:val="left"/>
        </w:tabs>
        <w:numPr>
          <w:ilvl w:val="1"/>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issuance of any new Security under this Section, the Company may require the payment of a sum sufficient to cover any tax or other</w:t>
      </w:r>
    </w:p>
    <w:p>
      <w:pPr>
        <w:spacing w:after="0" w:line="320"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24"/>
          </w:cols>
          <w:pgMar w:left="235" w:top="654" w:right="1440" w:bottom="1440" w:gutter="0" w:footer="0" w:header="0"/>
        </w:sectPr>
      </w:pPr>
    </w:p>
    <w:bookmarkStart w:id="111" w:name="page112"/>
    <w:bookmarkEnd w:id="111"/>
    <w:p>
      <w:pPr>
        <w:ind w:right="2959"/>
        <w:spacing w:after="0" w:line="295" w:lineRule="auto"/>
        <w:rPr>
          <w:sz w:val="20"/>
          <w:szCs w:val="20"/>
          <w:color w:val="auto"/>
        </w:rPr>
      </w:pPr>
      <w:r>
        <w:rPr>
          <w:rFonts w:ascii="Courier New" w:cs="Courier New" w:eastAsia="Courier New" w:hAnsi="Courier New"/>
          <w:sz w:val="14"/>
          <w:szCs w:val="14"/>
          <w:color w:val="auto"/>
        </w:rPr>
        <w:t>governmental charge that may be imposed in relation thereto and any other expenses (including the fees and expenses of the Trustee) connected therewith.</w:t>
      </w:r>
    </w:p>
    <w:p>
      <w:pPr>
        <w:spacing w:after="0" w:line="147" w:lineRule="exact"/>
        <w:rPr>
          <w:sz w:val="20"/>
          <w:szCs w:val="20"/>
          <w:color w:val="auto"/>
        </w:rPr>
      </w:pPr>
    </w:p>
    <w:p>
      <w:pPr>
        <w:ind w:right="2779" w:firstLine="1391"/>
        <w:spacing w:after="0" w:line="236" w:lineRule="auto"/>
        <w:tabs>
          <w:tab w:leader="none" w:pos="1767"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Every new Security of any series, together with its coupons, if any, issued pursuant to this Section in lieu of any mutilated, destroyed, lost or stolen Security, or in exchange for a Security to which a mutilated, destroyed, lost or stolen coupon appertains, shall constitute an original additional contractual obligation of the Company, whether or not the mutilated, destroyed, lost or stolen Security and its coupons, if any, or the mutilated, destroyed, lost or stolen coupon shall be at any time enforceable by anyone, and shall be entitled to all the benefits of this Indenture equally and proportionately with any and all other Securities of that series and their coupons, if any, duly issued hereunder.</w:t>
      </w:r>
    </w:p>
    <w:p>
      <w:pPr>
        <w:spacing w:after="0" w:line="185" w:lineRule="exact"/>
        <w:rPr>
          <w:rFonts w:ascii="Courier New" w:cs="Courier New" w:eastAsia="Courier New" w:hAnsi="Courier New"/>
          <w:sz w:val="16"/>
          <w:szCs w:val="16"/>
          <w:color w:val="auto"/>
        </w:rPr>
      </w:pPr>
    </w:p>
    <w:p>
      <w:pPr>
        <w:ind w:right="2779" w:firstLine="1391"/>
        <w:spacing w:after="0" w:line="235" w:lineRule="auto"/>
        <w:tabs>
          <w:tab w:leader="none" w:pos="1767"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provisions of this Section are exclusive and shall preclude (to the extent lawful) all other rights and remedies with respect to the replacement or payment of mutilated, destroyed, lost or stolen Securities or coupons.</w:t>
      </w:r>
    </w:p>
    <w:p>
      <w:pPr>
        <w:spacing w:after="0" w:line="17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307. Payment of Interest; Interest Rights Preserved; Optional</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ind w:left="1660"/>
        <w:spacing w:after="0" w:line="237" w:lineRule="auto"/>
        <w:rPr>
          <w:sz w:val="20"/>
          <w:szCs w:val="20"/>
          <w:color w:val="auto"/>
        </w:rPr>
      </w:pPr>
      <w:r>
        <w:rPr>
          <w:rFonts w:ascii="Courier New" w:cs="Courier New" w:eastAsia="Courier New" w:hAnsi="Courier New"/>
          <w:sz w:val="16"/>
          <w:szCs w:val="16"/>
          <w:color w:val="auto"/>
        </w:rPr>
        <w:t>Interest Reset</w:t>
      </w:r>
    </w:p>
    <w:p>
      <w:pPr>
        <w:ind w:left="1660"/>
        <w:spacing w:after="0" w:line="237"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1391"/>
        <w:spacing w:after="0" w:line="236" w:lineRule="auto"/>
        <w:tabs>
          <w:tab w:leader="none" w:pos="1767"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specified with respect to a series of Securities in accordance with the provisions of Section 301, interest, if any, on any Registered Security that is payable, and is punctually paid or duly provided for, on any Interest Payment Date shall be paid to the Person in whose name that Security (or one or more Predecessor Securities) is registered at the close of business on the Regular Record Date for such interest at the office or agency of the Company maintained for such purpose pursuant to Section 1002; provided, that, each installment of interest, if any, on any Registered Security may at the Company's option be paid by (1) mailing a check for such interest, payable to or upon the written order of the Person entitled thereto pursuant to Section 309, to the address of such Person as it appears on the Security Register or (2) transfer to an account located in the United States maintained by the payee.</w:t>
      </w:r>
    </w:p>
    <w:p>
      <w:pPr>
        <w:spacing w:after="0" w:line="187" w:lineRule="exact"/>
        <w:rPr>
          <w:rFonts w:ascii="Courier New" w:cs="Courier New" w:eastAsia="Courier New" w:hAnsi="Courier New"/>
          <w:sz w:val="16"/>
          <w:szCs w:val="16"/>
          <w:color w:val="auto"/>
        </w:rPr>
      </w:pPr>
    </w:p>
    <w:p>
      <w:pPr>
        <w:ind w:right="2779" w:firstLine="1391"/>
        <w:spacing w:after="0" w:line="235" w:lineRule="auto"/>
        <w:tabs>
          <w:tab w:leader="none" w:pos="1767"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otherwise provided as contemplated by Section 301 with respect to the Securities of any series, payment of interest, if any, may be made, in the case of a Bearer Security, by transfer to an account located outside the United States maintained by the payee.</w:t>
      </w:r>
    </w:p>
    <w:p>
      <w:pPr>
        <w:spacing w:after="0" w:line="184" w:lineRule="exact"/>
        <w:rPr>
          <w:rFonts w:ascii="Courier New" w:cs="Courier New" w:eastAsia="Courier New" w:hAnsi="Courier New"/>
          <w:sz w:val="16"/>
          <w:szCs w:val="16"/>
          <w:color w:val="auto"/>
        </w:rPr>
      </w:pPr>
    </w:p>
    <w:p>
      <w:pPr>
        <w:ind w:right="2779" w:firstLine="1391"/>
        <w:spacing w:after="0" w:line="274" w:lineRule="auto"/>
        <w:tabs>
          <w:tab w:leader="none" w:pos="1767"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provided as contemplated by Section 301, every permanent global Security will provide that interest, if any, payable on any Interest Payment Date will be paid to each of Euroclear and Clearstream with respect to that portion of such permanent global Security held for its account by the Common Depositary, for the purpose of permitting each of Euroclear and Clearstream to credit the interest, if any, received by it in respect of such permanent global Security to the accounts of the beneficial owners thereof.</w:t>
      </w:r>
    </w:p>
    <w:p>
      <w:pPr>
        <w:spacing w:after="0" w:line="163" w:lineRule="exact"/>
        <w:rPr>
          <w:rFonts w:ascii="Courier New" w:cs="Courier New" w:eastAsia="Courier New" w:hAnsi="Courier New"/>
          <w:sz w:val="14"/>
          <w:szCs w:val="14"/>
          <w:color w:val="auto"/>
        </w:rPr>
      </w:pPr>
    </w:p>
    <w:p>
      <w:pPr>
        <w:ind w:right="2779" w:firstLine="1391"/>
        <w:spacing w:after="0" w:line="274" w:lineRule="auto"/>
        <w:tabs>
          <w:tab w:leader="none" w:pos="1767"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a Bearer Security of any series is surrendered in exchange for a Registered Security of such series after the close of business (at an office or agency in a Place of Payment for such series) on any Regular Record Date and before the opening of business (at such office or agency) on the next succeeding Interest Payment Date, such Bearer Security shall be surrendered without the coupon relating to such Interest Payment Date and interest will not be payable on such Interest Payment Date in respect of the Registered Security issued in exchange for such Bearer Security, but will be payable only to the</w:t>
      </w:r>
    </w:p>
    <w:p>
      <w:pPr>
        <w:spacing w:after="0" w:line="33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654" w:right="1440" w:bottom="1440" w:gutter="0" w:footer="0" w:header="0"/>
        </w:sectPr>
      </w:pPr>
    </w:p>
    <w:bookmarkStart w:id="112" w:name="page113"/>
    <w:bookmarkEnd w:id="112"/>
    <w:p>
      <w:pPr>
        <w:ind w:right="3519"/>
        <w:spacing w:after="0" w:line="234" w:lineRule="auto"/>
        <w:rPr>
          <w:sz w:val="20"/>
          <w:szCs w:val="20"/>
          <w:color w:val="auto"/>
        </w:rPr>
      </w:pPr>
      <w:r>
        <w:rPr>
          <w:rFonts w:ascii="Courier New" w:cs="Courier New" w:eastAsia="Courier New" w:hAnsi="Courier New"/>
          <w:sz w:val="16"/>
          <w:szCs w:val="16"/>
          <w:color w:val="auto"/>
        </w:rPr>
        <w:t>Holder of such coupon when due in accordance with the provisions of this Indenture.</w:t>
      </w:r>
    </w:p>
    <w:p>
      <w:pPr>
        <w:spacing w:after="0" w:line="183" w:lineRule="exact"/>
        <w:rPr>
          <w:sz w:val="20"/>
          <w:szCs w:val="20"/>
          <w:color w:val="auto"/>
        </w:rPr>
      </w:pPr>
    </w:p>
    <w:p>
      <w:pPr>
        <w:ind w:right="2779" w:firstLine="1391"/>
        <w:spacing w:after="0" w:line="236" w:lineRule="auto"/>
        <w:tabs>
          <w:tab w:leader="none" w:pos="1767"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specified with respect to a series of Securities in accordance with the provisions of Section 301, any interest on any Registered Security of any series that is payable, but is not punctually paid or duly provided for, on any Interest Payment Date (herein called "Defaulted Interest") shall forthwith cease to be payable to the registered Holder thereof on the relevant Regular Record Date by virtue of having been such Holder, and such Defaulted Interest may be paid by the Company, at its election in each case, as provided in clause (1) or (2) of this Subsection:</w:t>
      </w:r>
    </w:p>
    <w:p>
      <w:pPr>
        <w:spacing w:after="0" w:line="184" w:lineRule="exact"/>
        <w:rPr>
          <w:rFonts w:ascii="Courier New" w:cs="Courier New" w:eastAsia="Courier New" w:hAnsi="Courier New"/>
          <w:sz w:val="16"/>
          <w:szCs w:val="16"/>
          <w:color w:val="auto"/>
        </w:rPr>
      </w:pPr>
    </w:p>
    <w:p>
      <w:pPr>
        <w:ind w:left="1400" w:right="2779" w:firstLine="456"/>
        <w:spacing w:after="0" w:line="271" w:lineRule="auto"/>
        <w:tabs>
          <w:tab w:leader="none" w:pos="2237" w:val="left"/>
        </w:tabs>
        <w:numPr>
          <w:ilvl w:val="1"/>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elect to make payment of any Defaulted Interest to the Persons in whose names the Registered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Registered Security of such series and the date of the proposed payment (which shall not be less than 20 days after such notice is received by the Trustee), and at the same time the Company shall deposit with the Trustee an amount of money in the Currency in which the Securities of such series are payable (except as otherwise specified pursuant to Section 301 for the Securities of such series and except, if applicable, as provided in Subsections 312(b), 312(d) and 312(e)) equal to the aggregate amount proposed to be paid in respect of such Defaulted Interest or shall make arrangements satisfactory to the Trustee for such deposit on or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given in the manner provided in Section 106, not less than 10 days prior to such Special Record Date. Notice of the proposed payment of such Defaulted Interest and the Special Record Date therefor having been so given, such Defaulted Interest shall be paid to the Persons in whose names the Registered Securities of such series (or their respective Predecessor Securities) are registered at the close of business on such Special Record Date and shall no longer be payable pursuant to the following clause (2) of this Subsection. In case a Bearer Security of any series is surrendered at the office or agency in a Place of Payment for such series in exchange for a Registered Security of such series after the close of business at such office or agency on any Special Record Date and before the opening of business at such office or agency on the related proposed date for payment of Defaulted Interest, such Bearer Security shall be surrendered without the coupon relating to such proposed date of payment and Defaulted Interest will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654" w:right="1440" w:bottom="1440" w:gutter="0" w:footer="0" w:header="0"/>
        </w:sectPr>
      </w:pPr>
    </w:p>
    <w:bookmarkStart w:id="113" w:name="page114"/>
    <w:bookmarkEnd w:id="113"/>
    <w:p>
      <w:pPr>
        <w:ind w:left="200" w:right="2779"/>
        <w:spacing w:after="0" w:line="279" w:lineRule="auto"/>
        <w:rPr>
          <w:sz w:val="20"/>
          <w:szCs w:val="20"/>
          <w:color w:val="auto"/>
        </w:rPr>
      </w:pPr>
      <w:r>
        <w:rPr>
          <w:rFonts w:ascii="Courier New" w:cs="Courier New" w:eastAsia="Courier New" w:hAnsi="Courier New"/>
          <w:sz w:val="14"/>
          <w:szCs w:val="14"/>
          <w:color w:val="auto"/>
        </w:rPr>
        <w:t>be payable on such proposed date of payment in respect of the Registered Security issued in exchange for such Bearer Security, but will be payable only to the Holder of such coupon when due in accordance with the provisions of this Indenture.</w:t>
      </w:r>
    </w:p>
    <w:p>
      <w:pPr>
        <w:spacing w:after="0" w:line="157" w:lineRule="exact"/>
        <w:rPr>
          <w:sz w:val="20"/>
          <w:szCs w:val="20"/>
          <w:color w:val="auto"/>
        </w:rPr>
      </w:pPr>
    </w:p>
    <w:p>
      <w:pPr>
        <w:ind w:left="200" w:right="2959" w:firstLine="456"/>
        <w:spacing w:after="0" w:line="236" w:lineRule="auto"/>
        <w:tabs>
          <w:tab w:leader="none" w:pos="1037" w:val="left"/>
        </w:tabs>
        <w:numPr>
          <w:ilvl w:val="1"/>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make payment of any Defaulted Interest on the Registered Securities of any series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84" w:lineRule="exact"/>
        <w:rPr>
          <w:rFonts w:ascii="Courier New" w:cs="Courier New" w:eastAsia="Courier New" w:hAnsi="Courier New"/>
          <w:sz w:val="16"/>
          <w:szCs w:val="16"/>
          <w:color w:val="auto"/>
        </w:rPr>
      </w:pPr>
    </w:p>
    <w:p>
      <w:pPr>
        <w:ind w:left="-1200" w:right="2779" w:firstLine="1391"/>
        <w:spacing w:after="0" w:line="236" w:lineRule="auto"/>
        <w:tabs>
          <w:tab w:leader="none" w:pos="567"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provisions of this Subsection 307(f) may be made applicable to any series of Securities pursuant to Section 301 (with such modifications, additions or substitutions as may be specified pursuant to such Section 301). The interest rate (or the spread or spread multiplier used to calculate such interest rate, if applicable) on any Security of such series may be reset by the Company on the date or dates specified on the face of such Security (each an "Optional Reset Date"). The Company may exercise such option with respect to such Security by notifying the Trustee of such exercise at least 45 but not more than 60 days prior to an Optional Reset Date for such Security. Not later than 40 days prior to each Optional Reset Date, the Trustee shall transmit, in the manner provided for in Section 106, to the Holder of any such Security a notice (the "Reset Notice") indicating whether the Company has elected to reset the interest rate (or the spread or spread multiplier used to calculate such interest rate, if applicable), and if so (1) such new interest rate (or such new spread or spread multiplier, if applicable) and (2) the provisions, if any, for redemption during the period from such Optional Reset Date to the next Optional Reset Date or if there is no such next Optional Reset Date, to the Stated Maturity of such Security (each such period a "Subsequent Interest Period"), including the date or dates on which or the period or periods during which and the price or prices at which such redemption may occur during the Subsequent Interest Period.</w:t>
      </w:r>
    </w:p>
    <w:p>
      <w:pPr>
        <w:spacing w:after="0" w:line="192" w:lineRule="exact"/>
        <w:rPr>
          <w:rFonts w:ascii="Courier New" w:cs="Courier New" w:eastAsia="Courier New" w:hAnsi="Courier New"/>
          <w:sz w:val="16"/>
          <w:szCs w:val="16"/>
          <w:color w:val="auto"/>
        </w:rPr>
      </w:pPr>
    </w:p>
    <w:p>
      <w:pPr>
        <w:ind w:left="-1200" w:right="2779" w:firstLine="1391"/>
        <w:spacing w:after="0" w:line="236" w:lineRule="auto"/>
        <w:tabs>
          <w:tab w:leader="none" w:pos="567"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not later than 20 days prior to the Optional Reset Date, the Company may, at its option, revoke the interest rate (or the spread or spread multiplier used to calculate such interest rate, if applicable) provided for in the Reset Notice and establish a higher interest rate (or a spread or spread multiplier providing for a higher interest rate, if applicable) for the Subsequent Interest Period by causing the Trustee to transmit, in the manner provided for in Section 106, notice of such higher interest rate (or such spread or spread multiplier providing for a higher interest rate, if applicable) to the Holder of such Security. Such notice shall be irrevocable. All Securities with respect to which the interest rate (or the spread or spread multiplier used to calculate such interest rate, if applicable) is reset on an Optional Reset Date, and with respect to which the Holders of such Securities have not tendered such Securities for repayment (or have validly revoked any such tender) pursuant to Subsection 307(h), will bear such higher interest rate (or such spread or spread multiplier providing for a higher interest rate, if applicable).</w:t>
      </w:r>
    </w:p>
    <w:p>
      <w:pPr>
        <w:spacing w:after="0" w:line="189" w:lineRule="exact"/>
        <w:rPr>
          <w:rFonts w:ascii="Courier New" w:cs="Courier New" w:eastAsia="Courier New" w:hAnsi="Courier New"/>
          <w:sz w:val="16"/>
          <w:szCs w:val="16"/>
          <w:color w:val="auto"/>
        </w:rPr>
      </w:pPr>
    </w:p>
    <w:p>
      <w:pPr>
        <w:ind w:left="-1200" w:right="2779" w:firstLine="1391"/>
        <w:spacing w:after="0" w:line="276" w:lineRule="auto"/>
        <w:tabs>
          <w:tab w:leader="none" w:pos="567"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 of any such Security may have the option to elect repayment by the Company of the principal of such Security on each Optional Reset Date at a price equal to the principal amount thereof plus interest accrued to such Optional Reset Date. In order to obtain repayment on an Optional Reset Date, the Holder must follow the procedures set forth in Article Thirteen</w:t>
      </w:r>
    </w:p>
    <w:p>
      <w:pPr>
        <w:spacing w:after="0" w:line="334"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9019"/>
          </w:cols>
          <w:pgMar w:left="1440" w:top="654" w:right="1440" w:bottom="1440" w:gutter="0" w:footer="0" w:header="0"/>
        </w:sectPr>
      </w:pPr>
    </w:p>
    <w:bookmarkStart w:id="114" w:name="page115"/>
    <w:bookmarkEnd w:id="114"/>
    <w:p>
      <w:pPr>
        <w:ind w:right="2779"/>
        <w:spacing w:after="0" w:line="236" w:lineRule="auto"/>
        <w:rPr>
          <w:sz w:val="20"/>
          <w:szCs w:val="20"/>
          <w:color w:val="auto"/>
        </w:rPr>
      </w:pPr>
      <w:r>
        <w:rPr>
          <w:rFonts w:ascii="Courier New" w:cs="Courier New" w:eastAsia="Courier New" w:hAnsi="Courier New"/>
          <w:sz w:val="16"/>
          <w:szCs w:val="16"/>
          <w:color w:val="auto"/>
        </w:rPr>
        <w:t>for repayment at the option of Holders except that the period for delivery or notification to the Trustee shall be at least 25 but not more than 35 days prior to such Optional Reset Date and except that, if the Holder has tendered any Security for repayment pursuant to the Reset Notice, the Holder may, by written notice to the Trustee, revoke such tender or repayment until the close of business on the tenth day before such Optional Reset Date.</w:t>
      </w:r>
    </w:p>
    <w:p>
      <w:pPr>
        <w:spacing w:after="0" w:line="183" w:lineRule="exact"/>
        <w:rPr>
          <w:sz w:val="20"/>
          <w:szCs w:val="20"/>
          <w:color w:val="auto"/>
        </w:rPr>
      </w:pPr>
    </w:p>
    <w:p>
      <w:pPr>
        <w:ind w:right="2779" w:firstLine="1391"/>
        <w:spacing w:after="0" w:line="235" w:lineRule="auto"/>
        <w:tabs>
          <w:tab w:leader="none" w:pos="1767"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foregoing provisions of this Section and Section 305, each Security delivered under this Indenture upon registration of transfer of or in exchange for or in lieu of any other Security shall carry the rights to interest accrued and unpaid, and to accrue, which were carried by such other Security.</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308. Optional Extension of Maturity</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1391"/>
        <w:spacing w:after="0" w:line="272" w:lineRule="auto"/>
        <w:tabs>
          <w:tab w:leader="none" w:pos="1767"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provisions of this Section 308 may be made applicable to any series of Securities pursuant to Section 301 (with such modifications, additions or substitutions as may be specified pursuant to such Section 301). The Stated Maturity of any Security of such series may be extended at the option of the Company for the period or periods specified on the face of such Security (each an "Extension Period") up to but not beyond the date (the "Final Maturity") set forth on the face of such Security. The Company may exercise such option with respect to any Security by notifying the Trustee of such exercise at least 45 but not more than 60 days prior to the Stated Maturity of such Security in effect prior to the exercise of such option (the "Original Stated Maturity"). If the Company exercises such option, the Trustee shall transmit, in the manner provided for in Section 106, to the Holder of such Security not later than 40 days prior to the Original Stated Maturity a notice (the "Extension Notice") indicating (i) the election of the Company to extend the Stated Maturity, (ii) the new Stated Maturity, (iii) the interest rate (or spread, spread multiplier or other formula used to calculate such interest rate, if applicable), if any, applicable to the Extension Period and (iv) the provisions, if any, for redemption during such Extension Period. Upon the Trustee's transmittal of the Extension Notice, the Stated Maturity of such Security shall be extended automatically and, except as modified by the Extension Notice and as described in Subsection 308(b), such Security will have the same terms as prior to the transmittal of such Extension Notice.</w:t>
      </w:r>
    </w:p>
    <w:p>
      <w:pPr>
        <w:spacing w:after="0" w:line="200" w:lineRule="exact"/>
        <w:rPr>
          <w:rFonts w:ascii="Courier New" w:cs="Courier New" w:eastAsia="Courier New" w:hAnsi="Courier New"/>
          <w:sz w:val="14"/>
          <w:szCs w:val="14"/>
          <w:color w:val="auto"/>
        </w:rPr>
      </w:pPr>
    </w:p>
    <w:p>
      <w:pPr>
        <w:spacing w:after="0" w:line="319" w:lineRule="exact"/>
        <w:rPr>
          <w:rFonts w:ascii="Courier New" w:cs="Courier New" w:eastAsia="Courier New" w:hAnsi="Courier New"/>
          <w:sz w:val="14"/>
          <w:szCs w:val="14"/>
          <w:color w:val="auto"/>
        </w:rPr>
      </w:pPr>
    </w:p>
    <w:p>
      <w:pPr>
        <w:ind w:right="2779" w:firstLine="1391"/>
        <w:spacing w:after="0" w:line="236" w:lineRule="auto"/>
        <w:tabs>
          <w:tab w:leader="none" w:pos="1767"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not later than 20 days before the Original Stated Maturity of such Security, the Company may, at its option, revoke the interest rate (or spread, spread multiplier or other formula used to calculate such interest rate, if applicable) provided for in the Extension Notice and establish a higher interest rate (or spread, spread multiplier or other formula used to calculate such higher interest rate, if applicable) for the Extension Period by causing the Trustee to transmit, in the manner provided for in Section 106, notice of such higher interest rate (or spread, spread multiplier or other formula used to calculate such interest rate, if applicable) to the Holder of such Security. Such notice shall be irrevocable. All Securities with respect to which the Stated Maturity is extended will bear such higher interest rate.</w:t>
      </w:r>
    </w:p>
    <w:p>
      <w:pPr>
        <w:spacing w:after="0" w:line="186" w:lineRule="exact"/>
        <w:rPr>
          <w:rFonts w:ascii="Courier New" w:cs="Courier New" w:eastAsia="Courier New" w:hAnsi="Courier New"/>
          <w:sz w:val="16"/>
          <w:szCs w:val="16"/>
          <w:color w:val="auto"/>
        </w:rPr>
      </w:pPr>
    </w:p>
    <w:p>
      <w:pPr>
        <w:ind w:right="2779" w:firstLine="1391"/>
        <w:spacing w:after="0" w:line="279" w:lineRule="auto"/>
        <w:tabs>
          <w:tab w:leader="none" w:pos="1767"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extends the Stated Maturity of any Security, the Holder will have the option to elect repayment of such Security by the Company on the Original Stated Maturity at a price equal to the principal amount thereof, plus interest accrued to such date. In order to obtain repayment on the</w:t>
      </w:r>
    </w:p>
    <w:p>
      <w:pPr>
        <w:spacing w:after="0" w:line="33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654" w:right="1440" w:bottom="1440" w:gutter="0" w:footer="0" w:header="0"/>
        </w:sectPr>
      </w:pPr>
    </w:p>
    <w:bookmarkStart w:id="115" w:name="page116"/>
    <w:bookmarkEnd w:id="115"/>
    <w:p>
      <w:pPr>
        <w:ind w:left="5" w:right="2779"/>
        <w:spacing w:after="0" w:line="274" w:lineRule="auto"/>
        <w:rPr>
          <w:sz w:val="20"/>
          <w:szCs w:val="20"/>
          <w:color w:val="auto"/>
        </w:rPr>
      </w:pPr>
      <w:r>
        <w:rPr>
          <w:rFonts w:ascii="Courier New" w:cs="Courier New" w:eastAsia="Courier New" w:hAnsi="Courier New"/>
          <w:sz w:val="14"/>
          <w:szCs w:val="14"/>
          <w:color w:val="auto"/>
        </w:rPr>
        <w:t>Original Stated Maturity once the Company has extended the Stated Maturity thereof, the Holder must follow the procedures set forth in Article Thirteen for repayment at the option of Holders, except that the period for delivery or notification to the Trustee shall be at least 25 but not more than 35 days prior to the Original Stated Maturity and except that, if the Holder has tendered any Security for repayment pursuant to an Extension Notice, the Holder may by written notice to the Trustee revoke such tender for repayment until the close of business on the tenth day before the Original Stated Maturity.</w:t>
      </w:r>
    </w:p>
    <w:p>
      <w:pPr>
        <w:spacing w:after="0" w:line="155"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SECTION 309. Persons Deemed Owners</w:t>
      </w:r>
    </w:p>
    <w:p>
      <w:pPr>
        <w:ind w:left="1665"/>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5" w:right="2779" w:firstLine="1391"/>
        <w:spacing w:after="0" w:line="270" w:lineRule="auto"/>
        <w:tabs>
          <w:tab w:leader="none" w:pos="1772" w:val="left"/>
        </w:tabs>
        <w:numPr>
          <w:ilvl w:val="1"/>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due presentment of a Registered Security for registration of transfer, the Company, the Trustee and any agent of the Company, or the Trustee may treat the Person in whose name such Registered Security is registered as the owner of such Registered Security for the purpose of receiving payment of principal of (and premium, if any) and (subject to Sections 305 and</w:t>
      </w:r>
    </w:p>
    <w:p>
      <w:pPr>
        <w:spacing w:after="0" w:line="2" w:lineRule="exact"/>
        <w:rPr>
          <w:rFonts w:ascii="Courier New" w:cs="Courier New" w:eastAsia="Courier New" w:hAnsi="Courier New"/>
          <w:sz w:val="14"/>
          <w:szCs w:val="14"/>
          <w:color w:val="auto"/>
        </w:rPr>
      </w:pPr>
    </w:p>
    <w:p>
      <w:pPr>
        <w:ind w:left="5" w:right="2879" w:hanging="5"/>
        <w:spacing w:after="0" w:line="235" w:lineRule="auto"/>
        <w:tabs>
          <w:tab w:leader="none" w:pos="470"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if any, on such Registered Security and for all other purposes whatsoever, whether or not such Registered Security be overdue, and none of the Company, the Trustee nor any agent of the Company, or the Trustee shall be affected by notice to the contrary.</w:t>
      </w:r>
    </w:p>
    <w:p>
      <w:pPr>
        <w:spacing w:after="0" w:line="184" w:lineRule="exact"/>
        <w:rPr>
          <w:rFonts w:ascii="Courier New" w:cs="Courier New" w:eastAsia="Courier New" w:hAnsi="Courier New"/>
          <w:sz w:val="16"/>
          <w:szCs w:val="16"/>
          <w:color w:val="auto"/>
        </w:rPr>
      </w:pPr>
    </w:p>
    <w:p>
      <w:pPr>
        <w:ind w:left="5" w:right="2779" w:firstLine="1391"/>
        <w:spacing w:after="0" w:line="236" w:lineRule="auto"/>
        <w:tabs>
          <w:tab w:leader="none" w:pos="1772" w:val="left"/>
        </w:tabs>
        <w:numPr>
          <w:ilvl w:val="1"/>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to any Bearer Security and any coupons appertaining thereto shall pass by delivery. The Company, the Trustee and any agent of the Company, or the Trustee may treat the bearer of any Bearer Security and the bearer of any coupon as the absolute owner of such Security or coupon for the purpose of receiving payment thereof or on account thereof and for all other purposes whatsoever, whether or not such Security or coupon be overdue, and none of the Company, the Trustee nor any agent of the Company, or the Trustee shall be affected by notice to the contrary.</w:t>
      </w:r>
    </w:p>
    <w:p>
      <w:pPr>
        <w:spacing w:after="0" w:line="184" w:lineRule="exact"/>
        <w:rPr>
          <w:rFonts w:ascii="Courier New" w:cs="Courier New" w:eastAsia="Courier New" w:hAnsi="Courier New"/>
          <w:sz w:val="16"/>
          <w:szCs w:val="16"/>
          <w:color w:val="auto"/>
        </w:rPr>
      </w:pPr>
    </w:p>
    <w:p>
      <w:pPr>
        <w:ind w:left="5" w:right="2959" w:firstLine="1391"/>
        <w:spacing w:after="0" w:line="276" w:lineRule="auto"/>
        <w:tabs>
          <w:tab w:leader="none" w:pos="1772" w:val="left"/>
        </w:tabs>
        <w:numPr>
          <w:ilvl w:val="1"/>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the Company, the Trustee, any Paying Agent or the Security Registrar will have any responsibility or liability for any aspect of the records relating to or payments made on account of beneficial ownership interests of a Security in global form or for maintaining, supervising or reviewing any records relating to such beneficial ownership interests.</w:t>
      </w:r>
    </w:p>
    <w:p>
      <w:pPr>
        <w:spacing w:after="0" w:line="161" w:lineRule="exact"/>
        <w:rPr>
          <w:rFonts w:ascii="Courier New" w:cs="Courier New" w:eastAsia="Courier New" w:hAnsi="Courier New"/>
          <w:sz w:val="14"/>
          <w:szCs w:val="14"/>
          <w:color w:val="auto"/>
        </w:rPr>
      </w:pPr>
    </w:p>
    <w:p>
      <w:pPr>
        <w:ind w:left="5" w:right="2779" w:firstLine="1391"/>
        <w:spacing w:after="0" w:line="236" w:lineRule="auto"/>
        <w:tabs>
          <w:tab w:leader="none" w:pos="1772" w:val="left"/>
        </w:tabs>
        <w:numPr>
          <w:ilvl w:val="1"/>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with respect to any global Security, nothing herein shall prevent the Company, the Trustee, or any agent of the Company, or the Trustee, from giving effect to any written certification, proxy or other authorization furnished by any depositary, as a Holder, with respect to such global Security or impair, as between such depositary and owners of beneficial interests in such global Security, the operation of customary practices governing the exercise of the rights of such depositary (or its nominee) as Holder of such global Security.</w:t>
      </w:r>
    </w:p>
    <w:p>
      <w:pPr>
        <w:spacing w:after="0" w:line="178"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SECTION 310. Cancellation</w:t>
      </w:r>
    </w:p>
    <w:p>
      <w:pPr>
        <w:ind w:left="1665"/>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5" w:right="2779" w:firstLine="1391"/>
        <w:spacing w:after="0" w:line="273" w:lineRule="auto"/>
        <w:tabs>
          <w:tab w:leader="none" w:pos="1772"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Securities and coupons surrendered for payment, redemption, repayment at the option of the Holder, registration of transfer or exchange or for credit against any sinking fund payment shall, if surrendered to any Person other than the Trustee, be delivered to the Trustee, and any such Securities and coupons and Securities and coupons surrendered directly to the Trustee for any such purpose shall be promptly cancelled by it. The Company may at any time deliver to the Trustee for cancellation any Securities previously authenticated and delivered hereunder which the Company may have acquired in any manner whatsoever, and may deliver to the Trustee (or to any other Person for</w:t>
      </w:r>
    </w:p>
    <w:p>
      <w:pPr>
        <w:spacing w:after="0" w:line="338"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24"/>
          </w:cols>
          <w:pgMar w:left="235" w:top="654" w:right="1440" w:bottom="1440" w:gutter="0" w:footer="0" w:header="0"/>
        </w:sectPr>
      </w:pPr>
    </w:p>
    <w:bookmarkStart w:id="116" w:name="page117"/>
    <w:bookmarkEnd w:id="116"/>
    <w:p>
      <w:pPr>
        <w:ind w:right="2779"/>
        <w:spacing w:after="0" w:line="236" w:lineRule="auto"/>
        <w:rPr>
          <w:sz w:val="20"/>
          <w:szCs w:val="20"/>
          <w:color w:val="auto"/>
        </w:rPr>
      </w:pPr>
      <w:r>
        <w:rPr>
          <w:rFonts w:ascii="Courier New" w:cs="Courier New" w:eastAsia="Courier New" w:hAnsi="Courier New"/>
          <w:sz w:val="16"/>
          <w:szCs w:val="16"/>
          <w:color w:val="auto"/>
        </w:rPr>
        <w:t>delivery to the Trustee) for cancellation any Securities previously authenticated hereunder which the Company has not issued and sold, and all Securities so delivered shall be promptly cancelled by the Trustee. If the Company shall so acquire any of the Securities, however, such acquisition shall not operate as a redemption or satisfaction of the indebtedness represented by such Securities unless and until the same are surrendered to the Trustee for cancellation. No Securities shall be authenticated in lieu of or in exchange for any Securities cancelled as provided in this Section, except as expressly permitted by this Indenture. Cancelled Securities and coupons held by the Trustee shall be disposed of by the Trustee in its customary manner, unless by a Company Order the Company directs that cancelled Securities be returned to the Company.</w:t>
      </w:r>
    </w:p>
    <w:p>
      <w:pPr>
        <w:spacing w:after="0" w:line="18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311. Computation of Interest</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jc w:val="both"/>
        <w:ind w:right="2779" w:firstLine="1395"/>
        <w:spacing w:after="0" w:line="283" w:lineRule="auto"/>
        <w:rPr>
          <w:sz w:val="20"/>
          <w:szCs w:val="20"/>
          <w:color w:val="auto"/>
        </w:rPr>
      </w:pPr>
      <w:r>
        <w:rPr>
          <w:rFonts w:ascii="Courier New" w:cs="Courier New" w:eastAsia="Courier New" w:hAnsi="Courier New"/>
          <w:sz w:val="14"/>
          <w:szCs w:val="14"/>
          <w:color w:val="auto"/>
        </w:rPr>
        <w:t>Except as otherwise specified as contemplated by Section 301 with respect to Securities of any series, interest, if any, on the Securities of each series shall be computed on the basis of a 360-day year of twelve 30-day months.</w:t>
      </w:r>
    </w:p>
    <w:p>
      <w:pPr>
        <w:spacing w:after="0" w:line="14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312. Currency and Manner of Payments in Respect of Securities</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1391"/>
        <w:spacing w:after="0" w:line="236" w:lineRule="auto"/>
        <w:tabs>
          <w:tab w:leader="none" w:pos="1767"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otherwise specified with respect to any Securities pursuant to Section 301, with respect to Registered Securities of any series not permitting the election provided for in Subsection (b) of this Section or the Holders of which have not made the election provided for in Subsection (b) of this Section, and with respect to Bearer Securities of any series, except as provided in Subsection (d) of this Section, payment of the principal of (and premium, if any) and interest, if any, on any Registered or Bearer Security of such series will be made in the Currency in which such Registered Security or Bearer Security, as the case may be, is payable. The provisions of this Section 312 may be modified or superseded with respect to any Securities pursuant to Section 301.</w:t>
      </w:r>
    </w:p>
    <w:p>
      <w:pPr>
        <w:spacing w:after="0" w:line="186" w:lineRule="exact"/>
        <w:rPr>
          <w:rFonts w:ascii="Courier New" w:cs="Courier New" w:eastAsia="Courier New" w:hAnsi="Courier New"/>
          <w:sz w:val="16"/>
          <w:szCs w:val="16"/>
          <w:color w:val="auto"/>
        </w:rPr>
      </w:pPr>
    </w:p>
    <w:p>
      <w:pPr>
        <w:ind w:right="2779" w:firstLine="1391"/>
        <w:spacing w:after="0" w:line="271" w:lineRule="auto"/>
        <w:tabs>
          <w:tab w:leader="none" w:pos="1767"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may be provided pursuant to Section 301 with respect to Registered Securities of any series that Holders shall have the option, subject to Subsection (d) and (e) of this Section, to receive payments of principal of (or premium, if any) or interest, if any, on such Registered Securities in any of the Currencies which may be designated for such election by delivering to the Trustee a written election with signature guarantees and in the applicable form established pursuant to Section 301, not later than the close of business on the Election Date immediately preceding the applicable payment date. If a Holder so elects to receive such payments in any such Currency, such election will remain in effect for such Holder or any transferee of such Holder until changed by such Holder or such transferee by written notice to the Trustee (but any such change must be made not later than the close of business on the Election Date immediately preceding the next payment date to be effective for the payment to be made on such payment date and no such change of election may be made with respect to payments to be made on any Registered Security of such series with respect to which an Event of Default has occurred or with respect to which the Company has deposited funds pursuant to Article Four or Fourteen or with respect to which a notice of redemption has been given by the Company or a notice of option to elect repayment has been sent by such Holder or such transferee). Any Holder of any such Registered Security who shall not have delivered any such election to the Trustee of such series of Registered Securities not later than the close of business on the applicable Election Date will be paid the amount</w:t>
      </w:r>
    </w:p>
    <w:p>
      <w:pPr>
        <w:spacing w:after="0" w:line="200" w:lineRule="exact"/>
        <w:rPr>
          <w:sz w:val="20"/>
          <w:szCs w:val="20"/>
          <w:color w:val="auto"/>
        </w:rPr>
      </w:pPr>
    </w:p>
    <w:p>
      <w:pPr>
        <w:spacing w:after="0" w:line="32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19"/>
          </w:cols>
          <w:pgMar w:left="240" w:top="654" w:right="1440" w:bottom="1440" w:gutter="0" w:footer="0" w:header="0"/>
        </w:sectPr>
      </w:pPr>
    </w:p>
    <w:bookmarkStart w:id="117" w:name="page118"/>
    <w:bookmarkEnd w:id="117"/>
    <w:p>
      <w:pPr>
        <w:ind w:left="5" w:right="2779"/>
        <w:spacing w:after="0" w:line="279" w:lineRule="auto"/>
        <w:rPr>
          <w:sz w:val="20"/>
          <w:szCs w:val="20"/>
          <w:color w:val="auto"/>
        </w:rPr>
      </w:pPr>
      <w:r>
        <w:rPr>
          <w:rFonts w:ascii="Courier New" w:cs="Courier New" w:eastAsia="Courier New" w:hAnsi="Courier New"/>
          <w:sz w:val="14"/>
          <w:szCs w:val="14"/>
          <w:color w:val="auto"/>
        </w:rPr>
        <w:t>due on the applicable payment date in the relevant Currency as provided in Subsection (a) of this Section. The Trustee shall notify the Exchange Rate Agent as soon as practicable after the Election Date of the aggregate principal amount of Registered Securities for which Holders have made such written election.</w:t>
      </w:r>
    </w:p>
    <w:p>
      <w:pPr>
        <w:spacing w:after="0" w:line="157" w:lineRule="exact"/>
        <w:rPr>
          <w:sz w:val="20"/>
          <w:szCs w:val="20"/>
          <w:color w:val="auto"/>
        </w:rPr>
      </w:pPr>
    </w:p>
    <w:p>
      <w:pPr>
        <w:ind w:left="5" w:right="2779" w:firstLine="1391"/>
        <w:spacing w:after="0" w:line="271" w:lineRule="auto"/>
        <w:tabs>
          <w:tab w:leader="none" w:pos="1772" w:val="left"/>
        </w:tabs>
        <w:numPr>
          <w:ilvl w:val="1"/>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specified pursuant to Section 301, if the election referred to in Subsection (b) of this Section has been provided for pursuant to Section 301, then, unless otherwise specified pursuant to Section 301, not later than the fourth Business Day after the Election Date for each payment date for Registered Securities of any series, the Exchange Rate Agent will deliver to the Company a written notice specifying the Currency in which Registered Securities of such series are payable, the respective aggregate amounts of principal of (and premium, if any) and interest, if any, on the Registered Securities to be paid on such payment date, specifying the amounts in such Currency so payable in respect of the Registered Securities as to which the Holders of Registered Securities of such Series shall have elected to be paid in another Currency as provided in Subsection (b) of this Section. If the election referred to in Subsection (b) of this Section has been provided for pursuant to Section 301 and if at least one Holder has made such election, then, unless otherwise specified pursuant to Section 301, on the second Business Day preceding such payment date the Company will deliver to the Trustee for such series of Registered Securities an Exchange Rate Officer's Certificate in respect of the Dollar or Foreign Currency payments to be made on such payment date. Unless otherwise specified pursuant to Section 301, the Dollar or Foreign Currency amount receivable by Holders of Registered Securities who have elected payment in a Currency as provided in Subsection (b) of this Section shall be determined by the Company on the basis of the applicable Market Exchange Rate in effect on the second Business Day (the "Valuation Date") immediately preceding each payment date, and such determination shall be conclusive and binding for all purposes, absent manifest error.</w:t>
      </w:r>
    </w:p>
    <w:p>
      <w:pPr>
        <w:spacing w:after="0" w:line="200" w:lineRule="exact"/>
        <w:rPr>
          <w:rFonts w:ascii="Courier New" w:cs="Courier New" w:eastAsia="Courier New" w:hAnsi="Courier New"/>
          <w:sz w:val="14"/>
          <w:szCs w:val="14"/>
          <w:color w:val="auto"/>
        </w:rPr>
      </w:pPr>
    </w:p>
    <w:p>
      <w:pPr>
        <w:spacing w:after="0" w:line="332" w:lineRule="exact"/>
        <w:rPr>
          <w:rFonts w:ascii="Courier New" w:cs="Courier New" w:eastAsia="Courier New" w:hAnsi="Courier New"/>
          <w:sz w:val="14"/>
          <w:szCs w:val="14"/>
          <w:color w:val="auto"/>
        </w:rPr>
      </w:pPr>
    </w:p>
    <w:p>
      <w:pPr>
        <w:ind w:left="5" w:right="2779" w:firstLine="1391"/>
        <w:spacing w:after="0" w:line="236" w:lineRule="auto"/>
        <w:tabs>
          <w:tab w:leader="none" w:pos="1772" w:val="left"/>
        </w:tabs>
        <w:numPr>
          <w:ilvl w:val="1"/>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Conversion Event occurs with respect to a Foreign Currency in which any of the Securities are denominated or payable other than pursuant to an election provided for pursuant to Subsection (b) of this Section, then with respect to each date for the payment of principal of (and premium, if any) and interest, if any on the applicable Securities denominated or payable in such Foreign Currency occurring after the last date on which such Foreign Currency was used (the "Conversion Date"), the Dollar shall be the currency of payment for use on each such payment date. Unless otherwise specified pursuant to Section 301, the Dollar amount to be paid by the Company to the Trustee and by such Trustee or any Paying Agent to the Holders of such Securities with respect to such payment date shall be, in the case of a Foreign Currency other than a currency unit, the Dollar Equivalent of the Foreign Currency or, in the case of a currency unit, the Dollar Equivalent of the Currency Unit, in each case as determined by the Exchange Rate Agent in the manner provided in Subsection (f) or (g) of this Section.</w:t>
      </w:r>
    </w:p>
    <w:p>
      <w:pPr>
        <w:spacing w:after="0" w:line="188" w:lineRule="exact"/>
        <w:rPr>
          <w:rFonts w:ascii="Courier New" w:cs="Courier New" w:eastAsia="Courier New" w:hAnsi="Courier New"/>
          <w:sz w:val="16"/>
          <w:szCs w:val="16"/>
          <w:color w:val="auto"/>
        </w:rPr>
      </w:pPr>
    </w:p>
    <w:p>
      <w:pPr>
        <w:ind w:left="5" w:right="2779" w:firstLine="1391"/>
        <w:spacing w:after="0" w:line="270" w:lineRule="auto"/>
        <w:tabs>
          <w:tab w:leader="none" w:pos="1772" w:val="left"/>
        </w:tabs>
        <w:numPr>
          <w:ilvl w:val="1"/>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specified pursuant to Section 301, if the Holder of a Registered Security denominated in any Currency shall have elected to be paid in another Currency as provided in Subsection (b) of this Section, and a Conversion Event occurs with respect to such elected Currency, such Holder shall receive payment in the Currency in which payment would have been made in the absence of such election; and if a Conversion Event occurs with respect to the Currency in which payment would have been made in the absence of such election, such Holder shall receive payment in Dollars as provided in Subsection</w:t>
      </w:r>
    </w:p>
    <w:p>
      <w:pPr>
        <w:ind w:left="365" w:hanging="365"/>
        <w:spacing w:after="0" w:line="236" w:lineRule="auto"/>
        <w:tabs>
          <w:tab w:leader="none" w:pos="365"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this Section.</w:t>
      </w:r>
    </w:p>
    <w:p>
      <w:pPr>
        <w:spacing w:after="0" w:line="356"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24"/>
          </w:cols>
          <w:pgMar w:left="235" w:top="654" w:right="1440" w:bottom="1440" w:gutter="0" w:footer="0" w:header="0"/>
        </w:sectPr>
      </w:pPr>
    </w:p>
    <w:bookmarkStart w:id="118" w:name="page119"/>
    <w:bookmarkEnd w:id="118"/>
    <w:p>
      <w:pPr>
        <w:ind w:right="2879" w:firstLine="1391"/>
        <w:spacing w:after="0" w:line="235" w:lineRule="auto"/>
        <w:tabs>
          <w:tab w:leader="none" w:pos="1767"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"Dollar Equivalent of the Foreign Currency" shall be determined by the Exchange Rate Agent and shall be obtained for each subsequent payment date by converting the specified Foreign Currency into Dollars at the Market Exchange Rate on the Conversion Date.</w:t>
      </w:r>
    </w:p>
    <w:p>
      <w:pPr>
        <w:spacing w:after="0" w:line="184" w:lineRule="exact"/>
        <w:rPr>
          <w:rFonts w:ascii="Courier New" w:cs="Courier New" w:eastAsia="Courier New" w:hAnsi="Courier New"/>
          <w:sz w:val="16"/>
          <w:szCs w:val="16"/>
          <w:color w:val="auto"/>
        </w:rPr>
      </w:pPr>
    </w:p>
    <w:p>
      <w:pPr>
        <w:ind w:right="2959" w:firstLine="1391"/>
        <w:spacing w:after="0" w:line="236" w:lineRule="auto"/>
        <w:tabs>
          <w:tab w:leader="none" w:pos="1767"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"Dollar Equivalent of the Currency Unit" shall be determined by the Exchange Rate Agent and subject to the provisions of Subsection (h) of this Section shall be the sum of each amount obtained by converting the Specified Amount of each Component Currency into Dollars at the Market Exchange Rate for such Component Currency on the Valuation Date with respect to each payment.</w:t>
      </w:r>
    </w:p>
    <w:p>
      <w:pPr>
        <w:spacing w:after="0" w:line="182" w:lineRule="exact"/>
        <w:rPr>
          <w:rFonts w:ascii="Courier New" w:cs="Courier New" w:eastAsia="Courier New" w:hAnsi="Courier New"/>
          <w:sz w:val="16"/>
          <w:szCs w:val="16"/>
          <w:color w:val="auto"/>
        </w:rPr>
      </w:pPr>
    </w:p>
    <w:p>
      <w:pPr>
        <w:ind w:right="2959" w:firstLine="1391"/>
        <w:spacing w:after="0" w:line="234" w:lineRule="auto"/>
        <w:tabs>
          <w:tab w:leader="none" w:pos="1767"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Section 312, the following terms shall have the following meanings:</w:t>
      </w:r>
    </w:p>
    <w:p>
      <w:pPr>
        <w:spacing w:after="0" w:line="183" w:lineRule="exact"/>
        <w:rPr>
          <w:sz w:val="20"/>
          <w:szCs w:val="20"/>
          <w:color w:val="auto"/>
        </w:rPr>
      </w:pPr>
    </w:p>
    <w:p>
      <w:pPr>
        <w:ind w:right="3059"/>
        <w:spacing w:after="0" w:line="235" w:lineRule="auto"/>
        <w:rPr>
          <w:sz w:val="20"/>
          <w:szCs w:val="20"/>
          <w:color w:val="auto"/>
        </w:rPr>
      </w:pPr>
      <w:r>
        <w:rPr>
          <w:rFonts w:ascii="Courier New" w:cs="Courier New" w:eastAsia="Courier New" w:hAnsi="Courier New"/>
          <w:sz w:val="16"/>
          <w:szCs w:val="16"/>
          <w:color w:val="auto"/>
        </w:rPr>
        <w:t>A "Component Currency" shall mean any currency which, on the Conversion Date, was a component currency of the relevant currency unit, including, but not limited to, the euro.</w:t>
      </w:r>
    </w:p>
    <w:p>
      <w:pPr>
        <w:spacing w:after="0" w:line="183" w:lineRule="exact"/>
        <w:rPr>
          <w:sz w:val="20"/>
          <w:szCs w:val="20"/>
          <w:color w:val="auto"/>
        </w:rPr>
      </w:pPr>
    </w:p>
    <w:p>
      <w:pPr>
        <w:ind w:right="2779" w:firstLine="1395"/>
        <w:spacing w:after="0" w:line="236" w:lineRule="auto"/>
        <w:rPr>
          <w:sz w:val="20"/>
          <w:szCs w:val="20"/>
          <w:color w:val="auto"/>
        </w:rPr>
      </w:pPr>
      <w:r>
        <w:rPr>
          <w:rFonts w:ascii="Courier New" w:cs="Courier New" w:eastAsia="Courier New" w:hAnsi="Courier New"/>
          <w:sz w:val="16"/>
          <w:szCs w:val="16"/>
          <w:color w:val="auto"/>
        </w:rPr>
        <w:t>A "Specified Amount" of a Component Currency shall mean the number of units of such Component Currency or fractions thereof which were represented in the relevant currency unit, including, but not limited to, the euro, on the Conversion Date. If after the Conversion Date the official unit of any Component Currency is altered by way of combination or subdivision, the Specified Amount of such Component Currency shall be divided or multiplied in the same proportion. If after the Conversion Date two or more Component Currencies are consolidated into a single Currency, the respective Specified Amounts of such Component Currencies shall be replaced by an amount in such single Currency equal to the sum of the respective Specified Amounts of such consolidated Component Currencies expressed in such single Currency, and such amount shall thereafter be a Specified Amount and such single Currency shall thereafter be a Component Currency. If after the Conversion Date any Component Currency shall be divided into two or more currencies, the Specified Amount of such Component Currency shall be replaced by amounts of such two or more currencies, having an aggregate Dollar Equivalent value at the Market Exchange Rate on the date of such replacement equal to the Dollar Equivalent of the Specified Amount of such former Component Currency at the Market Exchange Rate immediately before such division, and such amounts shall thereafter be Specified Amounts and such currencies shall thereafter be Component Currencies. If, after the Conversion Date of the relevant currency unit, including, but not limited to, the euro, a Conversion Event (other than any event referred to above in this definition of "Specified Amount") occurs with respect to any Component Currency of such currency unit and is continuing on the applicable Valuation Date, the Specified Amount of such Component Currency shall, for purposes of calculating the Dollar Equivalent of the Currency Unit, be converted into Dollars at the Market Exchange Rate in effect on the Conversion Date of such Component Currency.</w:t>
      </w:r>
    </w:p>
    <w:p>
      <w:pPr>
        <w:spacing w:after="0" w:line="197" w:lineRule="exact"/>
        <w:rPr>
          <w:sz w:val="20"/>
          <w:szCs w:val="20"/>
          <w:color w:val="auto"/>
        </w:rPr>
      </w:pPr>
    </w:p>
    <w:p>
      <w:pPr>
        <w:ind w:left="740" w:right="2779" w:firstLine="651"/>
        <w:spacing w:after="0" w:line="236" w:lineRule="auto"/>
        <w:rPr>
          <w:sz w:val="20"/>
          <w:szCs w:val="20"/>
          <w:color w:val="auto"/>
        </w:rPr>
      </w:pPr>
      <w:r>
        <w:rPr>
          <w:rFonts w:ascii="Courier New" w:cs="Courier New" w:eastAsia="Courier New" w:hAnsi="Courier New"/>
          <w:sz w:val="16"/>
          <w:szCs w:val="16"/>
          <w:color w:val="auto"/>
        </w:rPr>
        <w:t>"Election Date" shall mean the Regular Record Date for the applicable series of Registered Securities or at least 16 days prior to Maturity, as the case may be, or such other prior date for any series of Registered Securities as specified pursuant to clause 13 of Section 301 by which the written election referred to in Subsection 312(b) may be made.</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654" w:right="1440" w:bottom="1440" w:gutter="0" w:footer="0" w:header="0"/>
        </w:sectPr>
      </w:pPr>
    </w:p>
    <w:bookmarkStart w:id="119" w:name="page120"/>
    <w:bookmarkEnd w:id="119"/>
    <w:p>
      <w:pPr>
        <w:ind w:left="-460" w:right="2779" w:firstLine="1391"/>
        <w:spacing w:after="0" w:line="236" w:lineRule="auto"/>
        <w:tabs>
          <w:tab w:leader="none" w:pos="1307"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decisions and determinations of the Exchange Rate Agent regarding the Dollar Equivalent of the Foreign Currency, the Dollar Equivalent of the Currency Unit, the Market Exchange Rate and changes in the Specified Amounts as specified above shall be in its sole discretion and shall, in the absence of manifest error, be conclusive for all purposes and irrevocably binding upon the Company, the Trustee and all Holders of such Securities denominated or payable in the relevant Currency. The Exchange Rate Agent shall promptly give written notice to the Company and the Trustee of any such decision or determination.</w:t>
      </w:r>
    </w:p>
    <w:p>
      <w:pPr>
        <w:spacing w:after="0" w:line="184" w:lineRule="exact"/>
        <w:rPr>
          <w:rFonts w:ascii="Courier New" w:cs="Courier New" w:eastAsia="Courier New" w:hAnsi="Courier New"/>
          <w:sz w:val="16"/>
          <w:szCs w:val="16"/>
          <w:color w:val="auto"/>
        </w:rPr>
      </w:pPr>
    </w:p>
    <w:p>
      <w:pPr>
        <w:ind w:left="-460" w:right="2779" w:firstLine="1391"/>
        <w:spacing w:after="0" w:line="272" w:lineRule="auto"/>
        <w:tabs>
          <w:tab w:leader="none" w:pos="1307"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Company determines in good faith that a Conversion Event has occurred with respect to a Foreign Currency, the Company will immediately give written notice thereof to the Trustee and to the Exchange Rate Agent (and such Trustee will promptly thereafter give notice in the manner provided for in Section 106 to the affected Holders) specifying the Conversion Date. In the event the Company so determines that a Conversion Event has occurred with respect to the euro or any other currency unit in which Securities are denominated or payable, the Company will immediately give written notice thereof to the Trustee and to the Exchange Rate Agent (and such Trustee will promptly thereafter give notice in the manner provided in Section 106 to the affected Holders) specifying the Conversion Date and the Specified Amount of each Component Currency on the Conversion Date. In the event the Company determines in good faith that any subsequent change in any Component Currency as set forth in the definition of Specified Amount above has occurred, the Company will similarly give written notice to the Trustee and the Exchange Rate Agent.</w:t>
      </w:r>
    </w:p>
    <w:p>
      <w:pPr>
        <w:spacing w:after="0" w:line="345" w:lineRule="exact"/>
        <w:rPr>
          <w:rFonts w:ascii="Courier New" w:cs="Courier New" w:eastAsia="Courier New" w:hAnsi="Courier New"/>
          <w:sz w:val="14"/>
          <w:szCs w:val="14"/>
          <w:color w:val="auto"/>
        </w:rPr>
      </w:pPr>
    </w:p>
    <w:p>
      <w:pPr>
        <w:ind w:left="-460" w:right="2879" w:firstLine="1391"/>
        <w:spacing w:after="0" w:line="236" w:lineRule="auto"/>
        <w:tabs>
          <w:tab w:leader="none" w:pos="1307"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of the appropriate series of Securities shall be fully justified and protected in conclusively relying and acting upon information received by it from the Company and the Exchange Rate Agent and shall not otherwise have any duty or obligation to determine the accuracy or validity of such information independent of the Company or the Exchange Rate Agent.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313. Appointment and Resignation of Successor Exchange Rate Agent</w:t>
      </w:r>
    </w:p>
    <w:p>
      <w:pPr>
        <w:spacing w:after="0" w:line="14"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460" w:right="2779" w:firstLine="1391"/>
        <w:spacing w:after="0" w:line="273" w:lineRule="auto"/>
        <w:tabs>
          <w:tab w:leader="none" w:pos="1307"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specified pursuant to Section 301, if and so long as the Securities of any series (1) are denominated in a Foreign Currency or (2) may be payable in a Foreign Currency, or so long as it is required under any other provision of this Indenture, then the Company will maintain with respect to each such series of Securities, or as so required, at least one Exchange Rate Agent. The Company will cause the Exchange Rate Agent to make the necessary foreign exchange determinations at the time and in the manner specified pursuant to Section 301 for the purpose of determining the applicable rate of exchange and, if applicable, for the purpose of converting the issued Foreign Currency into the applicable payment Currency for the payment of principal (and premium, if any) and interest, if any, pursuant to Section 312.</w:t>
      </w:r>
    </w:p>
    <w:p>
      <w:pPr>
        <w:spacing w:after="0" w:line="342" w:lineRule="exact"/>
        <w:rPr>
          <w:rFonts w:ascii="Courier New" w:cs="Courier New" w:eastAsia="Courier New" w:hAnsi="Courier New"/>
          <w:sz w:val="14"/>
          <w:szCs w:val="14"/>
          <w:color w:val="auto"/>
        </w:rPr>
      </w:pPr>
    </w:p>
    <w:p>
      <w:pPr>
        <w:ind w:left="-460" w:right="2879" w:firstLine="1391"/>
        <w:spacing w:after="0" w:line="236" w:lineRule="auto"/>
        <w:tabs>
          <w:tab w:leader="none" w:pos="1307"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resignation of the Exchange Rate Agent and no appointment of a successor Exchange Rate Agent pursuant to this Section shall become effective until the acceptance of appointment by the successor Exchange Rate Agent as evidenced by a written instrument delivered to the Company and the Trustee of the appropriate series of Securities accepting such appointment executed by the successor Exchange Rate Agent.</w:t>
      </w:r>
    </w:p>
    <w:p>
      <w:pPr>
        <w:spacing w:after="0" w:line="182" w:lineRule="exact"/>
        <w:rPr>
          <w:rFonts w:ascii="Courier New" w:cs="Courier New" w:eastAsia="Courier New" w:hAnsi="Courier New"/>
          <w:sz w:val="16"/>
          <w:szCs w:val="16"/>
          <w:color w:val="auto"/>
        </w:rPr>
      </w:pPr>
    </w:p>
    <w:p>
      <w:pPr>
        <w:ind w:left="-460" w:right="2779" w:firstLine="1391"/>
        <w:spacing w:after="0" w:line="283" w:lineRule="auto"/>
        <w:tabs>
          <w:tab w:leader="none" w:pos="1307"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Exchange Rate Agent shall resign, be removed or become incapable of acting, or if a vacancy shall occur in the office of the Exchange Rate Agent for any cause, with respect to the Securities of one or more series,</w:t>
      </w:r>
    </w:p>
    <w:p>
      <w:pPr>
        <w:spacing w:after="0" w:line="32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9759"/>
          </w:cols>
          <w:pgMar w:left="700" w:top="654" w:right="1440" w:bottom="1440" w:gutter="0" w:footer="0" w:header="0"/>
        </w:sectPr>
      </w:pPr>
    </w:p>
    <w:bookmarkStart w:id="120" w:name="page121"/>
    <w:bookmarkEnd w:id="120"/>
    <w:p>
      <w:pPr>
        <w:ind w:right="2779"/>
        <w:spacing w:after="0" w:line="236" w:lineRule="auto"/>
        <w:rPr>
          <w:sz w:val="20"/>
          <w:szCs w:val="20"/>
          <w:color w:val="auto"/>
        </w:rPr>
      </w:pPr>
      <w:r>
        <w:rPr>
          <w:rFonts w:ascii="Courier New" w:cs="Courier New" w:eastAsia="Courier New" w:hAnsi="Courier New"/>
          <w:sz w:val="16"/>
          <w:szCs w:val="16"/>
          <w:color w:val="auto"/>
        </w:rPr>
        <w:t>the Company, by or pursuant to a Board Resolution, shall promptly appoint a successor Exchange Rate Agent or Exchange Rate Agents with respect to the Securities of that or those series (it being understood that any such successor Exchange Rate Agent may be appointed with respect to the Securities of one or more or all of such series and that, unless otherwise specified pursuant to Section 301, at any time there shall only be one Exchange Rate Agent with respect to the Securities of any particular series that are originally issued by the Company on the same date and that are initially denominated and/or payable in the same Currency).</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314. CUSIP Numbers</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1395"/>
        <w:spacing w:after="0" w:line="236" w:lineRule="auto"/>
        <w:rPr>
          <w:sz w:val="20"/>
          <w:szCs w:val="20"/>
          <w:color w:val="auto"/>
        </w:rPr>
      </w:pPr>
      <w:r>
        <w:rPr>
          <w:rFonts w:ascii="Courier New" w:cs="Courier New" w:eastAsia="Courier New" w:hAnsi="Courier New"/>
          <w:sz w:val="16"/>
          <w:szCs w:val="16"/>
          <w:color w:val="auto"/>
        </w:rPr>
        <w:t>The Company in issuing the Securities may use "CUSIP" numbers (if then generally in use), and, if so, the Trustee shall indicate the "CUSIP" numbers of the Securities in notices of redemption as a convenience to Holders; provided that, any such notice may state that no representation is made as to the correctness of such numbers either as printed on the Securities or as contained in any notice of redemption and that reliance may be placed only on the other identification numbers printed on the Securities, and any such redemption shall not be affected by any defect in or omission of such numbers. The Company will promptly notify the Trustee of any change in the "CUSIP" numbers.</w:t>
      </w:r>
    </w:p>
    <w:p>
      <w:pPr>
        <w:spacing w:after="0" w:line="179"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ARTICLE FOUR</w:t>
      </w:r>
    </w:p>
    <w:p>
      <w:pPr>
        <w:jc w:val="center"/>
        <w:ind w:right="2779"/>
        <w:spacing w:after="0" w:line="236" w:lineRule="auto"/>
        <w:rPr>
          <w:sz w:val="20"/>
          <w:szCs w:val="20"/>
          <w:color w:val="auto"/>
        </w:rPr>
      </w:pPr>
      <w:r>
        <w:rPr>
          <w:rFonts w:ascii="Courier New" w:cs="Courier New" w:eastAsia="Courier New" w:hAnsi="Courier New"/>
          <w:sz w:val="16"/>
          <w:szCs w:val="16"/>
          <w:color w:val="auto"/>
        </w:rPr>
        <w:t>SATISFACTION AND DISCHARGE</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401. Satisfaction and Discharge of Indenture</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1391"/>
        <w:spacing w:after="0" w:line="236" w:lineRule="auto"/>
        <w:tabs>
          <w:tab w:leader="none" w:pos="1767"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otherwise specified pursuant to Section 301, this Indenture shall upon Company Request cease to be of further effect with respect to any series of Securities specified in such Company Request (except as to any surviving rights of registration of transfer or exchange of Securities of such series expressly provided for herein or pursuant hereto and any right to receive Additional Amounts, as provided in Section 1005), and the Trustee, upon receipt of a Company Order, and at the expense of the Company, shall execute proper instruments acknowledging satisfaction and discharge of this Indenture as to such series when</w:t>
      </w:r>
    </w:p>
    <w:p>
      <w:pPr>
        <w:spacing w:after="0" w:line="178" w:lineRule="exact"/>
        <w:rPr>
          <w:rFonts w:ascii="Courier New" w:cs="Courier New" w:eastAsia="Courier New" w:hAnsi="Courier New"/>
          <w:sz w:val="16"/>
          <w:szCs w:val="16"/>
          <w:color w:val="auto"/>
        </w:rPr>
      </w:pPr>
    </w:p>
    <w:p>
      <w:pPr>
        <w:ind w:left="2220" w:hanging="364"/>
        <w:spacing w:after="0"/>
        <w:tabs>
          <w:tab w:leader="none" w:pos="2220" w:val="left"/>
        </w:tabs>
        <w:numPr>
          <w:ilvl w:val="1"/>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either</w:t>
      </w:r>
    </w:p>
    <w:p>
      <w:pPr>
        <w:spacing w:after="0" w:line="182" w:lineRule="exact"/>
        <w:rPr>
          <w:rFonts w:ascii="Courier New" w:cs="Courier New" w:eastAsia="Courier New" w:hAnsi="Courier New"/>
          <w:sz w:val="16"/>
          <w:szCs w:val="16"/>
          <w:color w:val="auto"/>
        </w:rPr>
      </w:pPr>
    </w:p>
    <w:p>
      <w:pPr>
        <w:ind w:left="1860" w:right="2779" w:firstLine="461"/>
        <w:spacing w:after="0" w:line="272" w:lineRule="auto"/>
        <w:tabs>
          <w:tab w:leader="none" w:pos="2697" w:val="left"/>
        </w:tabs>
        <w:numPr>
          <w:ilvl w:val="2"/>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Securities of such series theretofore authenticated and delivered and all coupons, if any, appertaining thereto (other than (A) coupons appertaining to Bearer Securities surrendered for exchange for Registered Securities and maturing after such exchange, whose surrender is not required or has been waived as provided in Section 305, (B) Securities and coupons of such series which have been destroyed, lost or stolen and which have been replaced or paid as provided in Section 306, (C) coupons appertaining to Securities called for redemption and maturing after the relevant Redemption Date, whose surrender has been waived as provided in Section 1106, and (D) Securities and coupons of such series for whose payment money has theretofore been deposited with the Trustee or any Paying Agent in trust or segregated and held in trust by the Company and thereafter</w:t>
      </w:r>
    </w:p>
    <w:p>
      <w:pPr>
        <w:spacing w:after="0" w:line="200" w:lineRule="exact"/>
        <w:rPr>
          <w:sz w:val="20"/>
          <w:szCs w:val="20"/>
          <w:color w:val="auto"/>
        </w:rPr>
      </w:pPr>
    </w:p>
    <w:p>
      <w:pPr>
        <w:spacing w:after="0" w:line="31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654" w:right="1440" w:bottom="1440" w:gutter="0" w:footer="0" w:header="0"/>
        </w:sectPr>
      </w:pPr>
    </w:p>
    <w:bookmarkStart w:id="121" w:name="page122"/>
    <w:bookmarkEnd w:id="121"/>
    <w:p>
      <w:pPr>
        <w:ind w:left="660" w:right="2779"/>
        <w:spacing w:after="0" w:line="235" w:lineRule="auto"/>
        <w:rPr>
          <w:sz w:val="20"/>
          <w:szCs w:val="20"/>
          <w:color w:val="auto"/>
        </w:rPr>
      </w:pPr>
      <w:r>
        <w:rPr>
          <w:rFonts w:ascii="Courier New" w:cs="Courier New" w:eastAsia="Courier New" w:hAnsi="Courier New"/>
          <w:sz w:val="16"/>
          <w:szCs w:val="16"/>
          <w:color w:val="auto"/>
        </w:rPr>
        <w:t>repaid to the Company or discharged from such trust, as provided in Section 1003) have been delivered to the Trustee for cancellation; or</w:t>
      </w:r>
    </w:p>
    <w:p>
      <w:pPr>
        <w:spacing w:after="0" w:line="183" w:lineRule="exact"/>
        <w:rPr>
          <w:sz w:val="20"/>
          <w:szCs w:val="20"/>
          <w:color w:val="auto"/>
        </w:rPr>
      </w:pPr>
    </w:p>
    <w:p>
      <w:pPr>
        <w:ind w:left="660" w:right="2879" w:firstLine="461"/>
        <w:spacing w:after="0" w:line="235" w:lineRule="auto"/>
        <w:tabs>
          <w:tab w:leader="none" w:pos="159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Securities of such series and, in the case of subclauses (A) or (B) below, any coupons appertaining thereto not theretofore delivered to the Trustee for cancellation</w:t>
      </w:r>
    </w:p>
    <w:p>
      <w:pPr>
        <w:spacing w:after="0" w:line="178" w:lineRule="exact"/>
        <w:rPr>
          <w:sz w:val="20"/>
          <w:szCs w:val="20"/>
          <w:color w:val="auto"/>
        </w:rPr>
      </w:pPr>
    </w:p>
    <w:p>
      <w:pPr>
        <w:ind w:left="1500" w:hanging="379"/>
        <w:spacing w:after="0"/>
        <w:tabs>
          <w:tab w:leader="none" w:pos="150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have become due and payable, or</w:t>
      </w:r>
    </w:p>
    <w:p>
      <w:pPr>
        <w:spacing w:after="0" w:line="182" w:lineRule="exact"/>
        <w:rPr>
          <w:rFonts w:ascii="Courier New" w:cs="Courier New" w:eastAsia="Courier New" w:hAnsi="Courier New"/>
          <w:sz w:val="16"/>
          <w:szCs w:val="16"/>
          <w:color w:val="auto"/>
        </w:rPr>
      </w:pPr>
    </w:p>
    <w:p>
      <w:pPr>
        <w:ind w:left="660" w:right="3519" w:firstLine="461"/>
        <w:spacing w:after="0" w:line="234" w:lineRule="auto"/>
        <w:tabs>
          <w:tab w:leader="none" w:pos="1497"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become due and payable at their Stated Maturity within one year, or</w:t>
      </w:r>
    </w:p>
    <w:p>
      <w:pPr>
        <w:spacing w:after="0" w:line="183" w:lineRule="exact"/>
        <w:rPr>
          <w:rFonts w:ascii="Courier New" w:cs="Courier New" w:eastAsia="Courier New" w:hAnsi="Courier New"/>
          <w:sz w:val="16"/>
          <w:szCs w:val="16"/>
          <w:color w:val="auto"/>
        </w:rPr>
      </w:pPr>
    </w:p>
    <w:p>
      <w:pPr>
        <w:ind w:left="660" w:right="2879" w:firstLine="461"/>
        <w:spacing w:after="0" w:line="235" w:lineRule="auto"/>
        <w:tabs>
          <w:tab w:leader="none" w:pos="1497"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redeemable at the option of the Company, are to be called for redemption within one year under arrangements satisfactory to the Trustee for the giving of notice of redemption by the Trustee in the name, and at the expense, of the Company,</w:t>
      </w:r>
    </w:p>
    <w:p>
      <w:pPr>
        <w:spacing w:after="0" w:line="186" w:lineRule="exact"/>
        <w:rPr>
          <w:sz w:val="20"/>
          <w:szCs w:val="20"/>
          <w:color w:val="auto"/>
        </w:rPr>
      </w:pPr>
    </w:p>
    <w:p>
      <w:pPr>
        <w:ind w:left="660" w:right="2779"/>
        <w:spacing w:after="0" w:line="236" w:lineRule="auto"/>
        <w:rPr>
          <w:sz w:val="20"/>
          <w:szCs w:val="20"/>
          <w:color w:val="auto"/>
        </w:rPr>
      </w:pPr>
      <w:r>
        <w:rPr>
          <w:rFonts w:ascii="Courier New" w:cs="Courier New" w:eastAsia="Courier New" w:hAnsi="Courier New"/>
          <w:sz w:val="16"/>
          <w:szCs w:val="16"/>
          <w:color w:val="auto"/>
        </w:rPr>
        <w:t>and the Company, in the case of subclauses (A), (B) or (C) above, has irrevocably deposited or caused to be deposited with the Trustee as trust funds in trust for such purpose an amount in the Currency in which the Securities of such series are payable, sufficient to pay and discharge the entire indebtedness on such Securities and such coupons not theretofore delivered to the Trustee for cancellation, including the principal (and premium, if any) and interest, if any, to the date of such deposit (in the case of Securities which have become due and payable) or to the Stated Maturity or Redemption Date, as the case may be;</w:t>
      </w:r>
    </w:p>
    <w:p>
      <w:pPr>
        <w:spacing w:after="0" w:line="186" w:lineRule="exact"/>
        <w:rPr>
          <w:sz w:val="20"/>
          <w:szCs w:val="20"/>
          <w:color w:val="auto"/>
        </w:rPr>
      </w:pPr>
    </w:p>
    <w:p>
      <w:pPr>
        <w:ind w:left="200" w:right="2779" w:firstLine="456"/>
        <w:spacing w:after="0" w:line="234" w:lineRule="auto"/>
        <w:tabs>
          <w:tab w:leader="none" w:pos="1037" w:val="left"/>
        </w:tabs>
        <w:numPr>
          <w:ilvl w:val="1"/>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paid or caused to be paid all other sums payable hereunder by the Company; and</w:t>
      </w:r>
    </w:p>
    <w:p>
      <w:pPr>
        <w:spacing w:after="0" w:line="183" w:lineRule="exact"/>
        <w:rPr>
          <w:rFonts w:ascii="Courier New" w:cs="Courier New" w:eastAsia="Courier New" w:hAnsi="Courier New"/>
          <w:sz w:val="16"/>
          <w:szCs w:val="16"/>
          <w:color w:val="auto"/>
        </w:rPr>
      </w:pPr>
    </w:p>
    <w:p>
      <w:pPr>
        <w:ind w:left="200" w:right="3059" w:firstLine="456"/>
        <w:spacing w:after="0" w:line="235" w:lineRule="auto"/>
        <w:tabs>
          <w:tab w:leader="none" w:pos="1037" w:val="left"/>
        </w:tabs>
        <w:numPr>
          <w:ilvl w:val="1"/>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delivered to the Trustee an Officers' Certificate and an Opinion of Counsel, each stating that all conditions precedent herein provided for relating to the satisfaction and discharge of this Indenture as to such series have been complied with.</w:t>
      </w:r>
    </w:p>
    <w:p>
      <w:pPr>
        <w:spacing w:after="0" w:line="185" w:lineRule="exact"/>
        <w:rPr>
          <w:rFonts w:ascii="Courier New" w:cs="Courier New" w:eastAsia="Courier New" w:hAnsi="Courier New"/>
          <w:sz w:val="16"/>
          <w:szCs w:val="16"/>
          <w:color w:val="auto"/>
        </w:rPr>
      </w:pPr>
    </w:p>
    <w:p>
      <w:pPr>
        <w:ind w:left="-1200" w:right="2779" w:firstLine="1391"/>
        <w:spacing w:after="0" w:line="273" w:lineRule="auto"/>
        <w:tabs>
          <w:tab w:leader="none" w:pos="567"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satisfaction and discharge of this Indenture, the obligations of the Company to the Trustee and any predecessor Trustee under Section 606, the obligations of the Company to any Authenticating Agent under Section 611 if money shall have been deposited with the Trustee pursuant to clause (1) of Subsection 401(a), the obligations of the Trustee under Section 402 and Subsection 1003(d) and the obligations of the Company and the Trustee with respect to Securities of such series under Sections 305, 306, 1002 and 1005, with respect to the payment of Additional Amounts, if any, with respect to any rights of Holders to require the Company to repay such Securities as contemplated by Section 1301 and with respect to any rights of Holders to convert or exchange such Securities into other Securities, shall survive such satisfaction and discharge. These obligations shall continue to be governed and construed in accordance with Section 111.</w:t>
      </w:r>
    </w:p>
    <w:p>
      <w:pPr>
        <w:spacing w:after="0" w:line="200" w:lineRule="exact"/>
        <w:rPr>
          <w:sz w:val="20"/>
          <w:szCs w:val="20"/>
          <w:color w:val="auto"/>
        </w:rPr>
      </w:pPr>
    </w:p>
    <w:p>
      <w:pPr>
        <w:spacing w:after="0" w:line="312"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9019"/>
          </w:cols>
          <w:pgMar w:left="1440" w:top="654" w:right="1440" w:bottom="1440" w:gutter="0" w:footer="0" w:header="0"/>
        </w:sectPr>
      </w:pPr>
    </w:p>
    <w:bookmarkStart w:id="122" w:name="page123"/>
    <w:bookmarkEnd w:id="122"/>
    <w:p>
      <w:pPr>
        <w:ind w:left="460"/>
        <w:spacing w:after="0"/>
        <w:rPr>
          <w:sz w:val="20"/>
          <w:szCs w:val="20"/>
          <w:color w:val="auto"/>
        </w:rPr>
      </w:pPr>
      <w:r>
        <w:rPr>
          <w:rFonts w:ascii="Courier New" w:cs="Courier New" w:eastAsia="Courier New" w:hAnsi="Courier New"/>
          <w:sz w:val="16"/>
          <w:szCs w:val="16"/>
          <w:color w:val="auto"/>
        </w:rPr>
        <w:t>SECTION 402. Application of Trust Funds</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879" w:firstLine="1395"/>
        <w:spacing w:after="0" w:line="236" w:lineRule="auto"/>
        <w:rPr>
          <w:sz w:val="20"/>
          <w:szCs w:val="20"/>
          <w:color w:val="auto"/>
        </w:rPr>
      </w:pPr>
      <w:r>
        <w:rPr>
          <w:rFonts w:ascii="Courier New" w:cs="Courier New" w:eastAsia="Courier New" w:hAnsi="Courier New"/>
          <w:sz w:val="16"/>
          <w:szCs w:val="16"/>
          <w:color w:val="auto"/>
        </w:rPr>
        <w:t>Subject to the provisions of Subsection 1003(d), all money deposited with the Trustee pursuant to Section 401 shall be held in trust and applied by it, in accordance with the provisions of the Securities, the coupons and this Indenture, to the payment, either directly or through any Paying Agent (including the Company acting as its own Paying Agent) as the Trustee may determine, to the Persons entitled thereto, of the principal (and premium, if any) and interest, if any, for whose payment such money has been deposited with or received by the Trustee, but such money need not be segregated from other funds except to the extent required by law.</w:t>
      </w:r>
    </w:p>
    <w:p>
      <w:pPr>
        <w:spacing w:after="0" w:line="179"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ARTICLE FIVE</w:t>
      </w:r>
    </w:p>
    <w:p>
      <w:pPr>
        <w:jc w:val="center"/>
        <w:ind w:right="2779"/>
        <w:spacing w:after="0" w:line="236" w:lineRule="auto"/>
        <w:rPr>
          <w:sz w:val="20"/>
          <w:szCs w:val="20"/>
          <w:color w:val="auto"/>
        </w:rPr>
      </w:pPr>
      <w:r>
        <w:rPr>
          <w:rFonts w:ascii="Courier New" w:cs="Courier New" w:eastAsia="Courier New" w:hAnsi="Courier New"/>
          <w:sz w:val="16"/>
          <w:szCs w:val="16"/>
          <w:color w:val="auto"/>
        </w:rPr>
        <w:t>REMEDIES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501. Events of Default</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879" w:firstLine="1391"/>
        <w:spacing w:after="0" w:line="236" w:lineRule="auto"/>
        <w:tabs>
          <w:tab w:leader="none" w:pos="1767"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"Event of Default", wherever used herein with respect to any particular series of Securities, means any one of the following events as such events may be otherwise amended in accordance with Section 301 (whatever the reason for such Event of Default and whether or not it shall be voluntary or involuntary or be effected by operation of law or pursuant to any judgment, decree or order of any court or any order, rule or regulation of any administrative or governmental body):</w:t>
      </w:r>
    </w:p>
    <w:p>
      <w:pPr>
        <w:spacing w:after="0" w:line="183" w:lineRule="exact"/>
        <w:rPr>
          <w:rFonts w:ascii="Courier New" w:cs="Courier New" w:eastAsia="Courier New" w:hAnsi="Courier New"/>
          <w:sz w:val="16"/>
          <w:szCs w:val="16"/>
          <w:color w:val="auto"/>
        </w:rPr>
      </w:pPr>
    </w:p>
    <w:p>
      <w:pPr>
        <w:ind w:left="1400" w:right="2879" w:firstLine="456"/>
        <w:spacing w:after="0" w:line="235" w:lineRule="auto"/>
        <w:tabs>
          <w:tab w:leader="none" w:pos="2237" w:val="left"/>
        </w:tabs>
        <w:numPr>
          <w:ilvl w:val="1"/>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payment of any interest upon, or any Additional Amount payable in respect of, any Security of that series or of any coupon appertaining thereto, when such interest or coupon becomes due and payable, and continuance of such default for a period of 30 days; or</w:t>
      </w:r>
    </w:p>
    <w:p>
      <w:pPr>
        <w:spacing w:after="0" w:line="185" w:lineRule="exact"/>
        <w:rPr>
          <w:rFonts w:ascii="Courier New" w:cs="Courier New" w:eastAsia="Courier New" w:hAnsi="Courier New"/>
          <w:sz w:val="16"/>
          <w:szCs w:val="16"/>
          <w:color w:val="auto"/>
        </w:rPr>
      </w:pPr>
    </w:p>
    <w:p>
      <w:pPr>
        <w:ind w:left="1400" w:right="2879" w:firstLine="456"/>
        <w:spacing w:after="0" w:line="295" w:lineRule="auto"/>
        <w:tabs>
          <w:tab w:leader="none" w:pos="2237" w:val="left"/>
        </w:tabs>
        <w:numPr>
          <w:ilvl w:val="1"/>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the payment of the principal of (or premium, if any, on) any Security of that series at its Maturity; or</w:t>
      </w:r>
    </w:p>
    <w:p>
      <w:pPr>
        <w:spacing w:after="0" w:line="146" w:lineRule="exact"/>
        <w:rPr>
          <w:rFonts w:ascii="Courier New" w:cs="Courier New" w:eastAsia="Courier New" w:hAnsi="Courier New"/>
          <w:sz w:val="14"/>
          <w:szCs w:val="14"/>
          <w:color w:val="auto"/>
        </w:rPr>
      </w:pPr>
    </w:p>
    <w:p>
      <w:pPr>
        <w:ind w:left="1400" w:right="2779" w:firstLine="456"/>
        <w:spacing w:after="0" w:line="295" w:lineRule="auto"/>
        <w:tabs>
          <w:tab w:leader="none" w:pos="2237" w:val="left"/>
        </w:tabs>
        <w:numPr>
          <w:ilvl w:val="1"/>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the deposit of any sinking fund payment, when and as due by the terms of any Security of that series; or</w:t>
      </w:r>
    </w:p>
    <w:p>
      <w:pPr>
        <w:spacing w:after="0" w:line="146" w:lineRule="exact"/>
        <w:rPr>
          <w:rFonts w:ascii="Courier New" w:cs="Courier New" w:eastAsia="Courier New" w:hAnsi="Courier New"/>
          <w:sz w:val="14"/>
          <w:szCs w:val="14"/>
          <w:color w:val="auto"/>
        </w:rPr>
      </w:pPr>
    </w:p>
    <w:p>
      <w:pPr>
        <w:ind w:left="1400" w:right="2779" w:firstLine="456"/>
        <w:spacing w:after="0" w:line="273" w:lineRule="auto"/>
        <w:tabs>
          <w:tab w:leader="none" w:pos="2237" w:val="left"/>
        </w:tabs>
        <w:numPr>
          <w:ilvl w:val="1"/>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the performance, or breach, of any covenant or agreement of the Company in this Indenture with respect to any Security of that series (other than a covenant or agreement a default in whose performance or whose breach is elsewhere in this Section specifically dealt with), and continuance of such default or breach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341" w:lineRule="exact"/>
        <w:rPr>
          <w:rFonts w:ascii="Courier New" w:cs="Courier New" w:eastAsia="Courier New" w:hAnsi="Courier New"/>
          <w:sz w:val="14"/>
          <w:szCs w:val="14"/>
          <w:color w:val="auto"/>
        </w:rPr>
      </w:pPr>
    </w:p>
    <w:p>
      <w:pPr>
        <w:ind w:left="1400" w:right="3159" w:firstLine="456"/>
        <w:spacing w:after="0" w:line="234" w:lineRule="auto"/>
        <w:tabs>
          <w:tab w:leader="none" w:pos="2237" w:val="left"/>
        </w:tabs>
        <w:numPr>
          <w:ilvl w:val="1"/>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pursuant to or within the meaning of any Bankruptcy Law:</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19"/>
          </w:cols>
          <w:pgMar w:left="240" w:top="648" w:right="1440" w:bottom="1440" w:gutter="0" w:footer="0" w:header="0"/>
        </w:sectPr>
      </w:pPr>
    </w:p>
    <w:bookmarkStart w:id="123" w:name="page124"/>
    <w:bookmarkEnd w:id="123"/>
    <w:p>
      <w:pPr>
        <w:ind w:left="2240" w:hanging="379"/>
        <w:spacing w:after="0"/>
        <w:tabs>
          <w:tab w:leader="none" w:pos="2240" w:val="left"/>
        </w:tabs>
        <w:numPr>
          <w:ilvl w:val="2"/>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commences a voluntary case or proceedings,</w:t>
      </w:r>
    </w:p>
    <w:p>
      <w:pPr>
        <w:spacing w:after="0" w:line="182" w:lineRule="exact"/>
        <w:rPr>
          <w:rFonts w:ascii="Courier New" w:cs="Courier New" w:eastAsia="Courier New" w:hAnsi="Courier New"/>
          <w:sz w:val="16"/>
          <w:szCs w:val="16"/>
          <w:color w:val="auto"/>
        </w:rPr>
      </w:pPr>
    </w:p>
    <w:p>
      <w:pPr>
        <w:ind w:left="1400" w:right="3339" w:firstLine="461"/>
        <w:spacing w:after="0" w:line="295" w:lineRule="auto"/>
        <w:tabs>
          <w:tab w:leader="none" w:pos="2330" w:val="left"/>
        </w:tabs>
        <w:numPr>
          <w:ilvl w:val="2"/>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consents to the entry of an order for relief against it in an involuntary case or proceedings,</w:t>
      </w:r>
    </w:p>
    <w:p>
      <w:pPr>
        <w:spacing w:after="0" w:line="146" w:lineRule="exact"/>
        <w:rPr>
          <w:rFonts w:ascii="Courier New" w:cs="Courier New" w:eastAsia="Courier New" w:hAnsi="Courier New"/>
          <w:sz w:val="14"/>
          <w:szCs w:val="14"/>
          <w:color w:val="auto"/>
        </w:rPr>
      </w:pPr>
    </w:p>
    <w:p>
      <w:pPr>
        <w:ind w:left="1400" w:right="2879" w:firstLine="461"/>
        <w:spacing w:after="0" w:line="234" w:lineRule="auto"/>
        <w:tabs>
          <w:tab w:leader="none" w:pos="2423" w:val="left"/>
        </w:tabs>
        <w:numPr>
          <w:ilvl w:val="2"/>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consents to the appointment of a Custodian of it or for all or substantially all of its property,</w:t>
      </w:r>
    </w:p>
    <w:p>
      <w:pPr>
        <w:spacing w:after="0" w:line="183" w:lineRule="exact"/>
        <w:rPr>
          <w:rFonts w:ascii="Courier New" w:cs="Courier New" w:eastAsia="Courier New" w:hAnsi="Courier New"/>
          <w:sz w:val="16"/>
          <w:szCs w:val="16"/>
          <w:color w:val="auto"/>
        </w:rPr>
      </w:pPr>
    </w:p>
    <w:p>
      <w:pPr>
        <w:ind w:left="1400" w:right="2879" w:firstLine="461"/>
        <w:spacing w:after="0" w:line="234" w:lineRule="auto"/>
        <w:tabs>
          <w:tab w:leader="none" w:pos="2330" w:val="left"/>
        </w:tabs>
        <w:numPr>
          <w:ilvl w:val="2"/>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makes a general assignment for the benefit of its creditors, or</w:t>
      </w:r>
    </w:p>
    <w:p>
      <w:pPr>
        <w:spacing w:after="0" w:line="183" w:lineRule="exact"/>
        <w:rPr>
          <w:rFonts w:ascii="Courier New" w:cs="Courier New" w:eastAsia="Courier New" w:hAnsi="Courier New"/>
          <w:sz w:val="16"/>
          <w:szCs w:val="16"/>
          <w:color w:val="auto"/>
        </w:rPr>
      </w:pPr>
    </w:p>
    <w:p>
      <w:pPr>
        <w:ind w:left="1400" w:right="2879" w:firstLine="461"/>
        <w:spacing w:after="0" w:line="295" w:lineRule="auto"/>
        <w:tabs>
          <w:tab w:leader="none" w:pos="2237" w:val="left"/>
        </w:tabs>
        <w:numPr>
          <w:ilvl w:val="2"/>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issues a public announcement admitting its inability to pay its debts generally as they become due; or</w:t>
      </w:r>
    </w:p>
    <w:p>
      <w:pPr>
        <w:spacing w:after="0" w:line="146" w:lineRule="exact"/>
        <w:rPr>
          <w:rFonts w:ascii="Courier New" w:cs="Courier New" w:eastAsia="Courier New" w:hAnsi="Courier New"/>
          <w:sz w:val="14"/>
          <w:szCs w:val="14"/>
          <w:color w:val="auto"/>
        </w:rPr>
      </w:pPr>
    </w:p>
    <w:p>
      <w:pPr>
        <w:ind w:left="940" w:right="3159" w:firstLine="456"/>
        <w:spacing w:after="0" w:line="234" w:lineRule="auto"/>
        <w:tabs>
          <w:tab w:leader="none" w:pos="1777" w:val="left"/>
        </w:tabs>
        <w:numPr>
          <w:ilvl w:val="1"/>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court of competent jurisdiction enters an order or decree under any Bankruptcy Law that:</w:t>
      </w:r>
    </w:p>
    <w:p>
      <w:pPr>
        <w:spacing w:after="0" w:line="183" w:lineRule="exact"/>
        <w:rPr>
          <w:rFonts w:ascii="Courier New" w:cs="Courier New" w:eastAsia="Courier New" w:hAnsi="Courier New"/>
          <w:sz w:val="16"/>
          <w:szCs w:val="16"/>
          <w:color w:val="auto"/>
        </w:rPr>
      </w:pPr>
    </w:p>
    <w:p>
      <w:pPr>
        <w:ind w:left="2240" w:hanging="379"/>
        <w:spacing w:after="0"/>
        <w:tabs>
          <w:tab w:leader="none" w:pos="2240" w:val="left"/>
        </w:tabs>
        <w:numPr>
          <w:ilvl w:val="2"/>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for relief against the Company in an involuntary</w:t>
      </w:r>
    </w:p>
    <w:p>
      <w:pPr>
        <w:spacing w:after="0" w:line="16" w:lineRule="exact"/>
        <w:rPr>
          <w:rFonts w:ascii="Courier New" w:cs="Courier New" w:eastAsia="Courier New" w:hAnsi="Courier New"/>
          <w:sz w:val="14"/>
          <w:szCs w:val="14"/>
          <w:color w:val="auto"/>
        </w:rPr>
      </w:pPr>
    </w:p>
    <w:p>
      <w:pPr>
        <w:ind w:left="140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case,</w:t>
      </w:r>
    </w:p>
    <w:p>
      <w:pPr>
        <w:spacing w:after="0" w:line="183" w:lineRule="exact"/>
        <w:rPr>
          <w:rFonts w:ascii="Courier New" w:cs="Courier New" w:eastAsia="Courier New" w:hAnsi="Courier New"/>
          <w:sz w:val="14"/>
          <w:szCs w:val="14"/>
          <w:color w:val="auto"/>
        </w:rPr>
      </w:pPr>
    </w:p>
    <w:p>
      <w:pPr>
        <w:ind w:left="1400" w:right="2879" w:firstLine="461"/>
        <w:spacing w:after="0" w:line="234" w:lineRule="auto"/>
        <w:tabs>
          <w:tab w:leader="none" w:pos="2330" w:val="left"/>
        </w:tabs>
        <w:numPr>
          <w:ilvl w:val="2"/>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appoints a Custodian of the Company or for all or substantially all of its property, or</w:t>
      </w:r>
    </w:p>
    <w:p>
      <w:pPr>
        <w:spacing w:after="0" w:line="177" w:lineRule="exact"/>
        <w:rPr>
          <w:rFonts w:ascii="Courier New" w:cs="Courier New" w:eastAsia="Courier New" w:hAnsi="Courier New"/>
          <w:sz w:val="16"/>
          <w:szCs w:val="16"/>
          <w:color w:val="auto"/>
        </w:rPr>
      </w:pPr>
    </w:p>
    <w:p>
      <w:pPr>
        <w:ind w:left="2420" w:hanging="559"/>
        <w:spacing w:after="0"/>
        <w:tabs>
          <w:tab w:leader="none" w:pos="2420" w:val="left"/>
        </w:tabs>
        <w:numPr>
          <w:ilvl w:val="2"/>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orders the winding-up or liquidation of the</w:t>
      </w:r>
    </w:p>
    <w:p>
      <w:pPr>
        <w:ind w:left="140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Company,</w:t>
      </w:r>
    </w:p>
    <w:p>
      <w:pPr>
        <w:spacing w:after="0" w:line="183" w:lineRule="exact"/>
        <w:rPr>
          <w:rFonts w:ascii="Courier New" w:cs="Courier New" w:eastAsia="Courier New" w:hAnsi="Courier New"/>
          <w:sz w:val="16"/>
          <w:szCs w:val="16"/>
          <w:color w:val="auto"/>
        </w:rPr>
      </w:pPr>
    </w:p>
    <w:p>
      <w:pPr>
        <w:ind w:left="1400" w:right="3059" w:firstLine="461"/>
        <w:spacing w:after="0" w:line="234" w:lineRule="auto"/>
        <w:tabs>
          <w:tab w:leader="none" w:pos="2330" w:val="left"/>
        </w:tabs>
        <w:numPr>
          <w:ilvl w:val="2"/>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the order or decree remains unstayed and in effect for 90 days; or</w:t>
      </w:r>
    </w:p>
    <w:p>
      <w:pPr>
        <w:spacing w:after="0" w:line="183" w:lineRule="exact"/>
        <w:rPr>
          <w:rFonts w:ascii="Courier New" w:cs="Courier New" w:eastAsia="Courier New" w:hAnsi="Courier New"/>
          <w:sz w:val="16"/>
          <w:szCs w:val="16"/>
          <w:color w:val="auto"/>
        </w:rPr>
      </w:pPr>
    </w:p>
    <w:p>
      <w:pPr>
        <w:ind w:left="940" w:right="3239" w:firstLine="456"/>
        <w:spacing w:after="0" w:line="234" w:lineRule="auto"/>
        <w:tabs>
          <w:tab w:leader="none" w:pos="1777" w:val="left"/>
        </w:tabs>
        <w:numPr>
          <w:ilvl w:val="1"/>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Event of Default provided with respect to Securities of that series.</w:t>
      </w:r>
    </w:p>
    <w:p>
      <w:pPr>
        <w:spacing w:after="0" w:line="183" w:lineRule="exact"/>
        <w:rPr>
          <w:rFonts w:ascii="Courier New" w:cs="Courier New" w:eastAsia="Courier New" w:hAnsi="Courier New"/>
          <w:sz w:val="16"/>
          <w:szCs w:val="16"/>
          <w:color w:val="auto"/>
        </w:rPr>
      </w:pPr>
    </w:p>
    <w:p>
      <w:pPr>
        <w:ind w:left="-460" w:right="2879" w:firstLine="1391"/>
        <w:spacing w:after="0" w:line="279" w:lineRule="auto"/>
        <w:tabs>
          <w:tab w:leader="none" w:pos="1307"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"Bankruptcy Law" means title 11, U.S. Code, as amended from time to time, or any similar foreign, Federal or State law for the relief of debtors. The term "Custodian" means any custodian, receiver, trustee, assignee, liquidator or other similar official under any Bankruptcy Law.</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502. Acceleration of Maturity; Rescission and Annulment</w:t>
      </w:r>
    </w:p>
    <w:p>
      <w:pPr>
        <w:ind w:left="120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460" w:right="2779" w:firstLine="1391"/>
        <w:spacing w:after="0" w:line="272" w:lineRule="auto"/>
        <w:tabs>
          <w:tab w:leader="none" w:pos="1307"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 Event of Default (other than an Event of Default specified in clauses (5) and (6) of Subsection 501(a) with respect to the Company) with respect to Securities of any series at the time Outstanding occurs and is continuing, then and in every such case the Trustee or the Holders of not less than 25% in principal amount of the Outstanding Securities of that series may declare the principal (or, if any Securities are Original Issue Discount Securities or Indexed Securities, such portion of the principal amount as may be specified in the terms of that series) plus accrued and unpaid interest of all the Securities of that series to be due and payable immediately, by a notice in writing to the Company (and to the Trustee if given by the Holders), and upon any such declaration such principal amount plus accrued and unpaid interests or specified portion thereof shall become immediately due and payable. If an Event of Default specified in clauses (5) and (6) of Subsection 501(a) with respect to the Company occurs, the amounts described above with respect to the Outstanding</w:t>
      </w:r>
    </w:p>
    <w:p>
      <w:pPr>
        <w:spacing w:after="0" w:line="200" w:lineRule="exact"/>
        <w:rPr>
          <w:sz w:val="20"/>
          <w:szCs w:val="20"/>
          <w:color w:val="auto"/>
        </w:rPr>
      </w:pPr>
    </w:p>
    <w:p>
      <w:pPr>
        <w:spacing w:after="0" w:line="320"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9759"/>
          </w:cols>
          <w:pgMar w:left="700" w:top="648" w:right="1440" w:bottom="1440" w:gutter="0" w:footer="0" w:header="0"/>
        </w:sectPr>
      </w:pPr>
    </w:p>
    <w:bookmarkStart w:id="124" w:name="page125"/>
    <w:bookmarkEnd w:id="124"/>
    <w:p>
      <w:pPr>
        <w:ind w:right="2959"/>
        <w:spacing w:after="0" w:line="235" w:lineRule="auto"/>
        <w:rPr>
          <w:sz w:val="20"/>
          <w:szCs w:val="20"/>
          <w:color w:val="auto"/>
        </w:rPr>
      </w:pPr>
      <w:r>
        <w:rPr>
          <w:rFonts w:ascii="Courier New" w:cs="Courier New" w:eastAsia="Courier New" w:hAnsi="Courier New"/>
          <w:sz w:val="16"/>
          <w:szCs w:val="16"/>
          <w:color w:val="auto"/>
        </w:rPr>
        <w:t>Securities of all series shall ipso facto become and be immediately due and payable without any declaration or other act on the part of the Trustee or any Holder. Upon payment of such principal and interest, all of the Company's obligations under the Securities of such Series and this Indenture, other than obligations under Section 606, shall terminate.</w:t>
      </w:r>
    </w:p>
    <w:p>
      <w:pPr>
        <w:spacing w:after="0" w:line="186" w:lineRule="exact"/>
        <w:rPr>
          <w:sz w:val="20"/>
          <w:szCs w:val="20"/>
          <w:color w:val="auto"/>
        </w:rPr>
      </w:pPr>
    </w:p>
    <w:p>
      <w:pPr>
        <w:ind w:right="3059" w:firstLine="1391"/>
        <w:spacing w:after="0" w:line="236" w:lineRule="auto"/>
        <w:tabs>
          <w:tab w:leader="none" w:pos="1767"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time after such a declaration of acceleration with respect to Securities of any series has been made and before a judgment or decree for payment of the money due has been obtained by the Trustee as hereinafter provided in this Article, the Holders of a majority in principal amount of the Outstanding Securities of that series, by written notice to the Company and the Trustee, may rescind and annul such declaration and its consequences if:</w:t>
      </w:r>
    </w:p>
    <w:p>
      <w:pPr>
        <w:spacing w:after="0" w:line="183" w:lineRule="exact"/>
        <w:rPr>
          <w:rFonts w:ascii="Courier New" w:cs="Courier New" w:eastAsia="Courier New" w:hAnsi="Courier New"/>
          <w:sz w:val="16"/>
          <w:szCs w:val="16"/>
          <w:color w:val="auto"/>
        </w:rPr>
      </w:pPr>
    </w:p>
    <w:p>
      <w:pPr>
        <w:ind w:left="1400" w:right="2779" w:firstLine="456"/>
        <w:spacing w:after="0" w:line="235" w:lineRule="auto"/>
        <w:tabs>
          <w:tab w:leader="none" w:pos="2237" w:val="left"/>
        </w:tabs>
        <w:numPr>
          <w:ilvl w:val="1"/>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paid or deposited with the Trustee a sum sufficient in cash to pay all principal, interest and Additional Amounts which have become due other than by such declaration of acceleration, interest or any such overdue amounts, and amounts owing the Trustee;</w:t>
      </w:r>
    </w:p>
    <w:p>
      <w:pPr>
        <w:spacing w:after="0" w:line="185" w:lineRule="exact"/>
        <w:rPr>
          <w:rFonts w:ascii="Courier New" w:cs="Courier New" w:eastAsia="Courier New" w:hAnsi="Courier New"/>
          <w:sz w:val="16"/>
          <w:szCs w:val="16"/>
          <w:color w:val="auto"/>
        </w:rPr>
      </w:pPr>
    </w:p>
    <w:p>
      <w:pPr>
        <w:ind w:left="1400" w:right="2779" w:firstLine="456"/>
        <w:spacing w:after="0" w:line="276" w:lineRule="auto"/>
        <w:tabs>
          <w:tab w:leader="none" w:pos="2237" w:val="left"/>
        </w:tabs>
        <w:numPr>
          <w:ilvl w:val="1"/>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Events of Default with respect to Securities of that series, other than the nonpayment of the principal of (or premium, if any) or interest on Securities of that series which have become due solely by such declaration of acceleration, have been cured or waived as provided in Section 514; and</w:t>
      </w:r>
    </w:p>
    <w:p>
      <w:pPr>
        <w:spacing w:after="0" w:line="161" w:lineRule="exact"/>
        <w:rPr>
          <w:rFonts w:ascii="Courier New" w:cs="Courier New" w:eastAsia="Courier New" w:hAnsi="Courier New"/>
          <w:sz w:val="14"/>
          <w:szCs w:val="14"/>
          <w:color w:val="auto"/>
        </w:rPr>
      </w:pPr>
    </w:p>
    <w:p>
      <w:pPr>
        <w:ind w:left="1400" w:right="2879" w:firstLine="456"/>
        <w:spacing w:after="0" w:line="234" w:lineRule="auto"/>
        <w:tabs>
          <w:tab w:leader="none" w:pos="2237" w:val="left"/>
        </w:tabs>
        <w:numPr>
          <w:ilvl w:val="1"/>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rescission would not conflict with any judgment or decree of a court of competent jurisdiction.</w:t>
      </w:r>
    </w:p>
    <w:p>
      <w:pPr>
        <w:spacing w:after="0" w:line="183" w:lineRule="exact"/>
        <w:rPr>
          <w:sz w:val="20"/>
          <w:szCs w:val="20"/>
          <w:color w:val="auto"/>
        </w:rPr>
      </w:pPr>
    </w:p>
    <w:p>
      <w:pPr>
        <w:ind w:right="2879" w:firstLine="1395"/>
        <w:spacing w:after="0" w:line="234" w:lineRule="auto"/>
        <w:rPr>
          <w:sz w:val="20"/>
          <w:szCs w:val="20"/>
          <w:color w:val="auto"/>
        </w:rPr>
      </w:pPr>
      <w:r>
        <w:rPr>
          <w:rFonts w:ascii="Courier New" w:cs="Courier New" w:eastAsia="Courier New" w:hAnsi="Courier New"/>
          <w:sz w:val="16"/>
          <w:szCs w:val="16"/>
          <w:color w:val="auto"/>
        </w:rPr>
        <w:t>No such rescission shall affect any subsequent default or impair any right consequent thereon.</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503. Collection of Indebtedness and Suits for Enforcement by</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ind w:left="1660"/>
        <w:spacing w:after="0" w:line="237" w:lineRule="auto"/>
        <w:rPr>
          <w:sz w:val="20"/>
          <w:szCs w:val="20"/>
          <w:color w:val="auto"/>
        </w:rPr>
      </w:pPr>
      <w:r>
        <w:rPr>
          <w:rFonts w:ascii="Courier New" w:cs="Courier New" w:eastAsia="Courier New" w:hAnsi="Courier New"/>
          <w:sz w:val="16"/>
          <w:szCs w:val="16"/>
          <w:color w:val="auto"/>
        </w:rPr>
        <w:t>Trustee</w:t>
      </w:r>
    </w:p>
    <w:p>
      <w:pPr>
        <w:ind w:left="1660"/>
        <w:spacing w:after="0" w:line="237"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1760" w:hanging="369"/>
        <w:spacing w:after="0"/>
        <w:tabs>
          <w:tab w:leader="none" w:pos="1760"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covenants that if:</w:t>
      </w:r>
    </w:p>
    <w:p>
      <w:pPr>
        <w:spacing w:after="0" w:line="182" w:lineRule="exact"/>
        <w:rPr>
          <w:rFonts w:ascii="Courier New" w:cs="Courier New" w:eastAsia="Courier New" w:hAnsi="Courier New"/>
          <w:sz w:val="16"/>
          <w:szCs w:val="16"/>
          <w:color w:val="auto"/>
        </w:rPr>
      </w:pPr>
    </w:p>
    <w:p>
      <w:pPr>
        <w:ind w:left="1400" w:right="2879" w:firstLine="456"/>
        <w:spacing w:after="0" w:line="235" w:lineRule="auto"/>
        <w:tabs>
          <w:tab w:leader="none" w:pos="2237" w:val="left"/>
        </w:tabs>
        <w:numPr>
          <w:ilvl w:val="1"/>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is made in the payment of any installment of interest or Additional Amounts on any Security of any series and any related coupon when such interest or Additional Amounts becomes due and payable and such default continues for a period of 30 days, or</w:t>
      </w:r>
    </w:p>
    <w:p>
      <w:pPr>
        <w:spacing w:after="0" w:line="185" w:lineRule="exact"/>
        <w:rPr>
          <w:rFonts w:ascii="Courier New" w:cs="Courier New" w:eastAsia="Courier New" w:hAnsi="Courier New"/>
          <w:sz w:val="16"/>
          <w:szCs w:val="16"/>
          <w:color w:val="auto"/>
        </w:rPr>
      </w:pPr>
    </w:p>
    <w:p>
      <w:pPr>
        <w:ind w:left="1400" w:right="2879" w:firstLine="456"/>
        <w:spacing w:after="0" w:line="295" w:lineRule="auto"/>
        <w:tabs>
          <w:tab w:leader="none" w:pos="2237" w:val="left"/>
        </w:tabs>
        <w:numPr>
          <w:ilvl w:val="1"/>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is made in the payment of the principal of (or premium, if any, on) any Security of any series at its Maturity,</w:t>
      </w:r>
    </w:p>
    <w:p>
      <w:pPr>
        <w:spacing w:after="0" w:line="147" w:lineRule="exact"/>
        <w:rPr>
          <w:sz w:val="20"/>
          <w:szCs w:val="20"/>
          <w:color w:val="auto"/>
        </w:rPr>
      </w:pPr>
    </w:p>
    <w:p>
      <w:pPr>
        <w:ind w:right="2879"/>
        <w:spacing w:after="0" w:line="273" w:lineRule="auto"/>
        <w:rPr>
          <w:sz w:val="20"/>
          <w:szCs w:val="20"/>
          <w:color w:val="auto"/>
        </w:rPr>
      </w:pPr>
      <w:r>
        <w:rPr>
          <w:rFonts w:ascii="Courier New" w:cs="Courier New" w:eastAsia="Courier New" w:hAnsi="Courier New"/>
          <w:sz w:val="14"/>
          <w:szCs w:val="14"/>
          <w:color w:val="auto"/>
        </w:rPr>
        <w:t>then the Company will, upon demand of the Trustee, pay to the Trustee, for the benefit of the Holders of Securities of such series and coupons, the whole amount then due and payable on such Securities and coupons for principal (and premium, if any) and interest, if any, with interest upon any overdue principal (and premium, if any) and, to the extent that payment of such interest shall be legally enforceable, upon any overdue installments of interest, if any, at the rate or rates borne by or provided 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33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10219"/>
          </w:cols>
          <w:pgMar w:left="240" w:top="654" w:right="1440" w:bottom="1440" w:gutter="0" w:footer="0" w:header="0"/>
        </w:sectPr>
      </w:pPr>
    </w:p>
    <w:bookmarkStart w:id="125" w:name="page126"/>
    <w:bookmarkEnd w:id="125"/>
    <w:p>
      <w:pPr>
        <w:ind w:right="2879" w:firstLine="1391"/>
        <w:spacing w:after="0" w:line="236" w:lineRule="auto"/>
        <w:tabs>
          <w:tab w:leader="none" w:pos="1767"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Company fails to pay such amounts forthwith upon such demand, the Trustee, in its own name and as trustee of an express trust, may institute a judicial proceeding for the collection of the sums so due and unpaid, and may prosecute such proceeding to judgment or final decree, and may enforce the same against the Company or any other obligor upon Securities of such series and collect the moneys adjudged or decreed to be payable in the manner provided by law out of the property of the Company or any other obligor upon such Securities of such series, wherever situated.</w:t>
      </w:r>
    </w:p>
    <w:p>
      <w:pPr>
        <w:spacing w:after="0" w:line="184" w:lineRule="exact"/>
        <w:rPr>
          <w:rFonts w:ascii="Courier New" w:cs="Courier New" w:eastAsia="Courier New" w:hAnsi="Courier New"/>
          <w:sz w:val="16"/>
          <w:szCs w:val="16"/>
          <w:color w:val="auto"/>
        </w:rPr>
      </w:pPr>
    </w:p>
    <w:p>
      <w:pPr>
        <w:ind w:right="2779" w:firstLine="1391"/>
        <w:spacing w:after="0" w:line="236" w:lineRule="auto"/>
        <w:tabs>
          <w:tab w:leader="none" w:pos="1767"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 Event of Default with respect to Securities of any series occurs and is continuing, the Trustee may in its discretion proceed to protect and enforce its rights and the rights of the Holders of Securities of such series and any related coupons by such appropriate judicial proceedings as the Trustee shall deem necessary to protect and enforce any such rights, whether for the specific enforcement of any covenant or agreement in this Indenture or in aid of the exercise of any power granted herein, or to enforce any other proper remedy.</w:t>
      </w:r>
    </w:p>
    <w:p>
      <w:pPr>
        <w:spacing w:after="0" w:line="17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504. Trustee May File Proofs of Claim</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1391"/>
        <w:spacing w:after="0" w:line="236" w:lineRule="auto"/>
        <w:tabs>
          <w:tab w:leader="none" w:pos="1767"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of the pendency of any receivership, insolvency, liquidation, bankruptcy, reorganization, arrangement, adjustment, composition or other judicial proceeding relative to the Company or any other obligor upon the Securities or the property of the Company, such other obligor or their creditors, the Trustee (irrespective of whether the principal of the Securities of any series shall then be due and payable as therein expressed or by declaration or otherwise and irrespective of whether the Trustee shall have made any demand on the Company for the payment of any overdue principal, premium, if any, or interest) shall be entitled and empowered, by intervention in such proceeding or otherwise:</w:t>
      </w:r>
    </w:p>
    <w:p>
      <w:pPr>
        <w:spacing w:after="0" w:line="185" w:lineRule="exact"/>
        <w:rPr>
          <w:rFonts w:ascii="Courier New" w:cs="Courier New" w:eastAsia="Courier New" w:hAnsi="Courier New"/>
          <w:sz w:val="16"/>
          <w:szCs w:val="16"/>
          <w:color w:val="auto"/>
        </w:rPr>
      </w:pPr>
    </w:p>
    <w:p>
      <w:pPr>
        <w:ind w:left="1400" w:right="2959" w:firstLine="456"/>
        <w:spacing w:after="0" w:line="236" w:lineRule="auto"/>
        <w:tabs>
          <w:tab w:leader="none" w:pos="2237" w:val="left"/>
        </w:tabs>
        <w:numPr>
          <w:ilvl w:val="1"/>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and prove a claim for the whole amount of principal and premium, if any, or in the case of Original Issue Discount Securities or Indexed Securities, such portion of the principal as may be provided for in the terms thereof and premium, if any, and interest, if any,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spacing w:after="0" w:line="186" w:lineRule="exact"/>
        <w:rPr>
          <w:rFonts w:ascii="Courier New" w:cs="Courier New" w:eastAsia="Courier New" w:hAnsi="Courier New"/>
          <w:sz w:val="16"/>
          <w:szCs w:val="16"/>
          <w:color w:val="auto"/>
        </w:rPr>
      </w:pPr>
    </w:p>
    <w:p>
      <w:pPr>
        <w:ind w:left="1400" w:right="2959" w:firstLine="456"/>
        <w:spacing w:after="0" w:line="235" w:lineRule="auto"/>
        <w:tabs>
          <w:tab w:leader="none" w:pos="2237" w:val="left"/>
        </w:tabs>
        <w:numPr>
          <w:ilvl w:val="1"/>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collect and receive any moneys or other property payable or deliverable on any such claims and to distribute the same;</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606.</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10219"/>
          </w:cols>
          <w:pgMar w:left="240" w:top="654" w:right="1440" w:bottom="1440" w:gutter="0" w:footer="0" w:header="0"/>
        </w:sectPr>
      </w:pPr>
    </w:p>
    <w:bookmarkStart w:id="126" w:name="page127"/>
    <w:bookmarkEnd w:id="126"/>
    <w:p>
      <w:pPr>
        <w:ind w:right="2779" w:firstLine="1391"/>
        <w:spacing w:after="0" w:line="236" w:lineRule="auto"/>
        <w:tabs>
          <w:tab w:leader="none" w:pos="1767"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Nothing herein contained shall be deemed to authorize the Trustee to authorize or consent to or accept or adopt on behalf of any Holder any plan of reorganization, arrangement, adjustment or composition affecting the Securities or coupons or the rights of any Holder thereof, or to authorize the Trustee to vote in respect of the claim of any Holder of a Security or coupon in any such proceeding.</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505. Trustee May Enforce Claims Without Possession of Securities</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ind w:left="1660"/>
        <w:spacing w:after="0" w:line="237" w:lineRule="auto"/>
        <w:rPr>
          <w:sz w:val="20"/>
          <w:szCs w:val="20"/>
          <w:color w:val="auto"/>
        </w:rPr>
      </w:pPr>
      <w:r>
        <w:rPr>
          <w:rFonts w:ascii="Courier New" w:cs="Courier New" w:eastAsia="Courier New" w:hAnsi="Courier New"/>
          <w:sz w:val="16"/>
          <w:szCs w:val="16"/>
          <w:color w:val="auto"/>
        </w:rPr>
        <w:t>or Coupons</w:t>
      </w:r>
    </w:p>
    <w:p>
      <w:pPr>
        <w:ind w:left="1660"/>
        <w:spacing w:after="0" w:line="237"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879" w:firstLine="1395"/>
        <w:spacing w:after="0" w:line="273" w:lineRule="auto"/>
        <w:rPr>
          <w:sz w:val="20"/>
          <w:szCs w:val="20"/>
          <w:color w:val="auto"/>
        </w:rPr>
      </w:pPr>
      <w:r>
        <w:rPr>
          <w:rFonts w:ascii="Courier New" w:cs="Courier New" w:eastAsia="Courier New" w:hAnsi="Courier New"/>
          <w:sz w:val="14"/>
          <w:szCs w:val="14"/>
          <w:color w:val="auto"/>
        </w:rPr>
        <w:t>All rights of action and claims under this Indenture or the Securities or coupons may be prosecuted and enforced by the Trustee without the possession of any of the Securities or coupons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and coupons in respect of which such judgment has been recovered.</w:t>
      </w:r>
    </w:p>
    <w:p>
      <w:pPr>
        <w:spacing w:after="0" w:line="15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506. Application of Money Collected</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1395"/>
        <w:spacing w:after="0" w:line="275" w:lineRule="auto"/>
        <w:rPr>
          <w:sz w:val="20"/>
          <w:szCs w:val="20"/>
          <w:color w:val="auto"/>
        </w:rPr>
      </w:pPr>
      <w:r>
        <w:rPr>
          <w:rFonts w:ascii="Courier New" w:cs="Courier New" w:eastAsia="Courier New" w:hAnsi="Courier New"/>
          <w:sz w:val="14"/>
          <w:szCs w:val="14"/>
          <w:color w:val="auto"/>
        </w:rPr>
        <w:t>Any money collected by the Trustee pursuant to this Article shall be applied in the following order, at the date or dates fixed by the Trustee and, in case of the distribution of such money on account of principal (or premium, if any) or interest, if any, upon presentation of the Securities or coupons, or both, as the case may be, and the notation thereon of the payment if only partially paid and upon surrender thereof if fully paid:</w:t>
      </w:r>
    </w:p>
    <w:p>
      <w:pPr>
        <w:spacing w:after="0" w:line="162" w:lineRule="exact"/>
        <w:rPr>
          <w:sz w:val="20"/>
          <w:szCs w:val="20"/>
          <w:color w:val="auto"/>
        </w:rPr>
      </w:pPr>
    </w:p>
    <w:p>
      <w:pPr>
        <w:ind w:left="920" w:right="3239" w:firstLine="465"/>
        <w:spacing w:after="0" w:line="234" w:lineRule="auto"/>
        <w:rPr>
          <w:sz w:val="20"/>
          <w:szCs w:val="20"/>
          <w:color w:val="auto"/>
        </w:rPr>
      </w:pPr>
      <w:r>
        <w:rPr>
          <w:rFonts w:ascii="Courier New" w:cs="Courier New" w:eastAsia="Courier New" w:hAnsi="Courier New"/>
          <w:sz w:val="16"/>
          <w:szCs w:val="16"/>
          <w:color w:val="auto"/>
        </w:rPr>
        <w:t>FIRST: To the payment of all amounts due the Trustee and any predecessor Trustee under Section 606;</w:t>
      </w:r>
    </w:p>
    <w:p>
      <w:pPr>
        <w:spacing w:after="0" w:line="183" w:lineRule="exact"/>
        <w:rPr>
          <w:sz w:val="20"/>
          <w:szCs w:val="20"/>
          <w:color w:val="auto"/>
        </w:rPr>
      </w:pPr>
    </w:p>
    <w:p>
      <w:pPr>
        <w:ind w:left="920" w:right="2779" w:firstLine="465"/>
        <w:spacing w:after="0" w:line="236" w:lineRule="auto"/>
        <w:rPr>
          <w:sz w:val="20"/>
          <w:szCs w:val="20"/>
          <w:color w:val="auto"/>
        </w:rPr>
      </w:pPr>
      <w:r>
        <w:rPr>
          <w:rFonts w:ascii="Courier New" w:cs="Courier New" w:eastAsia="Courier New" w:hAnsi="Courier New"/>
          <w:sz w:val="16"/>
          <w:szCs w:val="16"/>
          <w:color w:val="auto"/>
        </w:rPr>
        <w:t>SECOND: To the payment of the amounts then due and unpaid upon the Securities and coupons for principal (and premium, if any) and interest, if any, in respect of which or for the benefit of which such money has been collected, ratably, without preference or priority of any kind, according to the aggregate amounts due and payable on such Securities and coupons for principal (and premium, if any) and interest, if any, respectively; and</w:t>
      </w:r>
    </w:p>
    <w:p>
      <w:pPr>
        <w:spacing w:after="0" w:line="184"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THIRD: To the payment of the remainder, if any, to the Company.</w:t>
      </w:r>
    </w:p>
    <w:p>
      <w:pPr>
        <w:spacing w:after="0" w:line="19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507. Limitation on Suits</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jc w:val="both"/>
        <w:ind w:right="2959" w:firstLine="1395"/>
        <w:spacing w:after="0" w:line="235" w:lineRule="auto"/>
        <w:rPr>
          <w:sz w:val="20"/>
          <w:szCs w:val="20"/>
          <w:color w:val="auto"/>
        </w:rPr>
      </w:pPr>
      <w:r>
        <w:rPr>
          <w:rFonts w:ascii="Courier New" w:cs="Courier New" w:eastAsia="Courier New" w:hAnsi="Courier New"/>
          <w:sz w:val="16"/>
          <w:szCs w:val="16"/>
          <w:color w:val="auto"/>
        </w:rPr>
        <w:t>No Holder of any Security of any series or any related coupon shall have any right to institute any proceeding, judicial or otherwise, with respect to this Indenture, or for the appointment of a receiver or trustee, or for any other remedy hereunder, unless:</w:t>
      </w:r>
    </w:p>
    <w:p>
      <w:pPr>
        <w:spacing w:after="0" w:line="185" w:lineRule="exact"/>
        <w:rPr>
          <w:sz w:val="20"/>
          <w:szCs w:val="20"/>
          <w:color w:val="auto"/>
        </w:rPr>
      </w:pPr>
    </w:p>
    <w:p>
      <w:pPr>
        <w:ind w:right="2879" w:firstLine="1391"/>
        <w:spacing w:after="0" w:line="235" w:lineRule="auto"/>
        <w:tabs>
          <w:tab w:leader="none" w:pos="1767"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Holder has previously given written notice to the Trustee of a continuing Event of Default with respect to the Securities of that series;</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10219"/>
          </w:cols>
          <w:pgMar w:left="240" w:top="654" w:right="1440" w:bottom="1440" w:gutter="0" w:footer="0" w:header="0"/>
        </w:sectPr>
      </w:pPr>
    </w:p>
    <w:bookmarkStart w:id="127" w:name="page128"/>
    <w:bookmarkEnd w:id="127"/>
    <w:p>
      <w:pPr>
        <w:ind w:right="2879" w:firstLine="1391"/>
        <w:spacing w:after="0" w:line="235" w:lineRule="auto"/>
        <w:tabs>
          <w:tab w:leader="none" w:pos="1767"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84" w:lineRule="exact"/>
        <w:rPr>
          <w:rFonts w:ascii="Courier New" w:cs="Courier New" w:eastAsia="Courier New" w:hAnsi="Courier New"/>
          <w:sz w:val="16"/>
          <w:szCs w:val="16"/>
          <w:color w:val="auto"/>
        </w:rPr>
      </w:pPr>
    </w:p>
    <w:p>
      <w:pPr>
        <w:ind w:right="2779" w:firstLine="1391"/>
        <w:spacing w:after="0" w:line="235" w:lineRule="auto"/>
        <w:tabs>
          <w:tab w:leader="none" w:pos="1767"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Holder or Holders have offered to the Trustee reasonable indemnity satisfactory to it against the costs, expenses and liabilities to be incurred in compliance with such request;</w:t>
      </w:r>
    </w:p>
    <w:p>
      <w:pPr>
        <w:spacing w:after="0" w:line="183" w:lineRule="exact"/>
        <w:rPr>
          <w:rFonts w:ascii="Courier New" w:cs="Courier New" w:eastAsia="Courier New" w:hAnsi="Courier New"/>
          <w:sz w:val="16"/>
          <w:szCs w:val="16"/>
          <w:color w:val="auto"/>
        </w:rPr>
      </w:pPr>
    </w:p>
    <w:p>
      <w:pPr>
        <w:ind w:right="2879" w:firstLine="1391"/>
        <w:spacing w:after="0" w:line="295" w:lineRule="auto"/>
        <w:tabs>
          <w:tab w:leader="none" w:pos="1767"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for 60 days after its receipt of such notice, request and offer of indemnity has failed to institute any such proceeding; and</w:t>
      </w:r>
    </w:p>
    <w:p>
      <w:pPr>
        <w:spacing w:after="0" w:line="146" w:lineRule="exact"/>
        <w:rPr>
          <w:rFonts w:ascii="Courier New" w:cs="Courier New" w:eastAsia="Courier New" w:hAnsi="Courier New"/>
          <w:sz w:val="14"/>
          <w:szCs w:val="14"/>
          <w:color w:val="auto"/>
        </w:rPr>
      </w:pPr>
    </w:p>
    <w:p>
      <w:pPr>
        <w:ind w:right="2879" w:firstLine="1391"/>
        <w:spacing w:after="0" w:line="235" w:lineRule="auto"/>
        <w:tabs>
          <w:tab w:leader="none" w:pos="1767"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direction inconsistent with such written request has been given to the Trustee during such 60-day period by the Holders of a majority in principal amount of the Outstanding Securities of that series;</w:t>
      </w:r>
    </w:p>
    <w:p>
      <w:pPr>
        <w:spacing w:after="0" w:line="183"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SECTION 508. Unconditional Right of Holders to Receive Principal, Premium</w:t>
      </w:r>
    </w:p>
    <w:p>
      <w:pPr>
        <w:spacing w:after="0" w:line="14"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w:t>
      </w:r>
    </w:p>
    <w:p>
      <w:pPr>
        <w:ind w:left="1660"/>
        <w:spacing w:after="0" w:line="236" w:lineRule="auto"/>
        <w:rPr>
          <w:sz w:val="20"/>
          <w:szCs w:val="20"/>
          <w:color w:val="auto"/>
        </w:rPr>
      </w:pPr>
      <w:r>
        <w:rPr>
          <w:rFonts w:ascii="Courier New" w:cs="Courier New" w:eastAsia="Courier New" w:hAnsi="Courier New"/>
          <w:sz w:val="16"/>
          <w:szCs w:val="16"/>
          <w:color w:val="auto"/>
        </w:rPr>
        <w:t>and Interest and Additional Amounts, if Any</w:t>
      </w:r>
    </w:p>
    <w:p>
      <w:pPr>
        <w:ind w:left="1660"/>
        <w:spacing w:after="0" w:line="237"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1395"/>
        <w:spacing w:after="0" w:line="274" w:lineRule="auto"/>
        <w:rPr>
          <w:sz w:val="20"/>
          <w:szCs w:val="20"/>
          <w:color w:val="auto"/>
        </w:rPr>
      </w:pPr>
      <w:r>
        <w:rPr>
          <w:rFonts w:ascii="Courier New" w:cs="Courier New" w:eastAsia="Courier New" w:hAnsi="Courier New"/>
          <w:sz w:val="14"/>
          <w:szCs w:val="14"/>
          <w:color w:val="auto"/>
        </w:rPr>
        <w:t>Notwithstanding any other provision in this Indenture, the Holder of any Security or coupon shall have the right which is absolute and unconditional to receive payment of the principal of (and premium, if any) and (subject to Sections 305 and 307) interest, if any, and Additional Amounts, if any, on such Security or payment of such coupon on the respective due dates expressed in such Security or coupon (or, in the case of redemption, on the Redemption Date) and to institute suit for the enforcement of any such payment, and such rights shall not be impaired without the consent of such Holder.</w:t>
      </w:r>
    </w:p>
    <w:p>
      <w:pPr>
        <w:spacing w:after="0" w:line="155"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509. Restoration of Rights and Remedies</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959" w:firstLine="1395"/>
        <w:spacing w:after="0" w:line="274" w:lineRule="auto"/>
        <w:rPr>
          <w:sz w:val="20"/>
          <w:szCs w:val="20"/>
          <w:color w:val="auto"/>
        </w:rPr>
      </w:pPr>
      <w:r>
        <w:rPr>
          <w:rFonts w:ascii="Courier New" w:cs="Courier New" w:eastAsia="Courier New" w:hAnsi="Courier New"/>
          <w:sz w:val="14"/>
          <w:szCs w:val="14"/>
          <w:color w:val="auto"/>
        </w:rPr>
        <w:t>If the Trustee or any Holder of a Security or coupon has instituted any proceeding to enforce any right or remedy under this Indenture and such proceeding has been discontinued or abandoned for any reason, or has been determined adversely to the Trustee or to such Holder, then and in every such case the Company, the Trustee and the Holders of Securities and coupons shall, subject to any determination in such proceeding, be restored severally and respectively to their former positions hereunder and thereafter all rights and remedies of the Trustee and the Holders shall continue as though no such proceeding had been instituted.</w:t>
      </w:r>
    </w:p>
    <w:p>
      <w:pPr>
        <w:spacing w:after="0" w:line="33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510. Rights and Remedies Cumulative</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959" w:firstLine="1395"/>
        <w:spacing w:after="0" w:line="276" w:lineRule="auto"/>
        <w:rPr>
          <w:sz w:val="20"/>
          <w:szCs w:val="20"/>
          <w:color w:val="auto"/>
        </w:rPr>
      </w:pPr>
      <w:r>
        <w:rPr>
          <w:rFonts w:ascii="Courier New" w:cs="Courier New" w:eastAsia="Courier New" w:hAnsi="Courier New"/>
          <w:sz w:val="14"/>
          <w:szCs w:val="14"/>
          <w:color w:val="auto"/>
        </w:rPr>
        <w:t>Except as otherwise provided with respect to the replacement or payment of mutilated, destroyed, lost or stolen Securities or coupons in Subsection 306(f), no right or remedy herein conferred upon or reserved to the Trustee or to the Holders of Securities or coupons is intended to be exclusive of any other right or remedy, and every right and remedy shall, to the extent</w:t>
      </w:r>
    </w:p>
    <w:p>
      <w:pPr>
        <w:spacing w:after="0" w:line="33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48</w:t>
      </w:r>
    </w:p>
    <w:p>
      <w:pPr>
        <w:sectPr>
          <w:pgSz w:w="11900" w:h="16838" w:orient="portrait"/>
          <w:cols w:equalWidth="0" w:num="1">
            <w:col w:w="10219"/>
          </w:cols>
          <w:pgMar w:left="240" w:top="654" w:right="1440" w:bottom="1440" w:gutter="0" w:footer="0" w:header="0"/>
        </w:sectPr>
      </w:pPr>
    </w:p>
    <w:bookmarkStart w:id="128" w:name="page129"/>
    <w:bookmarkEnd w:id="128"/>
    <w:p>
      <w:pPr>
        <w:ind w:right="2879"/>
        <w:spacing w:after="0" w:line="235" w:lineRule="auto"/>
        <w:rPr>
          <w:sz w:val="20"/>
          <w:szCs w:val="20"/>
          <w:color w:val="auto"/>
        </w:rPr>
      </w:pPr>
      <w:r>
        <w:rPr>
          <w:rFonts w:ascii="Courier New" w:cs="Courier New" w:eastAsia="Courier New" w:hAnsi="Courier New"/>
          <w:sz w:val="16"/>
          <w:szCs w:val="16"/>
          <w:color w:val="auto"/>
        </w:rPr>
        <w:t>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511. Delay or Omission Not Waiver</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1395"/>
        <w:spacing w:after="0" w:line="236" w:lineRule="auto"/>
        <w:rPr>
          <w:sz w:val="20"/>
          <w:szCs w:val="20"/>
          <w:color w:val="auto"/>
        </w:rPr>
      </w:pPr>
      <w:r>
        <w:rPr>
          <w:rFonts w:ascii="Courier New" w:cs="Courier New" w:eastAsia="Courier New" w:hAnsi="Courier New"/>
          <w:sz w:val="16"/>
          <w:szCs w:val="16"/>
          <w:color w:val="auto"/>
        </w:rPr>
        <w:t>No delay or omission of the Trustee or of any Holder of any Security or coupon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of Securities or coupons, as the case may be.</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512. Control by Holders of Securities</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1395"/>
        <w:spacing w:after="0" w:line="236" w:lineRule="auto"/>
        <w:rPr>
          <w:sz w:val="20"/>
          <w:szCs w:val="20"/>
          <w:color w:val="auto"/>
        </w:rPr>
      </w:pPr>
      <w:r>
        <w:rPr>
          <w:rFonts w:ascii="Courier New" w:cs="Courier New" w:eastAsia="Courier New" w:hAnsi="Courier New"/>
          <w:sz w:val="16"/>
          <w:szCs w:val="16"/>
          <w:color w:val="auto"/>
        </w:rPr>
        <w:t>With respect to any series, the Holders of not less than a majority in principal amount of the Outstanding Securities of such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183" w:lineRule="exact"/>
        <w:rPr>
          <w:sz w:val="20"/>
          <w:szCs w:val="20"/>
          <w:color w:val="auto"/>
        </w:rPr>
      </w:pPr>
    </w:p>
    <w:p>
      <w:pPr>
        <w:ind w:right="2879" w:firstLine="1391"/>
        <w:spacing w:after="0" w:line="234" w:lineRule="auto"/>
        <w:tabs>
          <w:tab w:leader="none" w:pos="1767"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direction shall not be in conflict with any rule of law or with this Indenture,</w:t>
      </w:r>
    </w:p>
    <w:p>
      <w:pPr>
        <w:spacing w:after="0" w:line="183" w:lineRule="exact"/>
        <w:rPr>
          <w:rFonts w:ascii="Courier New" w:cs="Courier New" w:eastAsia="Courier New" w:hAnsi="Courier New"/>
          <w:sz w:val="16"/>
          <w:szCs w:val="16"/>
          <w:color w:val="auto"/>
        </w:rPr>
      </w:pPr>
    </w:p>
    <w:p>
      <w:pPr>
        <w:ind w:right="3059" w:firstLine="1391"/>
        <w:spacing w:after="0" w:line="234" w:lineRule="auto"/>
        <w:tabs>
          <w:tab w:leader="none" w:pos="1767"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take any other action deemed proper by the Trustee which is not inconsistent with such direction, and</w:t>
      </w:r>
    </w:p>
    <w:p>
      <w:pPr>
        <w:spacing w:after="0" w:line="183" w:lineRule="exact"/>
        <w:rPr>
          <w:rFonts w:ascii="Courier New" w:cs="Courier New" w:eastAsia="Courier New" w:hAnsi="Courier New"/>
          <w:sz w:val="16"/>
          <w:szCs w:val="16"/>
          <w:color w:val="auto"/>
        </w:rPr>
      </w:pPr>
    </w:p>
    <w:p>
      <w:pPr>
        <w:ind w:right="2779" w:firstLine="1391"/>
        <w:spacing w:after="0" w:line="235" w:lineRule="auto"/>
        <w:tabs>
          <w:tab w:leader="none" w:pos="1767"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need not take any action which might involve it in personal liability or be unjustly prejudicial to the Holders of Securities of such series not consenting.</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513. Undertaking for Costs</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1395"/>
        <w:spacing w:after="0" w:line="273" w:lineRule="auto"/>
        <w:rPr>
          <w:sz w:val="20"/>
          <w:szCs w:val="20"/>
          <w:color w:val="auto"/>
        </w:rPr>
      </w:pPr>
      <w:r>
        <w:rPr>
          <w:rFonts w:ascii="Courier New" w:cs="Courier New" w:eastAsia="Courier New" w:hAnsi="Courier New"/>
          <w:sz w:val="14"/>
          <w:szCs w:val="14"/>
          <w:color w:val="auto"/>
        </w:rPr>
        <w:t>All parties to this Indenture agree that 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provided that this Section 513 shall not apply to a suit by the Trustee, a suit by a Holder pursuant to Section 508 hereof, or a suit by Holders of more than 10% in principal amount of the then Outstanding Securities.</w:t>
      </w:r>
    </w:p>
    <w:p>
      <w:pPr>
        <w:spacing w:after="0" w:line="33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514. Waiver of Past Defaults</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879" w:firstLine="1391"/>
        <w:spacing w:after="0" w:line="295" w:lineRule="auto"/>
        <w:tabs>
          <w:tab w:leader="none" w:pos="1767"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of not less than a majority in principal amount of the Outstanding Securities of any series may on behalf of the Holders of all</w:t>
      </w:r>
    </w:p>
    <w:p>
      <w:pPr>
        <w:spacing w:after="0" w:line="32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49</w:t>
      </w:r>
    </w:p>
    <w:p>
      <w:pPr>
        <w:sectPr>
          <w:pgSz w:w="11900" w:h="16838" w:orient="portrait"/>
          <w:cols w:equalWidth="0" w:num="1">
            <w:col w:w="10219"/>
          </w:cols>
          <w:pgMar w:left="240" w:top="654" w:right="1440" w:bottom="1440" w:gutter="0" w:footer="0" w:header="0"/>
        </w:sectPr>
      </w:pPr>
    </w:p>
    <w:bookmarkStart w:id="129" w:name="page130"/>
    <w:bookmarkEnd w:id="129"/>
    <w:p>
      <w:pPr>
        <w:ind w:right="3159"/>
        <w:spacing w:after="0" w:line="295" w:lineRule="auto"/>
        <w:rPr>
          <w:sz w:val="20"/>
          <w:szCs w:val="20"/>
          <w:color w:val="auto"/>
        </w:rPr>
      </w:pPr>
      <w:r>
        <w:rPr>
          <w:rFonts w:ascii="Courier New" w:cs="Courier New" w:eastAsia="Courier New" w:hAnsi="Courier New"/>
          <w:sz w:val="14"/>
          <w:szCs w:val="14"/>
          <w:color w:val="auto"/>
        </w:rPr>
        <w:t>the Securities of such series and any related coupons waive any past default hereunder with respect to such series and its consequences, except a default</w:t>
      </w:r>
    </w:p>
    <w:p>
      <w:pPr>
        <w:spacing w:after="0" w:line="147" w:lineRule="exact"/>
        <w:rPr>
          <w:sz w:val="20"/>
          <w:szCs w:val="20"/>
          <w:color w:val="auto"/>
        </w:rPr>
      </w:pPr>
    </w:p>
    <w:p>
      <w:pPr>
        <w:ind w:left="1400" w:right="2879" w:firstLine="456"/>
        <w:spacing w:after="0" w:line="235" w:lineRule="auto"/>
        <w:tabs>
          <w:tab w:leader="none" w:pos="2237" w:val="left"/>
        </w:tabs>
        <w:numPr>
          <w:ilvl w:val="1"/>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payment of the principal of (or premium, if any) or interest, if any, or Additional Amounts on any Security of such series or any related coupons, or</w:t>
      </w:r>
    </w:p>
    <w:p>
      <w:pPr>
        <w:spacing w:after="0" w:line="183" w:lineRule="exact"/>
        <w:rPr>
          <w:rFonts w:ascii="Courier New" w:cs="Courier New" w:eastAsia="Courier New" w:hAnsi="Courier New"/>
          <w:sz w:val="16"/>
          <w:szCs w:val="16"/>
          <w:color w:val="auto"/>
        </w:rPr>
      </w:pPr>
    </w:p>
    <w:p>
      <w:pPr>
        <w:jc w:val="both"/>
        <w:ind w:left="1400" w:right="2779" w:firstLine="456"/>
        <w:spacing w:after="0" w:line="283" w:lineRule="auto"/>
        <w:tabs>
          <w:tab w:leader="none" w:pos="2237" w:val="left"/>
        </w:tabs>
        <w:numPr>
          <w:ilvl w:val="1"/>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respect of a covenant or provision hereof which under Article Nine cannot be modified or amended without the consent of the Holder of each Outstanding Security of such series affected.</w:t>
      </w:r>
    </w:p>
    <w:p>
      <w:pPr>
        <w:spacing w:after="0" w:line="154" w:lineRule="exact"/>
        <w:rPr>
          <w:rFonts w:ascii="Courier New" w:cs="Courier New" w:eastAsia="Courier New" w:hAnsi="Courier New"/>
          <w:sz w:val="14"/>
          <w:szCs w:val="14"/>
          <w:color w:val="auto"/>
        </w:rPr>
      </w:pPr>
    </w:p>
    <w:p>
      <w:pPr>
        <w:ind w:right="2879" w:firstLine="1391"/>
        <w:spacing w:after="0" w:line="235" w:lineRule="auto"/>
        <w:tabs>
          <w:tab w:leader="none" w:pos="1767"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any such waiver, such default shall cease to exist, and any Event of Default arising therefrom shall be deemed to have been cured, for every purpose of this Indenture; but no such waiver shall extend to any subsequent or other default or Event of Default or impair any right consequent thereon.</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515. Waiver of Usury, Stay or Extension Laws</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879" w:firstLine="1395"/>
        <w:spacing w:after="0" w:line="236" w:lineRule="auto"/>
        <w:rPr>
          <w:sz w:val="20"/>
          <w:szCs w:val="20"/>
          <w:color w:val="auto"/>
        </w:rPr>
      </w:pPr>
      <w:r>
        <w:rPr>
          <w:rFonts w:ascii="Courier New" w:cs="Courier New" w:eastAsia="Courier New" w:hAnsi="Courier New"/>
          <w:sz w:val="16"/>
          <w:szCs w:val="16"/>
          <w:color w:val="auto"/>
        </w:rPr>
        <w:t>The Company covenants (to the extent that it may lawfully do so) that it will not at any time insist upon, or plead, or in any manner whatsoever claim or take the benefit or advantage of, any stay or extension law or any usury or other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79"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ARTICLE SIX</w:t>
      </w:r>
    </w:p>
    <w:p>
      <w:pPr>
        <w:ind w:left="3160"/>
        <w:spacing w:after="0" w:line="236" w:lineRule="auto"/>
        <w:rPr>
          <w:sz w:val="20"/>
          <w:szCs w:val="20"/>
          <w:color w:val="auto"/>
        </w:rPr>
      </w:pPr>
      <w:r>
        <w:rPr>
          <w:rFonts w:ascii="Courier New" w:cs="Courier New" w:eastAsia="Courier New" w:hAnsi="Courier New"/>
          <w:sz w:val="16"/>
          <w:szCs w:val="16"/>
          <w:color w:val="auto"/>
        </w:rPr>
        <w:t>THE TRUSTEE</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601. Notice of Defaults</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1395"/>
        <w:spacing w:after="0" w:line="272" w:lineRule="auto"/>
        <w:rPr>
          <w:sz w:val="20"/>
          <w:szCs w:val="20"/>
          <w:color w:val="auto"/>
        </w:rPr>
      </w:pPr>
      <w:r>
        <w:rPr>
          <w:rFonts w:ascii="Courier New" w:cs="Courier New" w:eastAsia="Courier New" w:hAnsi="Courier New"/>
          <w:sz w:val="14"/>
          <w:szCs w:val="14"/>
          <w:color w:val="auto"/>
        </w:rPr>
        <w:t>Within five days after the earlier of receipt from the Company of notice of the occurrence of a Default or Event of Default hereunder or the date such occurrence hereunder actually becomes known to a Responsible Officer of the Trustee, the Trustee shall transmit to all Holders of Securities of such series, in the manner and to the extent provided in TIA Section 313(c), notice of such Default hereunder known to the Trustee, unless such Default shall have been cured or waived; provided, that, except in the case of a Default in the payment of the principal of (or premium, if any) or interest, if any, on any Security of such series, or in the payment of any sinking or purchase fund installment with respect to the Securities of such series, the Trustee shall be protected in withholding such notice if and so long as the board of directors, the executive committee or a trust committee of directors and/or Responsible Officers of the Trustee in good faith determines that the withholding of such notice is in the interests of the Holders of the Securities and coupons of such series; and provided further that in the case of any Default or breach of the character specified in clause (4) of Subsection 501(a) with respect to the Securities and coupons of such series, no such notice to Holders shall be given until at least 60 days after the occurrence thereof unless otherwise specified in accordance with Section 301.</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10219"/>
          </w:cols>
          <w:pgMar w:left="240" w:top="654" w:right="1440" w:bottom="1440" w:gutter="0" w:footer="0" w:header="0"/>
        </w:sectPr>
      </w:pPr>
    </w:p>
    <w:bookmarkStart w:id="130" w:name="page131"/>
    <w:bookmarkEnd w:id="130"/>
    <w:p>
      <w:pPr>
        <w:ind w:left="460"/>
        <w:spacing w:after="0"/>
        <w:rPr>
          <w:sz w:val="20"/>
          <w:szCs w:val="20"/>
          <w:color w:val="auto"/>
        </w:rPr>
      </w:pPr>
      <w:r>
        <w:rPr>
          <w:rFonts w:ascii="Courier New" w:cs="Courier New" w:eastAsia="Courier New" w:hAnsi="Courier New"/>
          <w:sz w:val="16"/>
          <w:szCs w:val="16"/>
          <w:color w:val="auto"/>
        </w:rPr>
        <w:t>SECTION 602. Certain Rights of Trustee</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(a) Subject to the provisions of TIA Section 315(a) through</w:t>
      </w:r>
    </w:p>
    <w:p>
      <w:pPr>
        <w:spacing w:after="0" w:line="236" w:lineRule="auto"/>
        <w:rPr>
          <w:sz w:val="20"/>
          <w:szCs w:val="20"/>
          <w:color w:val="auto"/>
        </w:rPr>
      </w:pPr>
      <w:r>
        <w:rPr>
          <w:rFonts w:ascii="Courier New" w:cs="Courier New" w:eastAsia="Courier New" w:hAnsi="Courier New"/>
          <w:sz w:val="16"/>
          <w:szCs w:val="16"/>
          <w:color w:val="auto"/>
        </w:rPr>
        <w:t>315(d):</w:t>
      </w:r>
    </w:p>
    <w:p>
      <w:pPr>
        <w:spacing w:after="0" w:line="183" w:lineRule="exact"/>
        <w:rPr>
          <w:sz w:val="20"/>
          <w:szCs w:val="20"/>
          <w:color w:val="auto"/>
        </w:rPr>
      </w:pPr>
    </w:p>
    <w:p>
      <w:pPr>
        <w:ind w:left="1400" w:right="2879" w:firstLine="456"/>
        <w:spacing w:after="0" w:line="235" w:lineRule="auto"/>
        <w:tabs>
          <w:tab w:leader="none" w:pos="2237"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undertakes to perform such duties and only such duties as are specifically set forth in this Indenture, and no implied covenants or obligations shall be read into this Indenture against the Trustee.</w:t>
      </w:r>
    </w:p>
    <w:p>
      <w:pPr>
        <w:spacing w:after="0" w:line="184" w:lineRule="exact"/>
        <w:rPr>
          <w:rFonts w:ascii="Courier New" w:cs="Courier New" w:eastAsia="Courier New" w:hAnsi="Courier New"/>
          <w:sz w:val="16"/>
          <w:szCs w:val="16"/>
          <w:color w:val="auto"/>
        </w:rPr>
      </w:pPr>
    </w:p>
    <w:p>
      <w:pPr>
        <w:ind w:left="1400" w:right="2779" w:firstLine="456"/>
        <w:spacing w:after="0" w:line="274" w:lineRule="auto"/>
        <w:tabs>
          <w:tab w:leader="none" w:pos="2237"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conclusively rely and shall be protected in acting or refraining from acting upon any resolution, certificate, statement, instrument, opinion, report, notice, request, direction, consent, order, bond, debenture, note, coupon or other paper or document (whether in its original or facsimile form) believed by it to be genuine and to have been signed or presented by the proper party or parties.</w:t>
      </w:r>
    </w:p>
    <w:p>
      <w:pPr>
        <w:spacing w:after="0" w:line="163" w:lineRule="exact"/>
        <w:rPr>
          <w:rFonts w:ascii="Courier New" w:cs="Courier New" w:eastAsia="Courier New" w:hAnsi="Courier New"/>
          <w:sz w:val="14"/>
          <w:szCs w:val="14"/>
          <w:color w:val="auto"/>
        </w:rPr>
      </w:pPr>
    </w:p>
    <w:p>
      <w:pPr>
        <w:ind w:left="1400" w:right="2779" w:firstLine="456"/>
        <w:spacing w:after="0" w:line="274" w:lineRule="auto"/>
        <w:tabs>
          <w:tab w:leader="none" w:pos="2237"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request or direction of the Company mentioned herein shall be sufficiently evidenced by a Company Request or Company Order (other than delivery of any Security, together with any coupons appertaining thereto, to the Trustee for authentication and delivery pursuant to Section 303 which shall be sufficiently evidenced as provided therein) and any resolution of the Board of Directors may be sufficiently evidenced by a Board Resolution.</w:t>
      </w:r>
    </w:p>
    <w:p>
      <w:pPr>
        <w:spacing w:after="0" w:line="163" w:lineRule="exact"/>
        <w:rPr>
          <w:rFonts w:ascii="Courier New" w:cs="Courier New" w:eastAsia="Courier New" w:hAnsi="Courier New"/>
          <w:sz w:val="14"/>
          <w:szCs w:val="14"/>
          <w:color w:val="auto"/>
        </w:rPr>
      </w:pPr>
    </w:p>
    <w:p>
      <w:pPr>
        <w:ind w:left="1400" w:right="2959" w:firstLine="456"/>
        <w:spacing w:after="0" w:line="235" w:lineRule="auto"/>
        <w:tabs>
          <w:tab w:leader="none" w:pos="2237"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not be liable for any error of judgment made in good faith by a Responsible Officer, unless it shall be proved that the Trustee was negligent in ascertaining the pertinent facts.</w:t>
      </w:r>
    </w:p>
    <w:p>
      <w:pPr>
        <w:spacing w:after="0" w:line="184" w:lineRule="exact"/>
        <w:rPr>
          <w:rFonts w:ascii="Courier New" w:cs="Courier New" w:eastAsia="Courier New" w:hAnsi="Courier New"/>
          <w:sz w:val="16"/>
          <w:szCs w:val="16"/>
          <w:color w:val="auto"/>
        </w:rPr>
      </w:pPr>
    </w:p>
    <w:p>
      <w:pPr>
        <w:ind w:left="1400" w:right="3159" w:firstLine="456"/>
        <w:spacing w:after="0" w:line="276" w:lineRule="auto"/>
        <w:tabs>
          <w:tab w:leader="none" w:pos="2237"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not be liable with respect to any action taken or omitted to be taken by it in good faith in accordance with the direction of the Holders of a majority in principal amount of the Outstanding Securities of any series, determined as provided in Sections 101 and 104.</w:t>
      </w:r>
    </w:p>
    <w:p>
      <w:pPr>
        <w:spacing w:after="0" w:line="161" w:lineRule="exact"/>
        <w:rPr>
          <w:rFonts w:ascii="Courier New" w:cs="Courier New" w:eastAsia="Courier New" w:hAnsi="Courier New"/>
          <w:sz w:val="14"/>
          <w:szCs w:val="14"/>
          <w:color w:val="auto"/>
        </w:rPr>
      </w:pPr>
    </w:p>
    <w:p>
      <w:pPr>
        <w:ind w:left="1400" w:right="2879" w:firstLine="456"/>
        <w:spacing w:after="0" w:line="236" w:lineRule="auto"/>
        <w:tabs>
          <w:tab w:leader="none" w:pos="2237"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 Board Resolution, an Opinion of Counsel or an Officers' Certificate.</w:t>
      </w:r>
    </w:p>
    <w:p>
      <w:pPr>
        <w:spacing w:after="0" w:line="183" w:lineRule="exact"/>
        <w:rPr>
          <w:rFonts w:ascii="Courier New" w:cs="Courier New" w:eastAsia="Courier New" w:hAnsi="Courier New"/>
          <w:sz w:val="16"/>
          <w:szCs w:val="16"/>
          <w:color w:val="auto"/>
        </w:rPr>
      </w:pPr>
    </w:p>
    <w:p>
      <w:pPr>
        <w:ind w:left="1400" w:right="2779" w:firstLine="456"/>
        <w:spacing w:after="0" w:line="235" w:lineRule="auto"/>
        <w:tabs>
          <w:tab w:leader="none" w:pos="2237"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consult with counsel of its choosing and the advice of such counsel or any Opinion of Counsel shall be full and complete authorization and protection in respect of any action taken, suffered or omitted by it hereunder in good faith and in reliance thereon.</w:t>
      </w:r>
    </w:p>
    <w:p>
      <w:pPr>
        <w:spacing w:after="0" w:line="185" w:lineRule="exact"/>
        <w:rPr>
          <w:rFonts w:ascii="Courier New" w:cs="Courier New" w:eastAsia="Courier New" w:hAnsi="Courier New"/>
          <w:sz w:val="16"/>
          <w:szCs w:val="16"/>
          <w:color w:val="auto"/>
        </w:rPr>
      </w:pPr>
    </w:p>
    <w:p>
      <w:pPr>
        <w:ind w:left="1400" w:right="2779" w:firstLine="456"/>
        <w:spacing w:after="0" w:line="275" w:lineRule="auto"/>
        <w:tabs>
          <w:tab w:leader="none" w:pos="2237"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be under no obligation to exercise any of the rights or powers vested in it by this Indenture at the request or direction of any of the Holders of Securities of any series or any related coupons pursuant to this Indenture, unless such Holders shall have offered to the Trustee security or indemnity reasonably satisfactory to the Trustee against the</w:t>
      </w:r>
    </w:p>
    <w:p>
      <w:pPr>
        <w:spacing w:after="0" w:line="33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51</w:t>
      </w:r>
    </w:p>
    <w:p>
      <w:pPr>
        <w:sectPr>
          <w:pgSz w:w="11900" w:h="16838" w:orient="portrait"/>
          <w:cols w:equalWidth="0" w:num="1">
            <w:col w:w="10219"/>
          </w:cols>
          <w:pgMar w:left="240" w:top="648" w:right="1440" w:bottom="1440" w:gutter="0" w:footer="0" w:header="0"/>
        </w:sectPr>
      </w:pPr>
    </w:p>
    <w:bookmarkStart w:id="131" w:name="page132"/>
    <w:bookmarkEnd w:id="131"/>
    <w:p>
      <w:pPr>
        <w:ind w:left="1400" w:right="2879"/>
        <w:spacing w:after="0" w:line="234" w:lineRule="auto"/>
        <w:rPr>
          <w:sz w:val="20"/>
          <w:szCs w:val="20"/>
          <w:color w:val="auto"/>
        </w:rPr>
      </w:pPr>
      <w:r>
        <w:rPr>
          <w:rFonts w:ascii="Courier New" w:cs="Courier New" w:eastAsia="Courier New" w:hAnsi="Courier New"/>
          <w:sz w:val="16"/>
          <w:szCs w:val="16"/>
          <w:color w:val="auto"/>
        </w:rPr>
        <w:t>costs, expenses and liabilities which might be incurred by it in compliance with such request or direction.</w:t>
      </w:r>
    </w:p>
    <w:p>
      <w:pPr>
        <w:spacing w:after="0" w:line="183" w:lineRule="exact"/>
        <w:rPr>
          <w:sz w:val="20"/>
          <w:szCs w:val="20"/>
          <w:color w:val="auto"/>
        </w:rPr>
      </w:pPr>
    </w:p>
    <w:p>
      <w:pPr>
        <w:ind w:left="1400" w:right="2779" w:firstLine="456"/>
        <w:spacing w:after="0" w:line="273" w:lineRule="auto"/>
        <w:tabs>
          <w:tab w:leader="none" w:pos="2237" w:val="left"/>
        </w:tabs>
        <w:numPr>
          <w:ilvl w:val="1"/>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not be bound to make any investigation into the facts or matters stated in any resolution, certificate, statement, instrument, opinion, report, notice, request, direction, consent, order, bond, debenture, note, coupon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but in the case of any certificate or opinion specifically required by the Indenture to be delivered to the Trustee, the Trustee shall have a duty to examine the same to determine whether they conform to the Indenture requirements.</w:t>
      </w:r>
    </w:p>
    <w:p>
      <w:pPr>
        <w:spacing w:after="0" w:line="200" w:lineRule="exact"/>
        <w:rPr>
          <w:rFonts w:ascii="Courier New" w:cs="Courier New" w:eastAsia="Courier New" w:hAnsi="Courier New"/>
          <w:sz w:val="14"/>
          <w:szCs w:val="14"/>
          <w:color w:val="auto"/>
        </w:rPr>
      </w:pPr>
    </w:p>
    <w:p>
      <w:pPr>
        <w:spacing w:after="0" w:line="318" w:lineRule="exact"/>
        <w:rPr>
          <w:rFonts w:ascii="Courier New" w:cs="Courier New" w:eastAsia="Courier New" w:hAnsi="Courier New"/>
          <w:sz w:val="14"/>
          <w:szCs w:val="14"/>
          <w:color w:val="auto"/>
        </w:rPr>
      </w:pPr>
    </w:p>
    <w:p>
      <w:pPr>
        <w:ind w:left="1400" w:right="2959" w:firstLine="456"/>
        <w:spacing w:after="0" w:line="276" w:lineRule="auto"/>
        <w:tabs>
          <w:tab w:leader="none" w:pos="2330" w:val="left"/>
        </w:tabs>
        <w:numPr>
          <w:ilvl w:val="1"/>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61" w:lineRule="exact"/>
        <w:rPr>
          <w:rFonts w:ascii="Courier New" w:cs="Courier New" w:eastAsia="Courier New" w:hAnsi="Courier New"/>
          <w:sz w:val="14"/>
          <w:szCs w:val="14"/>
          <w:color w:val="auto"/>
        </w:rPr>
      </w:pPr>
    </w:p>
    <w:p>
      <w:pPr>
        <w:ind w:left="1400" w:right="2779" w:firstLine="456"/>
        <w:spacing w:after="0" w:line="235" w:lineRule="auto"/>
        <w:tabs>
          <w:tab w:leader="none" w:pos="2330" w:val="left"/>
        </w:tabs>
        <w:numPr>
          <w:ilvl w:val="1"/>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not be liable for any action taken, suffered or omitted by it in good faith and believed by it to be authorized or within the discretion or rights or powers conferred upon it by this Indenture other than any liabilities arising out of the negligence of the Trustee.</w:t>
      </w:r>
    </w:p>
    <w:p>
      <w:pPr>
        <w:spacing w:after="0" w:line="185" w:lineRule="exact"/>
        <w:rPr>
          <w:rFonts w:ascii="Courier New" w:cs="Courier New" w:eastAsia="Courier New" w:hAnsi="Courier New"/>
          <w:sz w:val="16"/>
          <w:szCs w:val="16"/>
          <w:color w:val="auto"/>
        </w:rPr>
      </w:pPr>
    </w:p>
    <w:p>
      <w:pPr>
        <w:ind w:left="1400" w:right="2779" w:firstLine="456"/>
        <w:spacing w:after="0" w:line="236" w:lineRule="auto"/>
        <w:tabs>
          <w:tab w:leader="none" w:pos="2330" w:val="left"/>
        </w:tabs>
        <w:numPr>
          <w:ilvl w:val="1"/>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privileges, protections, immunities and benefits given to the Trustee, including, without limitation, its right to be indemnified, are extended to, and shall be enforceable by, the Trustee in each of its capacities hereunder, and to each agent, custodian and other Person employed to act hereunder.</w:t>
      </w:r>
    </w:p>
    <w:p>
      <w:pPr>
        <w:spacing w:after="0" w:line="182" w:lineRule="exact"/>
        <w:rPr>
          <w:rFonts w:ascii="Courier New" w:cs="Courier New" w:eastAsia="Courier New" w:hAnsi="Courier New"/>
          <w:sz w:val="16"/>
          <w:szCs w:val="16"/>
          <w:color w:val="auto"/>
        </w:rPr>
      </w:pPr>
    </w:p>
    <w:p>
      <w:pPr>
        <w:ind w:left="1400" w:right="2959" w:firstLine="456"/>
        <w:spacing w:after="0" w:line="236" w:lineRule="auto"/>
        <w:tabs>
          <w:tab w:leader="none" w:pos="2330" w:val="left"/>
        </w:tabs>
        <w:numPr>
          <w:ilvl w:val="1"/>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84" w:lineRule="exact"/>
        <w:rPr>
          <w:rFonts w:ascii="Courier New" w:cs="Courier New" w:eastAsia="Courier New" w:hAnsi="Courier New"/>
          <w:sz w:val="16"/>
          <w:szCs w:val="16"/>
          <w:color w:val="auto"/>
        </w:rPr>
      </w:pPr>
    </w:p>
    <w:p>
      <w:pPr>
        <w:ind w:right="2959" w:firstLine="1391"/>
        <w:spacing w:after="0" w:line="236" w:lineRule="auto"/>
        <w:tabs>
          <w:tab w:leader="none" w:pos="1767" w:val="left"/>
        </w:tabs>
        <w:numPr>
          <w:ilvl w:val="0"/>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not be required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603. Not Responsible for Recitals or Issuance of Securities</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jc w:val="both"/>
        <w:ind w:right="2959" w:firstLine="1395"/>
        <w:spacing w:after="0" w:line="283" w:lineRule="auto"/>
        <w:rPr>
          <w:sz w:val="20"/>
          <w:szCs w:val="20"/>
          <w:color w:val="auto"/>
        </w:rPr>
      </w:pPr>
      <w:r>
        <w:rPr>
          <w:rFonts w:ascii="Courier New" w:cs="Courier New" w:eastAsia="Courier New" w:hAnsi="Courier New"/>
          <w:sz w:val="14"/>
          <w:szCs w:val="14"/>
          <w:color w:val="auto"/>
        </w:rPr>
        <w:t>The recitals contained herein and in the Securities, except the Trustee's certificate of authentication, and in any coupons shall be taken as the statements of the Company, and neither the Trustee nor any Authenticating</w:t>
      </w:r>
    </w:p>
    <w:p>
      <w:pPr>
        <w:spacing w:after="0" w:line="32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52</w:t>
      </w:r>
    </w:p>
    <w:p>
      <w:pPr>
        <w:sectPr>
          <w:pgSz w:w="11900" w:h="16838" w:orient="portrait"/>
          <w:cols w:equalWidth="0" w:num="1">
            <w:col w:w="10219"/>
          </w:cols>
          <w:pgMar w:left="240" w:top="654" w:right="1440" w:bottom="1440" w:gutter="0" w:footer="0" w:header="0"/>
        </w:sectPr>
      </w:pPr>
    </w:p>
    <w:bookmarkStart w:id="132" w:name="page133"/>
    <w:bookmarkEnd w:id="132"/>
    <w:p>
      <w:pPr>
        <w:ind w:right="2879"/>
        <w:spacing w:after="0" w:line="236" w:lineRule="auto"/>
        <w:rPr>
          <w:sz w:val="20"/>
          <w:szCs w:val="20"/>
          <w:color w:val="auto"/>
        </w:rPr>
      </w:pPr>
      <w:r>
        <w:rPr>
          <w:rFonts w:ascii="Courier New" w:cs="Courier New" w:eastAsia="Courier New" w:hAnsi="Courier New"/>
          <w:sz w:val="16"/>
          <w:szCs w:val="16"/>
          <w:color w:val="auto"/>
        </w:rPr>
        <w:t>Agent assumes any responsibility for their correctness. The Trustee makes no representations as to the validity or sufficiency of this Indenture or of the Securities or coupons, except that the Trustee represents that it is duly authorized to execute and deliver this Indenture, authenticate the Securities and perform its obligations hereunder and that the statements made by it in a Statement of Eligibility on Form T-1 supplied to the Company are true and accurate, subject to the qualifications set forth therein. Neither the Trustee nor any Authenticating Agent shall be accountable for the use or application by the Company of Securities or the proceeds thereof.</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604. May Hold Securities</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1395"/>
        <w:spacing w:after="0" w:line="236" w:lineRule="auto"/>
        <w:rPr>
          <w:sz w:val="20"/>
          <w:szCs w:val="20"/>
          <w:color w:val="auto"/>
        </w:rPr>
      </w:pPr>
      <w:r>
        <w:rPr>
          <w:rFonts w:ascii="Courier New" w:cs="Courier New" w:eastAsia="Courier New" w:hAnsi="Courier New"/>
          <w:sz w:val="16"/>
          <w:szCs w:val="16"/>
          <w:color w:val="auto"/>
        </w:rPr>
        <w:t>The Trustee, any Paying Agent, Security Registrar, Authenticating Agent or any other agent of the Company in its individual or any other capacity, may become the owner or pledgee of Securities and coupons and, subject to TIA Sections 310(b) and 311, may otherwise deal with the Company with the same rights it would have if it were not Trustee, Paying Agent, Security Registrar, Authenticating Agent or such other agent.</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605. Money Held in Trust</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959" w:firstLine="1395"/>
        <w:spacing w:after="0" w:line="235" w:lineRule="auto"/>
        <w:rPr>
          <w:sz w:val="20"/>
          <w:szCs w:val="20"/>
          <w:color w:val="auto"/>
        </w:rPr>
      </w:pPr>
      <w:r>
        <w:rPr>
          <w:rFonts w:ascii="Courier New" w:cs="Courier New" w:eastAsia="Courier New" w:hAnsi="Courier New"/>
          <w:sz w:val="16"/>
          <w:szCs w:val="16"/>
          <w:color w:val="auto"/>
        </w:rPr>
        <w:t>Money held by the Trustee in trust hereunder need not be segregated from other funds except to the extent required by law. The Trustee shall be under no liability for interest on any money received by it hereunder except as otherwise agreed with the Company.</w:t>
      </w:r>
    </w:p>
    <w:p>
      <w:pPr>
        <w:spacing w:after="0" w:line="17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606. Compensation and Reimbursement</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1760" w:hanging="369"/>
        <w:spacing w:after="0"/>
        <w:tabs>
          <w:tab w:leader="none" w:pos="1760"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agrees:</w:t>
      </w:r>
    </w:p>
    <w:p>
      <w:pPr>
        <w:spacing w:after="0" w:line="182" w:lineRule="exact"/>
        <w:rPr>
          <w:rFonts w:ascii="Courier New" w:cs="Courier New" w:eastAsia="Courier New" w:hAnsi="Courier New"/>
          <w:sz w:val="16"/>
          <w:szCs w:val="16"/>
          <w:color w:val="auto"/>
        </w:rPr>
      </w:pPr>
    </w:p>
    <w:p>
      <w:pPr>
        <w:ind w:left="1400" w:right="2959" w:firstLine="456"/>
        <w:spacing w:after="0" w:line="235" w:lineRule="auto"/>
        <w:tabs>
          <w:tab w:leader="none" w:pos="2237" w:val="left"/>
        </w:tabs>
        <w:numPr>
          <w:ilvl w:val="1"/>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pay to the Trustee from time to time such compensation for all services rendered by it hereunder as shall be agreed upon in writing from time to time (which compensation shall not be limited by any provision of law in regard to the compensation of a trustee of an express trust);</w:t>
      </w:r>
    </w:p>
    <w:p>
      <w:pPr>
        <w:spacing w:after="0" w:line="185" w:lineRule="exact"/>
        <w:rPr>
          <w:rFonts w:ascii="Courier New" w:cs="Courier New" w:eastAsia="Courier New" w:hAnsi="Courier New"/>
          <w:sz w:val="16"/>
          <w:szCs w:val="16"/>
          <w:color w:val="auto"/>
        </w:rPr>
      </w:pPr>
    </w:p>
    <w:p>
      <w:pPr>
        <w:ind w:left="1400" w:right="2779" w:firstLine="456"/>
        <w:spacing w:after="0" w:line="236" w:lineRule="auto"/>
        <w:tabs>
          <w:tab w:leader="none" w:pos="2237" w:val="left"/>
        </w:tabs>
        <w:numPr>
          <w:ilvl w:val="1"/>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expressly provided herein, to reimburse each of the Trustee and any predecessor Trustee upon its request for all reasonable expenses, disbursements and advances incurred or made by the Trustee in accordance with any provision of this Indenture (including the reasonable compensation and the expenses and disbursements of its agents and counsel), except any such expense, disbursement or advance as shall be determined to have been caused by its own negligence or willful misconduct; and</w:t>
      </w:r>
    </w:p>
    <w:p>
      <w:pPr>
        <w:spacing w:after="0" w:line="184" w:lineRule="exact"/>
        <w:rPr>
          <w:rFonts w:ascii="Courier New" w:cs="Courier New" w:eastAsia="Courier New" w:hAnsi="Courier New"/>
          <w:sz w:val="16"/>
          <w:szCs w:val="16"/>
          <w:color w:val="auto"/>
        </w:rPr>
      </w:pPr>
    </w:p>
    <w:p>
      <w:pPr>
        <w:ind w:left="1400" w:right="2779" w:firstLine="456"/>
        <w:spacing w:after="0" w:line="273" w:lineRule="auto"/>
        <w:tabs>
          <w:tab w:leader="none" w:pos="2237" w:val="left"/>
        </w:tabs>
        <w:numPr>
          <w:ilvl w:val="1"/>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indemnify each of the Trustee and any predecessor Trustee for, and to hold it harmless against, any and all loss, damage, claims, liability or expense incurred without negligence or bad faith on its own part, arising out of or in connection with the acceptance or administration of the trust or trusts hereunder, including the costs and expenses of defending itself against any claim (whether asserted by the Company or any Holder or any other Person) or liability in connection with the exercise or performance of any of its powers or duties hereunder.</w:t>
      </w: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53</w:t>
      </w:r>
    </w:p>
    <w:p>
      <w:pPr>
        <w:sectPr>
          <w:pgSz w:w="11900" w:h="16838" w:orient="portrait"/>
          <w:cols w:equalWidth="0" w:num="1">
            <w:col w:w="10219"/>
          </w:cols>
          <w:pgMar w:left="240" w:top="654" w:right="1440" w:bottom="1440" w:gutter="0" w:footer="0" w:header="0"/>
        </w:sectPr>
      </w:pPr>
    </w:p>
    <w:bookmarkStart w:id="133" w:name="page134"/>
    <w:bookmarkEnd w:id="133"/>
    <w:p>
      <w:pPr>
        <w:ind w:right="2779" w:firstLine="1391"/>
        <w:spacing w:after="0" w:line="235" w:lineRule="auto"/>
        <w:tabs>
          <w:tab w:leader="none" w:pos="1767"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security for the performance of the obligations of the Company under this Section, the Trustee shall have a claim prior to the Securities upon all property and funds held or collected by the Trustee as such, except funds held in trust for the payment of principal of (or premium, if any) or interest, if any, on particular Securities or any coupons.</w:t>
      </w:r>
    </w:p>
    <w:p>
      <w:pPr>
        <w:spacing w:after="0" w:line="185" w:lineRule="exact"/>
        <w:rPr>
          <w:rFonts w:ascii="Courier New" w:cs="Courier New" w:eastAsia="Courier New" w:hAnsi="Courier New"/>
          <w:sz w:val="16"/>
          <w:szCs w:val="16"/>
          <w:color w:val="auto"/>
        </w:rPr>
      </w:pPr>
    </w:p>
    <w:p>
      <w:pPr>
        <w:jc w:val="both"/>
        <w:ind w:right="2779" w:firstLine="1391"/>
        <w:spacing w:after="0" w:line="235" w:lineRule="auto"/>
        <w:tabs>
          <w:tab w:leader="none" w:pos="1767"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 the Trustee incurs expenses or renders services after an Event of Default specified in clause (5) or (6) of Subsection 501(a) occurs, the expenses and compensation for the services are intended to constitute expenses of administration under any Bankruptcy Law.</w:t>
      </w:r>
    </w:p>
    <w:p>
      <w:pPr>
        <w:spacing w:after="0" w:line="17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607. Corporate Trustee Required; Eligibility</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1395"/>
        <w:spacing w:after="0" w:line="273" w:lineRule="auto"/>
        <w:rPr>
          <w:sz w:val="20"/>
          <w:szCs w:val="20"/>
          <w:color w:val="auto"/>
        </w:rPr>
      </w:pPr>
      <w:r>
        <w:rPr>
          <w:rFonts w:ascii="Courier New" w:cs="Courier New" w:eastAsia="Courier New" w:hAnsi="Courier New"/>
          <w:sz w:val="14"/>
          <w:szCs w:val="14"/>
          <w:color w:val="auto"/>
        </w:rPr>
        <w:t>There shall at all times be a Trustee hereunder which shall be eligible to act as Trustee under TIA Section 310(a)(1) and shall have a combined capital and surplus of at least $50,000,000. If such corporation publishes reports of condition at least annually, pursuant to law or the requirements of Federal, State, Territorial or District of Columbia supervising or examining authority, then for the purposes of this Section, the combined capital and surplus of such corporation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w:t>
      </w:r>
    </w:p>
    <w:p>
      <w:pPr>
        <w:spacing w:after="0" w:line="33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608. Resignation and Removal; Appointment of Successor</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1391"/>
        <w:spacing w:after="0" w:line="235" w:lineRule="auto"/>
        <w:tabs>
          <w:tab w:leader="none" w:pos="1767"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resignation or removal of the Trustee and no appointment of a successor Trustee pursuant to this Article shall become effective until the acceptance of appointment by the successor Trustee in accordance with the applicable requirements of Section 609.</w:t>
      </w:r>
    </w:p>
    <w:p>
      <w:pPr>
        <w:spacing w:after="0" w:line="184" w:lineRule="exact"/>
        <w:rPr>
          <w:rFonts w:ascii="Courier New" w:cs="Courier New" w:eastAsia="Courier New" w:hAnsi="Courier New"/>
          <w:sz w:val="16"/>
          <w:szCs w:val="16"/>
          <w:color w:val="auto"/>
        </w:rPr>
      </w:pPr>
    </w:p>
    <w:p>
      <w:pPr>
        <w:ind w:right="3439" w:firstLine="1391"/>
        <w:spacing w:after="0" w:line="235" w:lineRule="auto"/>
        <w:tabs>
          <w:tab w:leader="none" w:pos="1767"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resign at any time with respect to the Securities of one or more series by giving written notice thereof to the Company.</w:t>
      </w:r>
    </w:p>
    <w:p>
      <w:pPr>
        <w:spacing w:after="0" w:line="183" w:lineRule="exact"/>
        <w:rPr>
          <w:rFonts w:ascii="Courier New" w:cs="Courier New" w:eastAsia="Courier New" w:hAnsi="Courier New"/>
          <w:sz w:val="16"/>
          <w:szCs w:val="16"/>
          <w:color w:val="auto"/>
        </w:rPr>
      </w:pPr>
    </w:p>
    <w:p>
      <w:pPr>
        <w:ind w:right="2779" w:firstLine="1391"/>
        <w:spacing w:after="0" w:line="235" w:lineRule="auto"/>
        <w:tabs>
          <w:tab w:leader="none" w:pos="1767"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be removed at any time with respect to the Securities of any series by Act of the Holders of a majority in principal amount of the Outstanding Securities of such series delivered to the Trustee and to the Company.</w:t>
      </w:r>
    </w:p>
    <w:p>
      <w:pPr>
        <w:spacing w:after="0" w:line="178" w:lineRule="exact"/>
        <w:rPr>
          <w:rFonts w:ascii="Courier New" w:cs="Courier New" w:eastAsia="Courier New" w:hAnsi="Courier New"/>
          <w:sz w:val="16"/>
          <w:szCs w:val="16"/>
          <w:color w:val="auto"/>
        </w:rPr>
      </w:pPr>
    </w:p>
    <w:p>
      <w:pPr>
        <w:ind w:left="1760" w:hanging="369"/>
        <w:spacing w:after="0"/>
        <w:tabs>
          <w:tab w:leader="none" w:pos="1760"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 any time:</w:t>
      </w:r>
    </w:p>
    <w:p>
      <w:pPr>
        <w:spacing w:after="0" w:line="182" w:lineRule="exact"/>
        <w:rPr>
          <w:rFonts w:ascii="Courier New" w:cs="Courier New" w:eastAsia="Courier New" w:hAnsi="Courier New"/>
          <w:sz w:val="16"/>
          <w:szCs w:val="16"/>
          <w:color w:val="auto"/>
        </w:rPr>
      </w:pPr>
    </w:p>
    <w:p>
      <w:pPr>
        <w:jc w:val="both"/>
        <w:ind w:left="1400" w:right="2779" w:firstLine="456"/>
        <w:spacing w:after="0" w:line="235" w:lineRule="auto"/>
        <w:tabs>
          <w:tab w:leader="none" w:pos="2237" w:val="left"/>
        </w:tabs>
        <w:numPr>
          <w:ilvl w:val="1"/>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fail to comply with the provisions of TIA Section 310(b) after written request therefor by the Company or by any Holder of a Security who has been a bona fide Holder of a Security for at least six months, or</w:t>
      </w:r>
    </w:p>
    <w:p>
      <w:pPr>
        <w:spacing w:after="0" w:line="184" w:lineRule="exact"/>
        <w:rPr>
          <w:rFonts w:ascii="Courier New" w:cs="Courier New" w:eastAsia="Courier New" w:hAnsi="Courier New"/>
          <w:sz w:val="16"/>
          <w:szCs w:val="16"/>
          <w:color w:val="auto"/>
        </w:rPr>
      </w:pPr>
    </w:p>
    <w:p>
      <w:pPr>
        <w:ind w:left="1400" w:right="2779" w:firstLine="456"/>
        <w:spacing w:after="0" w:line="235" w:lineRule="auto"/>
        <w:tabs>
          <w:tab w:leader="none" w:pos="2237" w:val="left"/>
        </w:tabs>
        <w:numPr>
          <w:ilvl w:val="1"/>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cease to be eligible under Section 607 and shall fail to resign after written request therefor by the Company or by any Holder of a Security who has been a bona fide Holder of a Security for at least six months, or</w:t>
      </w:r>
    </w:p>
    <w:p>
      <w:pPr>
        <w:spacing w:after="0" w:line="184" w:lineRule="exact"/>
        <w:rPr>
          <w:rFonts w:ascii="Courier New" w:cs="Courier New" w:eastAsia="Courier New" w:hAnsi="Courier New"/>
          <w:sz w:val="16"/>
          <w:szCs w:val="16"/>
          <w:color w:val="auto"/>
        </w:rPr>
      </w:pPr>
    </w:p>
    <w:p>
      <w:pPr>
        <w:ind w:left="1400" w:right="2779" w:firstLine="456"/>
        <w:spacing w:after="0" w:line="276" w:lineRule="auto"/>
        <w:tabs>
          <w:tab w:leader="none" w:pos="2237" w:val="left"/>
        </w:tabs>
        <w:numPr>
          <w:ilvl w:val="1"/>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w:t>
      </w:r>
    </w:p>
    <w:p>
      <w:pPr>
        <w:spacing w:after="0" w:line="33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54</w:t>
      </w:r>
    </w:p>
    <w:p>
      <w:pPr>
        <w:sectPr>
          <w:pgSz w:w="11900" w:h="16838" w:orient="portrait"/>
          <w:cols w:equalWidth="0" w:num="1">
            <w:col w:w="10219"/>
          </w:cols>
          <w:pgMar w:left="240" w:top="654" w:right="1440" w:bottom="1440" w:gutter="0" w:footer="0" w:header="0"/>
        </w:sectPr>
      </w:pPr>
    </w:p>
    <w:bookmarkStart w:id="134" w:name="page135"/>
    <w:bookmarkEnd w:id="134"/>
    <w:p>
      <w:pPr>
        <w:ind w:left="940" w:right="2779"/>
        <w:spacing w:after="0" w:line="236" w:lineRule="auto"/>
        <w:rPr>
          <w:sz w:val="20"/>
          <w:szCs w:val="20"/>
          <w:color w:val="auto"/>
        </w:rPr>
      </w:pPr>
      <w:r>
        <w:rPr>
          <w:rFonts w:ascii="Courier New" w:cs="Courier New" w:eastAsia="Courier New" w:hAnsi="Courier New"/>
          <w:sz w:val="16"/>
          <w:szCs w:val="16"/>
          <w:color w:val="auto"/>
        </w:rPr>
        <w:t>liquidation, then, in any such case, (i) the Company by or pursuant to a Board Resolution may remove the Trustee and appoint a successor Trustee with respect to all Securities, or (ii) subject to TIA Section 315(e), any Holder of a Security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185" w:lineRule="exact"/>
        <w:rPr>
          <w:sz w:val="20"/>
          <w:szCs w:val="20"/>
          <w:color w:val="auto"/>
        </w:rPr>
      </w:pPr>
    </w:p>
    <w:p>
      <w:pPr>
        <w:ind w:left="-460" w:right="2879" w:firstLine="1391"/>
        <w:spacing w:after="0" w:line="275" w:lineRule="auto"/>
        <w:tabs>
          <w:tab w:leader="none" w:pos="1307"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 instrument of acceptance by a successor Trustee shall not have been delivered to the Trustee within 30 days after the giving of a notice of resignation or the delivery of an Act of removal, the Trustee resigning or being removed or any Holder who has been a bona fide Holder of Securities for at least six months, may petition at the expense of the Company any court of competent jurisdiction for the appointment of a successor Trustee.</w:t>
      </w:r>
    </w:p>
    <w:p>
      <w:pPr>
        <w:spacing w:after="0" w:line="161" w:lineRule="exact"/>
        <w:rPr>
          <w:rFonts w:ascii="Courier New" w:cs="Courier New" w:eastAsia="Courier New" w:hAnsi="Courier New"/>
          <w:sz w:val="14"/>
          <w:szCs w:val="14"/>
          <w:color w:val="auto"/>
        </w:rPr>
      </w:pPr>
    </w:p>
    <w:p>
      <w:pPr>
        <w:ind w:left="-460" w:right="2779" w:firstLine="1391"/>
        <w:spacing w:after="0" w:line="271" w:lineRule="auto"/>
        <w:tabs>
          <w:tab w:leader="none" w:pos="1307"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Trustee shall resign, be removed or become incapable of acting, or if a vacancy shall occur in the office of Trustee for any cause with respect to the Securities of one or more series, the Company, by or pursuant to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except as provided in Section 613, there shall be only one Trustee with respect to the Securities of any particular series).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of Securities and accepted appointment in the manner hereinafter provided, any Holder of a Security who has been a bona fide Holder of a Security of such series for at least six months may, on behalf of himself and all others similarly situated, petition any court of competent jurisdiction for the appointment of a successor Trustee with respect to Securities of such series.</w:t>
      </w:r>
    </w:p>
    <w:p>
      <w:pPr>
        <w:spacing w:after="0" w:line="200" w:lineRule="exact"/>
        <w:rPr>
          <w:rFonts w:ascii="Courier New" w:cs="Courier New" w:eastAsia="Courier New" w:hAnsi="Courier New"/>
          <w:sz w:val="14"/>
          <w:szCs w:val="14"/>
          <w:color w:val="auto"/>
        </w:rPr>
      </w:pPr>
    </w:p>
    <w:p>
      <w:pPr>
        <w:spacing w:after="0" w:line="332" w:lineRule="exact"/>
        <w:rPr>
          <w:rFonts w:ascii="Courier New" w:cs="Courier New" w:eastAsia="Courier New" w:hAnsi="Courier New"/>
          <w:sz w:val="14"/>
          <w:szCs w:val="14"/>
          <w:color w:val="auto"/>
        </w:rPr>
      </w:pPr>
    </w:p>
    <w:p>
      <w:pPr>
        <w:ind w:left="-460" w:right="2879" w:firstLine="1391"/>
        <w:spacing w:after="0" w:line="275" w:lineRule="auto"/>
        <w:tabs>
          <w:tab w:leader="none" w:pos="1307"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give notice of each resignation and each removal of the Trustee with respect to the Securities of any series and each appointment of a successor Trustee with respect to the Securities of any series in the manner provided for notices to the Holders of Securities in Section 106. Each notice shall include the name of the successor Trustee with respect to the Securities of such series and the address of its Corporate Trust Office.</w:t>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609. Acceptance of Appointment by Successor</w:t>
      </w:r>
    </w:p>
    <w:p>
      <w:pPr>
        <w:ind w:left="120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460" w:right="2779" w:firstLine="1391"/>
        <w:spacing w:after="0" w:line="274" w:lineRule="auto"/>
        <w:tabs>
          <w:tab w:leader="none" w:pos="1307"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of the appointment hereunder of a successor Trustee with respect to all Securities, every such successor Trustee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request of the Company or the successor Trustee, such retiring Trustee shall, upon payment of</w:t>
      </w:r>
    </w:p>
    <w:p>
      <w:pPr>
        <w:spacing w:after="0" w:line="33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55</w:t>
      </w:r>
    </w:p>
    <w:p>
      <w:pPr>
        <w:sectPr>
          <w:pgSz w:w="11900" w:h="16838" w:orient="portrait"/>
          <w:cols w:equalWidth="0" w:num="1">
            <w:col w:w="9759"/>
          </w:cols>
          <w:pgMar w:left="700" w:top="654" w:right="1440" w:bottom="1440" w:gutter="0" w:footer="0" w:header="0"/>
        </w:sectPr>
      </w:pPr>
    </w:p>
    <w:bookmarkStart w:id="135" w:name="page136"/>
    <w:bookmarkEnd w:id="135"/>
    <w:p>
      <w:pPr>
        <w:ind w:right="3059"/>
        <w:spacing w:after="0" w:line="235" w:lineRule="auto"/>
        <w:rPr>
          <w:sz w:val="20"/>
          <w:szCs w:val="20"/>
          <w:color w:val="auto"/>
        </w:rPr>
      </w:pPr>
      <w:r>
        <w:rPr>
          <w:rFonts w:ascii="Courier New" w:cs="Courier New" w:eastAsia="Courier New" w:hAnsi="Courier New"/>
          <w:sz w:val="16"/>
          <w:szCs w:val="16"/>
          <w:color w:val="auto"/>
        </w:rPr>
        <w:t>its charges, execute and deliver an instrument transferring to such successor Trustee all the rights, powers and trusts of the retiring Trustee, and shall duly assign, transfer and deliver to such successor Trustee all property and money held by such retiring Trustee hereunder, subject nevertheless to its claim, if any, provided for in Section 606.</w:t>
      </w:r>
    </w:p>
    <w:p>
      <w:pPr>
        <w:spacing w:after="0" w:line="186" w:lineRule="exact"/>
        <w:rPr>
          <w:sz w:val="20"/>
          <w:szCs w:val="20"/>
          <w:color w:val="auto"/>
        </w:rPr>
      </w:pPr>
    </w:p>
    <w:p>
      <w:pPr>
        <w:ind w:right="2779" w:firstLine="1391"/>
        <w:spacing w:after="0" w:line="276" w:lineRule="auto"/>
        <w:tabs>
          <w:tab w:leader="none" w:pos="1767"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w:t>
      </w:r>
    </w:p>
    <w:p>
      <w:pPr>
        <w:spacing w:after="0" w:line="161" w:lineRule="exact"/>
        <w:rPr>
          <w:rFonts w:ascii="Courier New" w:cs="Courier New" w:eastAsia="Courier New" w:hAnsi="Courier New"/>
          <w:sz w:val="14"/>
          <w:szCs w:val="14"/>
          <w:color w:val="auto"/>
        </w:rPr>
      </w:pPr>
    </w:p>
    <w:p>
      <w:pPr>
        <w:ind w:left="1400" w:right="2959" w:firstLine="456"/>
        <w:spacing w:after="0" w:line="236" w:lineRule="auto"/>
        <w:tabs>
          <w:tab w:leader="none" w:pos="2237" w:val="left"/>
        </w:tabs>
        <w:numPr>
          <w:ilvl w:val="1"/>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w:t>
      </w:r>
    </w:p>
    <w:p>
      <w:pPr>
        <w:spacing w:after="0" w:line="182" w:lineRule="exact"/>
        <w:rPr>
          <w:rFonts w:ascii="Courier New" w:cs="Courier New" w:eastAsia="Courier New" w:hAnsi="Courier New"/>
          <w:sz w:val="16"/>
          <w:szCs w:val="16"/>
          <w:color w:val="auto"/>
        </w:rPr>
      </w:pPr>
    </w:p>
    <w:p>
      <w:pPr>
        <w:ind w:left="1400" w:right="2879" w:firstLine="456"/>
        <w:spacing w:after="0" w:line="236" w:lineRule="auto"/>
        <w:tabs>
          <w:tab w:leader="none" w:pos="2237" w:val="left"/>
        </w:tabs>
        <w:numPr>
          <w:ilvl w:val="1"/>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w:t>
      </w:r>
    </w:p>
    <w:p>
      <w:pPr>
        <w:spacing w:after="0" w:line="183" w:lineRule="exact"/>
        <w:rPr>
          <w:rFonts w:ascii="Courier New" w:cs="Courier New" w:eastAsia="Courier New" w:hAnsi="Courier New"/>
          <w:sz w:val="16"/>
          <w:szCs w:val="16"/>
          <w:color w:val="auto"/>
        </w:rPr>
      </w:pPr>
    </w:p>
    <w:p>
      <w:pPr>
        <w:ind w:left="1400" w:right="2779" w:firstLine="456"/>
        <w:spacing w:after="0" w:line="272" w:lineRule="auto"/>
        <w:tabs>
          <w:tab w:leader="none" w:pos="2237" w:val="left"/>
        </w:tabs>
        <w:numPr>
          <w:ilvl w:val="1"/>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200" w:lineRule="exact"/>
        <w:rPr>
          <w:rFonts w:ascii="Courier New" w:cs="Courier New" w:eastAsia="Courier New" w:hAnsi="Courier New"/>
          <w:sz w:val="14"/>
          <w:szCs w:val="14"/>
          <w:color w:val="auto"/>
        </w:rPr>
      </w:pPr>
    </w:p>
    <w:p>
      <w:pPr>
        <w:spacing w:after="0" w:line="320" w:lineRule="exact"/>
        <w:rPr>
          <w:rFonts w:ascii="Courier New" w:cs="Courier New" w:eastAsia="Courier New" w:hAnsi="Courier New"/>
          <w:sz w:val="14"/>
          <w:szCs w:val="14"/>
          <w:color w:val="auto"/>
        </w:rPr>
      </w:pPr>
    </w:p>
    <w:p>
      <w:pPr>
        <w:ind w:right="2779" w:firstLine="1391"/>
        <w:spacing w:after="0" w:line="235" w:lineRule="auto"/>
        <w:tabs>
          <w:tab w:leader="none" w:pos="1767"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request of any such successor Trustee, the Company shall execute any and all instruments for more fully and certainly vesting in and confirming to such successor Trustee all such rights, powers and trusts referred to in Subsection (a) or (b) of this Section, as the case may be.</w:t>
      </w:r>
    </w:p>
    <w:p>
      <w:pPr>
        <w:spacing w:after="0" w:line="184" w:lineRule="exact"/>
        <w:rPr>
          <w:rFonts w:ascii="Courier New" w:cs="Courier New" w:eastAsia="Courier New" w:hAnsi="Courier New"/>
          <w:sz w:val="16"/>
          <w:szCs w:val="16"/>
          <w:color w:val="auto"/>
        </w:rPr>
      </w:pPr>
    </w:p>
    <w:p>
      <w:pPr>
        <w:ind w:right="2959" w:firstLine="1391"/>
        <w:spacing w:after="0" w:line="235" w:lineRule="auto"/>
        <w:tabs>
          <w:tab w:leader="none" w:pos="1767"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successor Trustee shall accept its appointment unless at the time of such acceptance such successor Trustee shall be qualified and eligible under this Article.</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56</w:t>
      </w:r>
    </w:p>
    <w:p>
      <w:pPr>
        <w:sectPr>
          <w:pgSz w:w="11900" w:h="16838" w:orient="portrait"/>
          <w:cols w:equalWidth="0" w:num="1">
            <w:col w:w="10219"/>
          </w:cols>
          <w:pgMar w:left="240" w:top="654" w:right="1440" w:bottom="1440" w:gutter="0" w:footer="0" w:header="0"/>
        </w:sectPr>
      </w:pPr>
    </w:p>
    <w:bookmarkStart w:id="136" w:name="page137"/>
    <w:bookmarkEnd w:id="136"/>
    <w:p>
      <w:pPr>
        <w:ind w:left="460"/>
        <w:spacing w:after="0"/>
        <w:rPr>
          <w:sz w:val="20"/>
          <w:szCs w:val="20"/>
          <w:color w:val="auto"/>
        </w:rPr>
      </w:pPr>
      <w:r>
        <w:rPr>
          <w:rFonts w:ascii="Courier New" w:cs="Courier New" w:eastAsia="Courier New" w:hAnsi="Courier New"/>
          <w:sz w:val="16"/>
          <w:szCs w:val="16"/>
          <w:color w:val="auto"/>
        </w:rPr>
        <w:t>SECTION 610. Merger, Conversion, Consolidation or Succession to Business</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1395"/>
        <w:spacing w:after="0" w:line="236" w:lineRule="auto"/>
        <w:rPr>
          <w:sz w:val="20"/>
          <w:szCs w:val="20"/>
          <w:color w:val="auto"/>
        </w:rPr>
      </w:pPr>
      <w:r>
        <w:rPr>
          <w:rFonts w:ascii="Courier New" w:cs="Courier New" w:eastAsia="Courier New" w:hAnsi="Courier New"/>
          <w:sz w:val="16"/>
          <w:szCs w:val="16"/>
          <w:color w:val="auto"/>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shall be the successor of the Trustee hereunder, provided such corporation shall be otherwise qualified and eligible under this Article, without the execution or filing of any paper or any further act on the part of any of the parties hereto. In case any Securities or coupons shall have been authenticated, but not delivered, by the Trustee then in office, any successor by merger, conversion or consolidation to such authenticating Trustee may adopt such authentication and deliver the Securities or coupons so authenticated with the same effect as if such successor Trustee had itself authenticated such Securities or coupons. In case any Securities or coupons shall not have been authenticated by such predecessor Trustee, any such successor Trustee may authenticate and deliver such Securities or coupons, in either its own name or that of its predecessor Trustee, with the full force and effect which this Indenture provides for the certificate of authentication of the Trustee.</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611. Appointment of Authenticating Agent</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1391"/>
        <w:spacing w:after="0" w:line="271" w:lineRule="auto"/>
        <w:tabs>
          <w:tab w:leader="none" w:pos="1767"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when any of the Securities remain Outstanding, the Trustee may appoint an Authenticating Agent or Agents with respect to one or more series of Securities which shall be authorized to act on behalf of the Trustee to authenticate Securities of such series issued upon exchange, registration of transfer or partial redemption thereof, and Securities so authenticated shall be entitled to the benefits of this Indenture and shall be valid and obligatory for all purposes as if authenticated by the Trustee hereunder. Any such appointment shall be evidenced by an instrument in writing signed by a Responsible Officer of the Trustee, a copy of which instrument shall be promptly furnished to the Company.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reasonably acceptable to the Company and, except as may otherwise be provided pursuant to Section 301, shall at all times be a bank or trust company or corporation organized and doing business and in good standing under the laws of the United States of America or of any State or the District of Columbia, authorized under such laws to act as Authenticating Agent, having a combined capital and surplus of not less than $50,000,000 and subject to supervision or examination by Federal or State authorities. If such Authenticating Agent publishes reports of condition at least annually, pursuant to law or the requirements of the aforesaid supervising or examining authority, then for the purposes of this Section, the combined capital and surplus of such Authenticating Agent shall be deemed to be its combined capital and surplus as set forth in its most recent report of condition so published. In case at any time an Authenticating Agent shall cease to be eligible in accordance with the provisions of this Section, such Authenticating Agent shall resign immediately in the manner and with the effect specified in this Section.</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310" w:lineRule="exact"/>
        <w:rPr>
          <w:rFonts w:ascii="Courier New" w:cs="Courier New" w:eastAsia="Courier New" w:hAnsi="Courier New"/>
          <w:sz w:val="14"/>
          <w:szCs w:val="14"/>
          <w:color w:val="auto"/>
        </w:rPr>
      </w:pPr>
    </w:p>
    <w:p>
      <w:pPr>
        <w:ind w:right="3159" w:firstLine="1391"/>
        <w:spacing w:after="0" w:line="279" w:lineRule="auto"/>
        <w:tabs>
          <w:tab w:leader="none" w:pos="1767"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w:t>
      </w:r>
    </w:p>
    <w:p>
      <w:pPr>
        <w:spacing w:after="0" w:line="33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57</w:t>
      </w:r>
    </w:p>
    <w:p>
      <w:pPr>
        <w:sectPr>
          <w:pgSz w:w="11900" w:h="16838" w:orient="portrait"/>
          <w:cols w:equalWidth="0" w:num="1">
            <w:col w:w="10219"/>
          </w:cols>
          <w:pgMar w:left="240" w:top="648" w:right="1440" w:bottom="1440" w:gutter="0" w:footer="0" w:header="0"/>
        </w:sectPr>
      </w:pPr>
    </w:p>
    <w:bookmarkStart w:id="137" w:name="page138"/>
    <w:bookmarkEnd w:id="137"/>
    <w:p>
      <w:pPr>
        <w:ind w:right="2959"/>
        <w:spacing w:after="0" w:line="279" w:lineRule="auto"/>
        <w:rPr>
          <w:sz w:val="20"/>
          <w:szCs w:val="20"/>
          <w:color w:val="auto"/>
        </w:rPr>
      </w:pPr>
      <w:r>
        <w:rPr>
          <w:rFonts w:ascii="Courier New" w:cs="Courier New" w:eastAsia="Courier New" w:hAnsi="Courier New"/>
          <w:sz w:val="14"/>
          <w:szCs w:val="14"/>
          <w:color w:val="auto"/>
        </w:rPr>
        <w:t>corporate agency or corporate trust business of an Authenticating Agent, shall continue to be an Authenticating Agent, provided such corporation shall be otherwise eligible under this Section, without the execution or filing of any paper or further act on the part of the Trustee or the Authenticating Agent.</w:t>
      </w:r>
    </w:p>
    <w:p>
      <w:pPr>
        <w:spacing w:after="0" w:line="157" w:lineRule="exact"/>
        <w:rPr>
          <w:sz w:val="20"/>
          <w:szCs w:val="20"/>
          <w:color w:val="auto"/>
        </w:rPr>
      </w:pPr>
    </w:p>
    <w:p>
      <w:pPr>
        <w:ind w:right="2779" w:firstLine="1391"/>
        <w:spacing w:after="0" w:line="272" w:lineRule="auto"/>
        <w:tabs>
          <w:tab w:leader="none" w:pos="1767"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Authenticating Agent for any series of Securities may at any time resign by giving written notice of resignation to the Trustee for such series and to the Company. The Trustee for any series of Securities may at any time terminate the agency of an Authenticating Agent by giving written notice of termination to such Authenticating Agent and to the Company. Upon receiving such a notice of resignation or upon such a termination, or in case at any time such Authenticating Agent shall cease to be eligible in accordance with the provisions of this Section, the Trustee for such series may appoint a successor Authenticating Agent which shall be acceptable to the Company and shall give notice of such appointment to all Holders of Securities of the series with respect to which such Authenticating Agent will serve in the manner set forth in Section 106. Any successor Authenticating Agent upon acceptance of its appointment hereunder shall become vested with all the rights, powers and duties of its predecessor hereunder, with like effect as if originally named as an Authenticating Agent herein. No successor Authenticating Agent shall be appointed unless eligible under the provisions of this Section.</w:t>
      </w:r>
    </w:p>
    <w:p>
      <w:pPr>
        <w:spacing w:after="0" w:line="345" w:lineRule="exact"/>
        <w:rPr>
          <w:rFonts w:ascii="Courier New" w:cs="Courier New" w:eastAsia="Courier New" w:hAnsi="Courier New"/>
          <w:sz w:val="14"/>
          <w:szCs w:val="14"/>
          <w:color w:val="auto"/>
        </w:rPr>
      </w:pPr>
    </w:p>
    <w:p>
      <w:pPr>
        <w:jc w:val="both"/>
        <w:ind w:right="2959" w:firstLine="1391"/>
        <w:spacing w:after="0" w:line="235" w:lineRule="auto"/>
        <w:tabs>
          <w:tab w:leader="none" w:pos="1767"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agrees to pay to each Authenticating Agent from time to time reasonable compensation including reimbursement of its reasonable expenses for its services under this Section.</w:t>
      </w:r>
    </w:p>
    <w:p>
      <w:pPr>
        <w:spacing w:after="0" w:line="183" w:lineRule="exact"/>
        <w:rPr>
          <w:rFonts w:ascii="Courier New" w:cs="Courier New" w:eastAsia="Courier New" w:hAnsi="Courier New"/>
          <w:sz w:val="16"/>
          <w:szCs w:val="16"/>
          <w:color w:val="auto"/>
        </w:rPr>
      </w:pPr>
    </w:p>
    <w:p>
      <w:pPr>
        <w:ind w:right="2879" w:firstLine="1391"/>
        <w:spacing w:after="0" w:line="235" w:lineRule="auto"/>
        <w:tabs>
          <w:tab w:leader="none" w:pos="1767"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 appointment with respect to one or more series is made pursuant to this Section, the Securities of such series may have endorsed thereon, in addition to or in lieu of the Trustee's certificate of authentication, an alternate certificate of authentication substantially in the following form:</w:t>
      </w:r>
    </w:p>
    <w:p>
      <w:pPr>
        <w:spacing w:after="0" w:line="186" w:lineRule="exact"/>
        <w:rPr>
          <w:sz w:val="20"/>
          <w:szCs w:val="20"/>
          <w:color w:val="auto"/>
        </w:rPr>
      </w:pPr>
    </w:p>
    <w:p>
      <w:pPr>
        <w:ind w:right="3059" w:firstLine="1395"/>
        <w:spacing w:after="0" w:line="234" w:lineRule="auto"/>
        <w:rPr>
          <w:sz w:val="20"/>
          <w:szCs w:val="20"/>
          <w:color w:val="auto"/>
        </w:rPr>
      </w:pPr>
      <w:r>
        <w:rPr>
          <w:rFonts w:ascii="Courier New" w:cs="Courier New" w:eastAsia="Courier New" w:hAnsi="Courier New"/>
          <w:sz w:val="16"/>
          <w:szCs w:val="16"/>
          <w:color w:val="auto"/>
        </w:rPr>
        <w:t>This is one of the Securities of the series designated therein referred to in the within-mentioned Indenture.</w:t>
      </w:r>
    </w:p>
    <w:p>
      <w:pPr>
        <w:spacing w:after="0" w:line="177" w:lineRule="exact"/>
        <w:rPr>
          <w:sz w:val="20"/>
          <w:szCs w:val="20"/>
          <w:color w:val="auto"/>
        </w:rPr>
      </w:pPr>
    </w:p>
    <w:p>
      <w:pPr>
        <w:ind w:left="3620"/>
        <w:spacing w:after="0"/>
        <w:tabs>
          <w:tab w:leader="none" w:pos="68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ind w:left="3720"/>
        <w:spacing w:after="0" w:line="236" w:lineRule="auto"/>
        <w:rPr>
          <w:sz w:val="20"/>
          <w:szCs w:val="20"/>
          <w:color w:val="auto"/>
        </w:rPr>
      </w:pPr>
      <w:r>
        <w:rPr>
          <w:rFonts w:ascii="Courier New" w:cs="Courier New" w:eastAsia="Courier New" w:hAnsi="Courier New"/>
          <w:sz w:val="16"/>
          <w:szCs w:val="16"/>
          <w:color w:val="auto"/>
        </w:rPr>
        <w:t>----------------------------------</w:t>
      </w:r>
    </w:p>
    <w:p>
      <w:pPr>
        <w:ind w:left="3900"/>
        <w:spacing w:after="0" w:line="237" w:lineRule="auto"/>
        <w:rPr>
          <w:sz w:val="20"/>
          <w:szCs w:val="20"/>
          <w:color w:val="auto"/>
        </w:rPr>
      </w:pPr>
      <w:r>
        <w:rPr>
          <w:rFonts w:ascii="Courier New" w:cs="Courier New" w:eastAsia="Courier New" w:hAnsi="Courier New"/>
          <w:sz w:val="16"/>
          <w:szCs w:val="16"/>
          <w:color w:val="auto"/>
        </w:rPr>
        <w:t>as Trustee</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By</w:t>
      </w:r>
    </w:p>
    <w:p>
      <w:pPr>
        <w:ind w:left="3900"/>
        <w:spacing w:after="0" w:line="236" w:lineRule="auto"/>
        <w:rPr>
          <w:sz w:val="20"/>
          <w:szCs w:val="20"/>
          <w:color w:val="auto"/>
        </w:rPr>
      </w:pPr>
      <w:r>
        <w:rPr>
          <w:rFonts w:ascii="Courier New" w:cs="Courier New" w:eastAsia="Courier New" w:hAnsi="Courier New"/>
          <w:sz w:val="16"/>
          <w:szCs w:val="16"/>
          <w:color w:val="auto"/>
        </w:rPr>
        <w:t>--------------------------------</w:t>
      </w:r>
    </w:p>
    <w:p>
      <w:pPr>
        <w:jc w:val="center"/>
        <w:ind w:right="279"/>
        <w:spacing w:after="0" w:line="237" w:lineRule="auto"/>
        <w:rPr>
          <w:sz w:val="20"/>
          <w:szCs w:val="20"/>
          <w:color w:val="auto"/>
        </w:rPr>
      </w:pPr>
      <w:r>
        <w:rPr>
          <w:rFonts w:ascii="Courier New" w:cs="Courier New" w:eastAsia="Courier New" w:hAnsi="Courier New"/>
          <w:sz w:val="16"/>
          <w:szCs w:val="16"/>
          <w:color w:val="auto"/>
        </w:rPr>
        <w:t>as Authenticating Agent</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By</w:t>
      </w:r>
    </w:p>
    <w:p>
      <w:pPr>
        <w:ind w:left="3900"/>
        <w:spacing w:after="0" w:line="236" w:lineRule="auto"/>
        <w:rPr>
          <w:sz w:val="20"/>
          <w:szCs w:val="20"/>
          <w:color w:val="auto"/>
        </w:rPr>
      </w:pPr>
      <w:r>
        <w:rPr>
          <w:rFonts w:ascii="Courier New" w:cs="Courier New" w:eastAsia="Courier New" w:hAnsi="Courier New"/>
          <w:sz w:val="16"/>
          <w:szCs w:val="16"/>
          <w:color w:val="auto"/>
        </w:rPr>
        <w:t>--------------------------------</w:t>
      </w:r>
    </w:p>
    <w:p>
      <w:pPr>
        <w:ind w:left="3900"/>
        <w:spacing w:after="0" w:line="237" w:lineRule="auto"/>
        <w:rPr>
          <w:sz w:val="20"/>
          <w:szCs w:val="20"/>
          <w:color w:val="auto"/>
        </w:rPr>
      </w:pPr>
      <w:r>
        <w:rPr>
          <w:rFonts w:ascii="Courier New" w:cs="Courier New" w:eastAsia="Courier New" w:hAnsi="Courier New"/>
          <w:sz w:val="16"/>
          <w:szCs w:val="16"/>
          <w:color w:val="auto"/>
        </w:rPr>
        <w:t>Authorized Signatory</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612. Conflicting Interests</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jc w:val="both"/>
        <w:ind w:right="2779" w:firstLine="1395"/>
        <w:spacing w:after="0" w:line="235" w:lineRule="auto"/>
        <w:rPr>
          <w:sz w:val="20"/>
          <w:szCs w:val="20"/>
          <w:color w:val="auto"/>
        </w:rPr>
      </w:pPr>
      <w:r>
        <w:rPr>
          <w:rFonts w:ascii="Courier New" w:cs="Courier New" w:eastAsia="Courier New" w:hAnsi="Courier New"/>
          <w:sz w:val="16"/>
          <w:szCs w:val="16"/>
          <w:color w:val="auto"/>
        </w:rPr>
        <w:t>The Trustee shall comply with the provisions of Section 310(b) of the Trust Indenture Act. [Disclosure of any Subordinated Indenture entered into between the Company and the Trustee.]</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58</w:t>
      </w:r>
    </w:p>
    <w:p>
      <w:pPr>
        <w:sectPr>
          <w:pgSz w:w="11900" w:h="16838" w:orient="portrait"/>
          <w:cols w:equalWidth="0" w:num="1">
            <w:col w:w="10219"/>
          </w:cols>
          <w:pgMar w:left="240" w:top="655" w:right="1440" w:bottom="1440" w:gutter="0" w:footer="0" w:header="0"/>
        </w:sectPr>
      </w:pPr>
    </w:p>
    <w:bookmarkStart w:id="138" w:name="page139"/>
    <w:bookmarkEnd w:id="138"/>
    <w:p>
      <w:pPr>
        <w:spacing w:after="0"/>
        <w:rPr>
          <w:sz w:val="20"/>
          <w:szCs w:val="20"/>
          <w:color w:val="auto"/>
        </w:rPr>
      </w:pPr>
      <w:r>
        <w:rPr>
          <w:rFonts w:ascii="Courier New" w:cs="Courier New" w:eastAsia="Courier New" w:hAnsi="Courier New"/>
          <w:sz w:val="16"/>
          <w:szCs w:val="16"/>
          <w:color w:val="auto"/>
        </w:rPr>
        <w:t>SECTION 613. Appointment of Co-Trustee</w:t>
      </w:r>
    </w:p>
    <w:p>
      <w:pPr>
        <w:ind w:left="120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460" w:right="2779" w:firstLine="1391"/>
        <w:spacing w:after="0" w:line="273" w:lineRule="auto"/>
        <w:tabs>
          <w:tab w:leader="none" w:pos="1307"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 of meeting any legal requirements of any jurisdiction in which the Company may at the time be located in connection with the enforcement of any right or the taking of any action on behalf of the Holders of any Securities issued hereunder, the Trustee shall have the power and may execute and deliver all instruments necessary to appoint one or more Persons to act as a co-trustee or co-trustees, or separate trustee or separate trustees, such powers, duties, obligations, rights and trusts as the Trustee may consider necessary or desirable. Each co-trustee or separate trustee hereunder shall be required to meet the terms of eligibility as a trustee under Section 607. The Trustee shall promptly notify the Holders and the Company of the appointment of a co-trustee or separate trustee under this section.</w:t>
      </w:r>
    </w:p>
    <w:p>
      <w:pPr>
        <w:spacing w:after="0" w:line="162" w:lineRule="exact"/>
        <w:rPr>
          <w:rFonts w:ascii="Courier New" w:cs="Courier New" w:eastAsia="Courier New" w:hAnsi="Courier New"/>
          <w:sz w:val="14"/>
          <w:szCs w:val="14"/>
          <w:color w:val="auto"/>
        </w:rPr>
      </w:pPr>
    </w:p>
    <w:p>
      <w:pPr>
        <w:ind w:left="-460" w:right="2959" w:firstLine="1391"/>
        <w:spacing w:after="0" w:line="235" w:lineRule="auto"/>
        <w:tabs>
          <w:tab w:leader="none" w:pos="1307"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Every separate trustee and co-trustee shall, to the extent permitted by law, be appointed and act subject to the following provisions and conditions:</w:t>
      </w:r>
    </w:p>
    <w:p>
      <w:pPr>
        <w:spacing w:after="0" w:line="183" w:lineRule="exact"/>
        <w:rPr>
          <w:rFonts w:ascii="Courier New" w:cs="Courier New" w:eastAsia="Courier New" w:hAnsi="Courier New"/>
          <w:sz w:val="16"/>
          <w:szCs w:val="16"/>
          <w:color w:val="auto"/>
        </w:rPr>
      </w:pPr>
    </w:p>
    <w:p>
      <w:pPr>
        <w:ind w:left="940" w:right="2779" w:firstLine="456"/>
        <w:spacing w:after="0" w:line="236" w:lineRule="auto"/>
        <w:tabs>
          <w:tab w:leader="none" w:pos="1777" w:val="left"/>
        </w:tabs>
        <w:numPr>
          <w:ilvl w:val="1"/>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rights, powers, duties and obligations conferred or imposed upon the Trustee shall be conferred or imposed upon and exercised or performed by the Trustee and such separate trustee or co-trustee jointly (it being understood that such separate trustee or co-trustee is not authorized to act separately without the Trustee joining in such act), except to the extent that under any law of any jurisdiction in which any particular act or acts are to be performed the Trustee shall be incompetent or unqualified to perform such act or acts, in which event such rights, powers, duties and obligations shall be exercised and performed singly by such separate trustee or co-trustee, but solely at the direction of the Trustee;</w:t>
      </w:r>
    </w:p>
    <w:p>
      <w:pPr>
        <w:spacing w:after="0" w:line="186" w:lineRule="exact"/>
        <w:rPr>
          <w:rFonts w:ascii="Courier New" w:cs="Courier New" w:eastAsia="Courier New" w:hAnsi="Courier New"/>
          <w:sz w:val="16"/>
          <w:szCs w:val="16"/>
          <w:color w:val="auto"/>
        </w:rPr>
      </w:pPr>
    </w:p>
    <w:p>
      <w:pPr>
        <w:ind w:left="940" w:right="3159" w:firstLine="456"/>
        <w:spacing w:after="0" w:line="295" w:lineRule="auto"/>
        <w:tabs>
          <w:tab w:leader="none" w:pos="1777" w:val="left"/>
        </w:tabs>
        <w:numPr>
          <w:ilvl w:val="1"/>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trustee hereunder shall be personally liable by reason of any act or omission of any other trustee hereunder;</w:t>
      </w:r>
    </w:p>
    <w:p>
      <w:pPr>
        <w:spacing w:after="0" w:line="146" w:lineRule="exact"/>
        <w:rPr>
          <w:rFonts w:ascii="Courier New" w:cs="Courier New" w:eastAsia="Courier New" w:hAnsi="Courier New"/>
          <w:sz w:val="14"/>
          <w:szCs w:val="14"/>
          <w:color w:val="auto"/>
        </w:rPr>
      </w:pPr>
    </w:p>
    <w:p>
      <w:pPr>
        <w:ind w:left="940" w:right="2779" w:firstLine="456"/>
        <w:spacing w:after="0" w:line="234" w:lineRule="auto"/>
        <w:tabs>
          <w:tab w:leader="none" w:pos="1777" w:val="left"/>
        </w:tabs>
        <w:numPr>
          <w:ilvl w:val="1"/>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at any time accept the resignation of or remove any separate trustee or co-trustee;</w:t>
      </w:r>
    </w:p>
    <w:p>
      <w:pPr>
        <w:spacing w:after="0" w:line="183" w:lineRule="exact"/>
        <w:rPr>
          <w:rFonts w:ascii="Courier New" w:cs="Courier New" w:eastAsia="Courier New" w:hAnsi="Courier New"/>
          <w:sz w:val="16"/>
          <w:szCs w:val="16"/>
          <w:color w:val="auto"/>
        </w:rPr>
      </w:pPr>
    </w:p>
    <w:p>
      <w:pPr>
        <w:ind w:left="940" w:right="2779" w:firstLine="456"/>
        <w:spacing w:after="0" w:line="272" w:lineRule="auto"/>
        <w:tabs>
          <w:tab w:leader="none" w:pos="1777" w:val="left"/>
        </w:tabs>
        <w:numPr>
          <w:ilvl w:val="1"/>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notice, request or other writing given to the Trustee shall be deemed to have been given to each of the then separate trustees and co-trustees, as effectively as if given to each of them. Every instrument appointing any separate trustee or co-trustee shall refer to this Indenture and the conditions of this Article Six. Each separate trustee and co-trustee, upon its acceptance of the trusts conferred, shall be vested with the estates or property specified in its instrument of appointment, either jointly with the Trustee or separately, as may be provided therein, subject to all the provisions of this Indenture, specifically including every provision of this Indenture relating to the conduct of, affecting the liability of, or affording protection or rights (including the rights to compensation, reimbursement and indemnification hereunder) to, the Trustee. Every such instrument shall be filed with the Trustee; and</w:t>
      </w:r>
    </w:p>
    <w:p>
      <w:pPr>
        <w:spacing w:after="0" w:line="345" w:lineRule="exact"/>
        <w:rPr>
          <w:rFonts w:ascii="Courier New" w:cs="Courier New" w:eastAsia="Courier New" w:hAnsi="Courier New"/>
          <w:sz w:val="14"/>
          <w:szCs w:val="14"/>
          <w:color w:val="auto"/>
        </w:rPr>
      </w:pPr>
    </w:p>
    <w:p>
      <w:pPr>
        <w:ind w:left="940" w:right="2959" w:firstLine="456"/>
        <w:spacing w:after="0" w:line="283" w:lineRule="auto"/>
        <w:tabs>
          <w:tab w:leader="none" w:pos="1777" w:val="left"/>
        </w:tabs>
        <w:numPr>
          <w:ilvl w:val="1"/>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separate trustee or co-trustee may at any time constitute the Trustee its agent or attorney-in-fact with full power and authority, to the extent not prohibited by law, to do</w:t>
      </w:r>
    </w:p>
    <w:p>
      <w:pPr>
        <w:spacing w:after="0" w:line="32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59</w:t>
      </w:r>
    </w:p>
    <w:p>
      <w:pPr>
        <w:sectPr>
          <w:pgSz w:w="11900" w:h="16838" w:orient="portrait"/>
          <w:cols w:equalWidth="0" w:num="1">
            <w:col w:w="9759"/>
          </w:cols>
          <w:pgMar w:left="700" w:top="648" w:right="1440" w:bottom="1440" w:gutter="0" w:footer="0" w:header="0"/>
        </w:sectPr>
      </w:pPr>
    </w:p>
    <w:bookmarkStart w:id="139" w:name="page140"/>
    <w:bookmarkEnd w:id="139"/>
    <w:p>
      <w:pPr>
        <w:ind w:left="1400" w:right="2959"/>
        <w:spacing w:after="0" w:line="235" w:lineRule="auto"/>
        <w:rPr>
          <w:sz w:val="20"/>
          <w:szCs w:val="20"/>
          <w:color w:val="auto"/>
        </w:rPr>
      </w:pPr>
      <w:r>
        <w:rPr>
          <w:rFonts w:ascii="Courier New" w:cs="Courier New" w:eastAsia="Courier New" w:hAnsi="Courier New"/>
          <w:sz w:val="16"/>
          <w:szCs w:val="16"/>
          <w:color w:val="auto"/>
        </w:rPr>
        <w:t>any lawful act under or in respect of this Indenture on its behalf and in its name for the purposes of enforcing any rights or taking any other action on behalf of the Holders of any Securities issued hereunder.</w:t>
      </w:r>
    </w:p>
    <w:p>
      <w:pPr>
        <w:spacing w:after="0" w:line="17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614. Trustee's Application for Instructions from the Company</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1395"/>
        <w:spacing w:after="0" w:line="273" w:lineRule="auto"/>
        <w:rPr>
          <w:sz w:val="20"/>
          <w:szCs w:val="20"/>
          <w:color w:val="auto"/>
        </w:rPr>
      </w:pPr>
      <w:r>
        <w:rPr>
          <w:rFonts w:ascii="Courier New" w:cs="Courier New" w:eastAsia="Courier New" w:hAnsi="Courier New"/>
          <w:sz w:val="14"/>
          <w:szCs w:val="14"/>
          <w:color w:val="auto"/>
        </w:rPr>
        <w:t>Any application by the Trustee for written instructions from the Company may, at the option of the Trustee, set forth in writing any action proposed to be taken or omitted by the Trustee under this Indenture and the date on and/or after which such action shall be taken or such omission shall be effective. The Trustee shall not be liable for any action taken by, or omission of, the Trustee in accordance with a proposal included in such application on or after the date specified in such application (which date shall not be less than five Business Days after the date any officer of the Company actually receives such application, unless any such officer shall have consented in writing to any earlier date) unless prior to taking any such action (or the effective date in the case of an omission), the Trustee shall have received written instructions in response to such application specifying the action to be taken or omitted.</w:t>
      </w:r>
    </w:p>
    <w:p>
      <w:pPr>
        <w:spacing w:after="0" w:line="33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ARTICLE SEVEN</w:t>
      </w:r>
    </w:p>
    <w:p>
      <w:pPr>
        <w:ind w:left="1480"/>
        <w:spacing w:after="0" w:line="236" w:lineRule="auto"/>
        <w:rPr>
          <w:sz w:val="20"/>
          <w:szCs w:val="20"/>
          <w:color w:val="auto"/>
        </w:rPr>
      </w:pPr>
      <w:r>
        <w:rPr>
          <w:rFonts w:ascii="Courier New" w:cs="Courier New" w:eastAsia="Courier New" w:hAnsi="Courier New"/>
          <w:sz w:val="16"/>
          <w:szCs w:val="16"/>
          <w:color w:val="auto"/>
        </w:rPr>
        <w:t>HOLDERS' LISTS AND REPORTS BY TRUSTEE AND COMPANY</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701. Disclosure of Names and Addresses of Holders</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The Company will furnish or cause to be furnished to the Trustee:</w:t>
      </w:r>
    </w:p>
    <w:p>
      <w:pPr>
        <w:spacing w:after="0" w:line="183" w:lineRule="exact"/>
        <w:rPr>
          <w:sz w:val="20"/>
          <w:szCs w:val="20"/>
          <w:color w:val="auto"/>
        </w:rPr>
      </w:pPr>
    </w:p>
    <w:p>
      <w:pPr>
        <w:ind w:right="2779" w:firstLine="1391"/>
        <w:spacing w:after="0" w:line="236" w:lineRule="auto"/>
        <w:tabs>
          <w:tab w:leader="none" w:pos="1767"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semiannually, not later than 15 days after each Regular Record Date for Securities of each series at the time Outstanding, a list in such form as the Trustee may reasonably require, of the names and addresses of the Holders of Registered Securities as of such Regular Record Date, or if there is no Regular Record Date for interest for such series of Securities, semiannually, upon such dates as are set forth in the Board Resolution, Officers' Certificates indenture supplemental hereto authorizing such series, and</w:t>
      </w:r>
    </w:p>
    <w:p>
      <w:pPr>
        <w:spacing w:after="0" w:line="184" w:lineRule="exact"/>
        <w:rPr>
          <w:rFonts w:ascii="Courier New" w:cs="Courier New" w:eastAsia="Courier New" w:hAnsi="Courier New"/>
          <w:sz w:val="16"/>
          <w:szCs w:val="16"/>
          <w:color w:val="auto"/>
        </w:rPr>
      </w:pPr>
    </w:p>
    <w:p>
      <w:pPr>
        <w:ind w:right="2959" w:firstLine="1391"/>
        <w:spacing w:after="0" w:line="235" w:lineRule="auto"/>
        <w:tabs>
          <w:tab w:leader="none" w:pos="1767"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such other times as the Trustee may request in writing, within 30 days after the receipt by the Company of any such request, a list of similar form and content as of a date not more than 15 days prior to the time such list is furnished;</w:t>
      </w:r>
    </w:p>
    <w:p>
      <w:pPr>
        <w:spacing w:after="0" w:line="185" w:lineRule="exact"/>
        <w:rPr>
          <w:sz w:val="20"/>
          <w:szCs w:val="20"/>
          <w:color w:val="auto"/>
        </w:rPr>
      </w:pPr>
    </w:p>
    <w:p>
      <w:pPr>
        <w:ind w:right="2959"/>
        <w:spacing w:after="0" w:line="234" w:lineRule="auto"/>
        <w:rPr>
          <w:sz w:val="20"/>
          <w:szCs w:val="20"/>
          <w:color w:val="auto"/>
        </w:rPr>
      </w:pPr>
      <w:r>
        <w:rPr>
          <w:rFonts w:ascii="Courier New" w:cs="Courier New" w:eastAsia="Courier New" w:hAnsi="Courier New"/>
          <w:sz w:val="16"/>
          <w:szCs w:val="16"/>
          <w:color w:val="auto"/>
        </w:rPr>
        <w:t>provided, that, so long as the Trustee is the Security Registrar, no such list shall be required to be furnished.</w:t>
      </w:r>
    </w:p>
    <w:p>
      <w:pPr>
        <w:spacing w:after="0" w:line="183" w:lineRule="exact"/>
        <w:rPr>
          <w:sz w:val="20"/>
          <w:szCs w:val="20"/>
          <w:color w:val="auto"/>
        </w:rPr>
      </w:pPr>
    </w:p>
    <w:p>
      <w:pPr>
        <w:ind w:right="2779" w:firstLine="1391"/>
        <w:spacing w:after="0" w:line="236" w:lineRule="auto"/>
        <w:tabs>
          <w:tab w:leader="none" w:pos="1767"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preserve, in as current a form as is reasonably practicable, the names and addresses of Holders contained in the most recent list furnished to the Trustee as provided in Section 701 and the names and addresses of Holders received by the Trustee in its capacity as Security Registrar. The Trustee may destroy any list furnished to it as provided in Section 701 upon receipt of a new list so furnished.</w:t>
      </w:r>
    </w:p>
    <w:p>
      <w:pPr>
        <w:spacing w:after="0" w:line="182" w:lineRule="exact"/>
        <w:rPr>
          <w:rFonts w:ascii="Courier New" w:cs="Courier New" w:eastAsia="Courier New" w:hAnsi="Courier New"/>
          <w:sz w:val="16"/>
          <w:szCs w:val="16"/>
          <w:color w:val="auto"/>
        </w:rPr>
      </w:pPr>
    </w:p>
    <w:p>
      <w:pPr>
        <w:jc w:val="both"/>
        <w:ind w:right="2879" w:firstLine="1391"/>
        <w:spacing w:after="0" w:line="235" w:lineRule="auto"/>
        <w:tabs>
          <w:tab w:leader="none" w:pos="1767"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of the Holders to communicate with other Holders with respect to their rights under this Indenture or under the Securities, and the corresponding rights and privileges of the Trustee, shall be as provided by the Trust Indenture Act.</w:t>
      </w:r>
    </w:p>
    <w:p>
      <w:pPr>
        <w:spacing w:after="0" w:line="35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60</w:t>
      </w:r>
    </w:p>
    <w:p>
      <w:pPr>
        <w:sectPr>
          <w:pgSz w:w="11900" w:h="16838" w:orient="portrait"/>
          <w:cols w:equalWidth="0" w:num="1">
            <w:col w:w="10219"/>
          </w:cols>
          <w:pgMar w:left="240" w:top="654" w:right="1440" w:bottom="1440" w:gutter="0" w:footer="0" w:header="0"/>
        </w:sectPr>
      </w:pPr>
    </w:p>
    <w:bookmarkStart w:id="140" w:name="page141"/>
    <w:bookmarkEnd w:id="140"/>
    <w:p>
      <w:pPr>
        <w:ind w:right="2879" w:firstLine="1391"/>
        <w:spacing w:after="0" w:line="236" w:lineRule="auto"/>
        <w:tabs>
          <w:tab w:leader="none" w:pos="1767"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Every Holder of Securities or coupons, by receiving and holding the same, agrees with the Company and the Trustee that neither the Company nor the Trustee nor any Authenticating Agent nor any Paying Agent nor any Security Registrar shall be held accountable by reason of the disclosure of any information as to the names and addresses of the Holders of Securities in accordance with TIA Section 312, regardless of the source from which such information was derived, and that the Trustee shall not be held accountable by reason of mailing any material pursuant to a request made under TIA Section 312(b).</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702. Reports by Trustee</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879" w:firstLine="1395"/>
        <w:spacing w:after="0" w:line="235" w:lineRule="auto"/>
        <w:rPr>
          <w:sz w:val="20"/>
          <w:szCs w:val="20"/>
          <w:color w:val="auto"/>
        </w:rPr>
      </w:pPr>
      <w:r>
        <w:rPr>
          <w:rFonts w:ascii="Courier New" w:cs="Courier New" w:eastAsia="Courier New" w:hAnsi="Courier New"/>
          <w:sz w:val="16"/>
          <w:szCs w:val="16"/>
          <w:color w:val="auto"/>
        </w:rPr>
        <w:t>Within 60 days after May 15 of each year commencing with the first May 15 after the first issuance of Securities pursuant to this Indenture, the Trustee shall transmit by mail to all Holders of Securities as provided in TIA Section 313(c) a brief report dated as of such May 15 if required by TIA Section 313(a).</w:t>
      </w:r>
    </w:p>
    <w:p>
      <w:pPr>
        <w:spacing w:after="0" w:line="186" w:lineRule="exact"/>
        <w:rPr>
          <w:sz w:val="20"/>
          <w:szCs w:val="20"/>
          <w:color w:val="auto"/>
        </w:rPr>
      </w:pPr>
    </w:p>
    <w:p>
      <w:pPr>
        <w:ind w:right="3059" w:firstLine="1395"/>
        <w:spacing w:after="0" w:line="235" w:lineRule="auto"/>
        <w:rPr>
          <w:sz w:val="20"/>
          <w:szCs w:val="20"/>
          <w:color w:val="auto"/>
        </w:rPr>
      </w:pPr>
      <w:r>
        <w:rPr>
          <w:rFonts w:ascii="Courier New" w:cs="Courier New" w:eastAsia="Courier New" w:hAnsi="Courier New"/>
          <w:sz w:val="16"/>
          <w:szCs w:val="16"/>
          <w:color w:val="auto"/>
        </w:rPr>
        <w:t>A copy of each such report shall, at the time of such transmission to Holders, be filed by the Trustee with each stock exchange, if any, upon which the Securities are listed, with the Commission and with the Company. The Company will promptly notify the Trustee of the listing or de-listing of the Securities on any stock exchange.</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703. Reports by Company</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The Company will:</w:t>
      </w:r>
    </w:p>
    <w:p>
      <w:pPr>
        <w:spacing w:after="0" w:line="183" w:lineRule="exact"/>
        <w:rPr>
          <w:sz w:val="20"/>
          <w:szCs w:val="20"/>
          <w:color w:val="auto"/>
        </w:rPr>
      </w:pPr>
    </w:p>
    <w:p>
      <w:pPr>
        <w:ind w:right="2879" w:firstLine="1391"/>
        <w:spacing w:after="0" w:line="272" w:lineRule="auto"/>
        <w:tabs>
          <w:tab w:leader="none" w:pos="1767"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 with the Trustee, within 15 days after the Company is required to file the same with the Commission, copies of the annual reports and of the information, documents, and other reports (or copies of such portions of any of the foregoing as the Commission may from time to time by rules and regulations prescribe) which the Company may be required to file with the Commission pursuant to Section 13 or Section 15(d) of the Securities Exchange Act of 1934; or, if the Company is not required to file information, documents or reports pursuant to either of such Sections, then it will file with the Trustee and the Commission, in accordance with rules and regulations prescribed from time to time by the Commission, such of the supplementary and periodic information, documents and reports which may be required pursuant to Section 13 of the Securities Exchange Act of 1934 in respect of a security listed and registered on a national securities exchange as may be prescribed from time to time in such rules and regulations;</w:t>
      </w:r>
    </w:p>
    <w:p>
      <w:pPr>
        <w:spacing w:after="0" w:line="346" w:lineRule="exact"/>
        <w:rPr>
          <w:rFonts w:ascii="Courier New" w:cs="Courier New" w:eastAsia="Courier New" w:hAnsi="Courier New"/>
          <w:sz w:val="14"/>
          <w:szCs w:val="14"/>
          <w:color w:val="auto"/>
        </w:rPr>
      </w:pPr>
    </w:p>
    <w:p>
      <w:pPr>
        <w:ind w:right="2879" w:firstLine="1391"/>
        <w:spacing w:after="0" w:line="276" w:lineRule="auto"/>
        <w:tabs>
          <w:tab w:leader="none" w:pos="1767"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 with the Trustee and the Commission, in accordance with rules and regulations prescribed from time to time by the Commission, such additional information, documents and reports with respect to compliance by the Company with the conditions and covenants of this Indenture as may be required from time to time by such rules and regulations; and</w:t>
      </w:r>
    </w:p>
    <w:p>
      <w:pPr>
        <w:spacing w:after="0" w:line="161" w:lineRule="exact"/>
        <w:rPr>
          <w:rFonts w:ascii="Courier New" w:cs="Courier New" w:eastAsia="Courier New" w:hAnsi="Courier New"/>
          <w:sz w:val="14"/>
          <w:szCs w:val="14"/>
          <w:color w:val="auto"/>
        </w:rPr>
      </w:pPr>
    </w:p>
    <w:p>
      <w:pPr>
        <w:ind w:right="2779" w:firstLine="1391"/>
        <w:spacing w:after="0" w:line="236" w:lineRule="auto"/>
        <w:tabs>
          <w:tab w:leader="none" w:pos="1767" w:val="left"/>
        </w:tabs>
        <w:numPr>
          <w:ilvl w:val="0"/>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transmit by mail to the Holders of Securities, within 30 days after the filing thereof with the Trustee, in the manner and to the extent provided in TIA Section 313(c), such summaries of any information, documents and reports required to be filed by the Company pursuant to Subsection (a) and (b) of this Section 703 as may be required by rules and regulations prescribed from time to time by the Commission.</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61</w:t>
      </w:r>
    </w:p>
    <w:p>
      <w:pPr>
        <w:sectPr>
          <w:pgSz w:w="11900" w:h="16838" w:orient="portrait"/>
          <w:cols w:equalWidth="0" w:num="1">
            <w:col w:w="10219"/>
          </w:cols>
          <w:pgMar w:left="240" w:top="654" w:right="1440" w:bottom="1440" w:gutter="0" w:footer="0" w:header="0"/>
        </w:sectPr>
      </w:pPr>
    </w:p>
    <w:bookmarkStart w:id="141" w:name="page142"/>
    <w:bookmarkEnd w:id="141"/>
    <w:p>
      <w:pPr>
        <w:ind w:right="2779" w:firstLine="1391"/>
        <w:spacing w:after="0" w:line="236" w:lineRule="auto"/>
        <w:tabs>
          <w:tab w:leader="none" w:pos="1767"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704. Calculation of Original Issue Discount</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3239" w:firstLine="1395"/>
        <w:spacing w:after="0" w:line="234" w:lineRule="auto"/>
        <w:rPr>
          <w:sz w:val="20"/>
          <w:szCs w:val="20"/>
          <w:color w:val="auto"/>
        </w:rPr>
      </w:pPr>
      <w:r>
        <w:rPr>
          <w:rFonts w:ascii="Courier New" w:cs="Courier New" w:eastAsia="Courier New" w:hAnsi="Courier New"/>
          <w:sz w:val="16"/>
          <w:szCs w:val="16"/>
          <w:color w:val="auto"/>
        </w:rPr>
        <w:t>Upon request of the Trustee, the Company shall file with the Trustee promptly at the end of each calendar year</w:t>
      </w:r>
    </w:p>
    <w:p>
      <w:pPr>
        <w:spacing w:after="0" w:line="183" w:lineRule="exact"/>
        <w:rPr>
          <w:sz w:val="20"/>
          <w:szCs w:val="20"/>
          <w:color w:val="auto"/>
        </w:rPr>
      </w:pPr>
    </w:p>
    <w:p>
      <w:pPr>
        <w:ind w:right="3239" w:firstLine="1391"/>
        <w:spacing w:after="0" w:line="235" w:lineRule="auto"/>
        <w:tabs>
          <w:tab w:leader="none" w:pos="1767"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written notice specifying the amount of original issue discount (including daily rates and accrual periods), if any, accrued on Outstanding Securities as of the end of such year and</w:t>
      </w:r>
    </w:p>
    <w:p>
      <w:pPr>
        <w:spacing w:after="0" w:line="183" w:lineRule="exact"/>
        <w:rPr>
          <w:rFonts w:ascii="Courier New" w:cs="Courier New" w:eastAsia="Courier New" w:hAnsi="Courier New"/>
          <w:sz w:val="16"/>
          <w:szCs w:val="16"/>
          <w:color w:val="auto"/>
        </w:rPr>
      </w:pPr>
    </w:p>
    <w:p>
      <w:pPr>
        <w:ind w:right="2879" w:firstLine="1391"/>
        <w:spacing w:after="0" w:line="235" w:lineRule="auto"/>
        <w:tabs>
          <w:tab w:leader="none" w:pos="1767"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other specific information relating to such original issue discount as may then be relevant under the Internal Revenue Code of 1986, as amended from time to time.</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ARTICLE EIGHT</w:t>
      </w:r>
    </w:p>
    <w:p>
      <w:pPr>
        <w:ind w:left="1660"/>
        <w:spacing w:after="0" w:line="236" w:lineRule="auto"/>
        <w:rPr>
          <w:sz w:val="20"/>
          <w:szCs w:val="20"/>
          <w:color w:val="auto"/>
        </w:rPr>
      </w:pPr>
      <w:r>
        <w:rPr>
          <w:rFonts w:ascii="Courier New" w:cs="Courier New" w:eastAsia="Courier New" w:hAnsi="Courier New"/>
          <w:sz w:val="16"/>
          <w:szCs w:val="16"/>
          <w:color w:val="auto"/>
        </w:rPr>
        <w:t>CONSOLIDATION, MERGER, CONVEYANCE OR TRANSFER</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801. Company May Consolidate, Etc., Only on Certain Terms</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jc w:val="both"/>
        <w:ind w:right="2779" w:firstLine="1395"/>
        <w:spacing w:after="0" w:line="235" w:lineRule="auto"/>
        <w:rPr>
          <w:sz w:val="20"/>
          <w:szCs w:val="20"/>
          <w:color w:val="auto"/>
        </w:rPr>
      </w:pPr>
      <w:r>
        <w:rPr>
          <w:rFonts w:ascii="Courier New" w:cs="Courier New" w:eastAsia="Courier New" w:hAnsi="Courier New"/>
          <w:sz w:val="16"/>
          <w:szCs w:val="16"/>
          <w:color w:val="auto"/>
        </w:rPr>
        <w:t>The Company shall not consolidate with or merge with or into any other Person or convey or transfer its properties and assets substantially as an entirety to any Person, unless:</w:t>
      </w:r>
    </w:p>
    <w:p>
      <w:pPr>
        <w:spacing w:after="0" w:line="183" w:lineRule="exact"/>
        <w:rPr>
          <w:sz w:val="20"/>
          <w:szCs w:val="20"/>
          <w:color w:val="auto"/>
        </w:rPr>
      </w:pPr>
    </w:p>
    <w:p>
      <w:pPr>
        <w:ind w:right="2779" w:firstLine="1391"/>
        <w:spacing w:after="0" w:line="236" w:lineRule="auto"/>
        <w:tabs>
          <w:tab w:leader="none" w:pos="1767" w:val="left"/>
        </w:tabs>
        <w:numPr>
          <w:ilvl w:val="0"/>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either the Company shall be the continuing corporation, or the corporation (if other than the Company) formed by such consolidation or into which the Company is merged or the Person which acquires by conveyance or transfer the properties and assets of the Company substantially as an entirety shall expressly assume, by an indenture supplemental hereto, executed and delivered to the Trustee, in form satisfactory to the Trustee, all of the obligations of the Company under this Indenture and on all the Securities and this Indenture;</w:t>
      </w:r>
    </w:p>
    <w:p>
      <w:pPr>
        <w:spacing w:after="0" w:line="184" w:lineRule="exact"/>
        <w:rPr>
          <w:rFonts w:ascii="Courier New" w:cs="Courier New" w:eastAsia="Courier New" w:hAnsi="Courier New"/>
          <w:sz w:val="16"/>
          <w:szCs w:val="16"/>
          <w:color w:val="auto"/>
        </w:rPr>
      </w:pPr>
    </w:p>
    <w:p>
      <w:pPr>
        <w:ind w:right="3339" w:firstLine="1391"/>
        <w:spacing w:after="0" w:line="295" w:lineRule="auto"/>
        <w:tabs>
          <w:tab w:leader="none" w:pos="1767"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after giving effect to such transaction, no Default or Event of Default shall have occurred and be continuing; and</w:t>
      </w:r>
    </w:p>
    <w:p>
      <w:pPr>
        <w:spacing w:after="0" w:line="146" w:lineRule="exact"/>
        <w:rPr>
          <w:rFonts w:ascii="Courier New" w:cs="Courier New" w:eastAsia="Courier New" w:hAnsi="Courier New"/>
          <w:sz w:val="14"/>
          <w:szCs w:val="14"/>
          <w:color w:val="auto"/>
        </w:rPr>
      </w:pPr>
    </w:p>
    <w:p>
      <w:pPr>
        <w:ind w:right="3059" w:firstLine="1391"/>
        <w:spacing w:after="0" w:line="276" w:lineRule="auto"/>
        <w:tabs>
          <w:tab w:leader="none" w:pos="1767"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the successor Person have delivered to the Trustee an Officers' Certificate and an Opinion of Counsel each stating that such consolidation, merger, conveyance or transfer and such supplemental indenture comply with this Article and that all conditions precedent herein provided for relating to such transaction have been complied with.</w:t>
      </w:r>
    </w:p>
    <w:p>
      <w:pPr>
        <w:spacing w:after="0" w:line="155"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802. Successor Person Substituted</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959" w:firstLine="1391"/>
        <w:spacing w:after="0" w:line="276" w:lineRule="auto"/>
        <w:tabs>
          <w:tab w:leader="none" w:pos="1767"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any consolidation or merger, or any conveyance or transfer of the properties and assets of the Company substantially as an entirety in accordance with Section 801, the successor corporation formed by such consolidation or into which the Company is merged or the successor Person to which such conveyance or transfer is made shall succeed to, and be</w:t>
      </w:r>
    </w:p>
    <w:p>
      <w:pPr>
        <w:spacing w:after="0" w:line="33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62</w:t>
      </w:r>
    </w:p>
    <w:p>
      <w:pPr>
        <w:sectPr>
          <w:pgSz w:w="11900" w:h="16838" w:orient="portrait"/>
          <w:cols w:equalWidth="0" w:num="1">
            <w:col w:w="10219"/>
          </w:cols>
          <w:pgMar w:left="240" w:top="654" w:right="1440" w:bottom="1440" w:gutter="0" w:footer="0" w:header="0"/>
        </w:sectPr>
      </w:pPr>
    </w:p>
    <w:bookmarkStart w:id="142" w:name="page143"/>
    <w:bookmarkEnd w:id="142"/>
    <w:p>
      <w:pPr>
        <w:ind w:right="2779"/>
        <w:spacing w:after="0" w:line="236" w:lineRule="auto"/>
        <w:rPr>
          <w:sz w:val="20"/>
          <w:szCs w:val="20"/>
          <w:color w:val="auto"/>
        </w:rPr>
      </w:pPr>
      <w:r>
        <w:rPr>
          <w:rFonts w:ascii="Courier New" w:cs="Courier New" w:eastAsia="Courier New" w:hAnsi="Courier New"/>
          <w:sz w:val="16"/>
          <w:szCs w:val="16"/>
          <w:color w:val="auto"/>
        </w:rPr>
        <w:t>substituted for, and may exercise every right and power of, the Company under this Indenture with the same effect as if such successor had been named as the Company herein; and in the event of any such conveyance or transfer (except by a lease), the Company shall be discharged from all its obligations and covenants under this Indenture and the Securities and coupons and may be dissolved and liquidated.</w:t>
      </w:r>
    </w:p>
    <w:p>
      <w:pPr>
        <w:spacing w:after="0" w:line="183" w:lineRule="exact"/>
        <w:rPr>
          <w:sz w:val="20"/>
          <w:szCs w:val="20"/>
          <w:color w:val="auto"/>
        </w:rPr>
      </w:pPr>
    </w:p>
    <w:p>
      <w:pPr>
        <w:ind w:right="2879" w:firstLine="1391"/>
        <w:spacing w:after="0" w:line="236" w:lineRule="auto"/>
        <w:tabs>
          <w:tab w:leader="none" w:pos="1767"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successor entity thereupon may cause to be signed, and may issue either in its own name or in the name of the Company, any or all of the Securities issuable hereunder which theretofore shall not have been signed by the Company and delivered to the Trustee; and, upon the order of such successor entity, instead of the Company, and subject to all the terms, conditions and limitations prescribed in this Indenture, the Trustee shall authenticate and shall deliver any Securities which previously shall have been signed and delivered by the officers of the Company to the Trustee for authentication, and any Securities which such successor entity thereafter shall cause to be signed and delivered to the Trustee for that purpose. All the Securities of any series so issued shall in all respects have the same legal rank and benefit under this Indenture as the Securities of such series theretofore or thereafter issued in accordance with the terms of this Indenture as though all of such Securities had been issued at the date of the execution hereof.</w:t>
      </w:r>
    </w:p>
    <w:p>
      <w:pPr>
        <w:spacing w:after="0" w:line="188" w:lineRule="exact"/>
        <w:rPr>
          <w:rFonts w:ascii="Courier New" w:cs="Courier New" w:eastAsia="Courier New" w:hAnsi="Courier New"/>
          <w:sz w:val="16"/>
          <w:szCs w:val="16"/>
          <w:color w:val="auto"/>
        </w:rPr>
      </w:pPr>
    </w:p>
    <w:p>
      <w:pPr>
        <w:ind w:right="3059" w:firstLine="1391"/>
        <w:spacing w:after="0" w:line="235" w:lineRule="auto"/>
        <w:tabs>
          <w:tab w:leader="none" w:pos="1767"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of any such merger in which the Company is not the surviving corporation or any such consolidation, sale, lease, assignment, transfer or conveyance, such changes in phraseology and form (but not in substance) may be made in the Securities thereafter to be issued as may be appropriate.</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803. Officers' Certificate and Opinion of Counsel</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1395"/>
        <w:spacing w:after="0" w:line="236" w:lineRule="auto"/>
        <w:rPr>
          <w:sz w:val="20"/>
          <w:szCs w:val="20"/>
          <w:color w:val="auto"/>
        </w:rPr>
      </w:pPr>
      <w:r>
        <w:rPr>
          <w:rFonts w:ascii="Courier New" w:cs="Courier New" w:eastAsia="Courier New" w:hAnsi="Courier New"/>
          <w:sz w:val="16"/>
          <w:szCs w:val="16"/>
          <w:color w:val="auto"/>
        </w:rPr>
        <w:t>Any consolidation, merger, sale, conveyance, assignment, transfer or lease permitted under Section 801 is also subject to the condition that the Trustee shall have received an Officers' Certificate and an Opinion of Counsel to the effect that any such consolidation, merger, sale, conveyance, transfer, assignment or lease, and the assumption by any successor Person and any such supplemental indenture, comply with the provisions of this Article and that all conditions precedent herein provided for relating to such transaction have been complied with.</w:t>
      </w:r>
    </w:p>
    <w:p>
      <w:pPr>
        <w:spacing w:after="0" w:line="17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ARTICLE NINE</w:t>
      </w:r>
    </w:p>
    <w:p>
      <w:pPr>
        <w:ind w:left="2700"/>
        <w:spacing w:after="0" w:line="236" w:lineRule="auto"/>
        <w:rPr>
          <w:sz w:val="20"/>
          <w:szCs w:val="20"/>
          <w:color w:val="auto"/>
        </w:rPr>
      </w:pPr>
      <w:r>
        <w:rPr>
          <w:rFonts w:ascii="Courier New" w:cs="Courier New" w:eastAsia="Courier New" w:hAnsi="Courier New"/>
          <w:sz w:val="16"/>
          <w:szCs w:val="16"/>
          <w:color w:val="auto"/>
        </w:rPr>
        <w:t>SUPPLEMENTAL INDENTURES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901. Supplemental Indentures Without Consent of Holders</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879" w:firstLine="1395"/>
        <w:spacing w:after="0" w:line="235" w:lineRule="auto"/>
        <w:rPr>
          <w:sz w:val="20"/>
          <w:szCs w:val="20"/>
          <w:color w:val="auto"/>
        </w:rPr>
      </w:pPr>
      <w:r>
        <w:rPr>
          <w:rFonts w:ascii="Courier New" w:cs="Courier New" w:eastAsia="Courier New" w:hAnsi="Courier New"/>
          <w:sz w:val="16"/>
          <w:szCs w:val="16"/>
          <w:color w:val="auto"/>
        </w:rPr>
        <w:t>Without the consent of any Holders of Securities or coupons, the Company when authorized by or pursuant to a Board Resolution, and the Trustee, at any time and from time to time, may enter into one or more indentures supplemental hereto, in form satisfactory to the Trustee, for any of the following purposes:</w:t>
      </w:r>
    </w:p>
    <w:p>
      <w:pPr>
        <w:spacing w:after="0" w:line="186" w:lineRule="exact"/>
        <w:rPr>
          <w:sz w:val="20"/>
          <w:szCs w:val="20"/>
          <w:color w:val="auto"/>
        </w:rPr>
      </w:pPr>
    </w:p>
    <w:p>
      <w:pPr>
        <w:ind w:right="2879" w:firstLine="1391"/>
        <w:spacing w:after="0" w:line="235" w:lineRule="auto"/>
        <w:tabs>
          <w:tab w:leader="none" w:pos="1767"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evidence the succession of another Person to the Company and the assumption by any such successor of the covenants of the Company herein and in the Securities contained; or</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63</w:t>
      </w:r>
    </w:p>
    <w:p>
      <w:pPr>
        <w:sectPr>
          <w:pgSz w:w="11900" w:h="16838" w:orient="portrait"/>
          <w:cols w:equalWidth="0" w:num="1">
            <w:col w:w="10219"/>
          </w:cols>
          <w:pgMar w:left="240" w:top="654" w:right="1440" w:bottom="1440" w:gutter="0" w:footer="0" w:header="0"/>
        </w:sectPr>
      </w:pPr>
    </w:p>
    <w:bookmarkStart w:id="143" w:name="page144"/>
    <w:bookmarkEnd w:id="143"/>
    <w:p>
      <w:pPr>
        <w:ind w:left="-1200" w:right="2779" w:firstLine="1391"/>
        <w:spacing w:after="0" w:line="235" w:lineRule="auto"/>
        <w:tabs>
          <w:tab w:leader="none" w:pos="567"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w:t>
      </w:r>
    </w:p>
    <w:p>
      <w:pPr>
        <w:spacing w:after="0" w:line="185" w:lineRule="exact"/>
        <w:rPr>
          <w:rFonts w:ascii="Courier New" w:cs="Courier New" w:eastAsia="Courier New" w:hAnsi="Courier New"/>
          <w:sz w:val="16"/>
          <w:szCs w:val="16"/>
          <w:color w:val="auto"/>
        </w:rPr>
      </w:pPr>
    </w:p>
    <w:p>
      <w:pPr>
        <w:ind w:left="-1200" w:right="2779" w:firstLine="1391"/>
        <w:spacing w:after="0" w:line="236" w:lineRule="auto"/>
        <w:tabs>
          <w:tab w:leader="none" w:pos="567"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add any additional Events of Default for the benefit of the Holders of all or any series of Securities (and if such Events of Default are to be for the benefit of less than all series of Securities, stating that such Events of Default are expressly being included solely for the benefit of such series); provided, that, in respect of any such additional Events of Default such supplemental indenture may provide for a particular period of grace after default (which period may be shorter or longer than that allowed in the case of other defaults) or may provide for an immediate enforcement upon such default or may limit the remedies available to the Trustee upon such default or may limit the right of the Holders of a majority in aggregate principal amount of that or those series of Securities to which such additional Events of Default apply to waive such default; or</w:t>
      </w:r>
    </w:p>
    <w:p>
      <w:pPr>
        <w:spacing w:after="0" w:line="186" w:lineRule="exact"/>
        <w:rPr>
          <w:rFonts w:ascii="Courier New" w:cs="Courier New" w:eastAsia="Courier New" w:hAnsi="Courier New"/>
          <w:sz w:val="16"/>
          <w:szCs w:val="16"/>
          <w:color w:val="auto"/>
        </w:rPr>
      </w:pPr>
    </w:p>
    <w:p>
      <w:pPr>
        <w:ind w:left="-1200" w:right="2779" w:firstLine="1391"/>
        <w:spacing w:after="0" w:line="273" w:lineRule="auto"/>
        <w:tabs>
          <w:tab w:leader="none" w:pos="567"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add to or change any of the provisions of this Indenture to provide that Bearer Securities may be registrable as to principal, to change or eliminate any restrictions on the payment of principal of or any premium or interest on Bearer Securities, to permit Bearer Securities to be issued in exchange for Registered Securities, to permit Bearer Securities to be issued in exchange for Bearer Securities of other authorized denominations or to permit or facilitate the issuance of Securities in uncertificated form; provided that any such action shall not adversely affect the interests of the Holders of Securities of any series or any related coupons in any material respect; or</w:t>
      </w:r>
    </w:p>
    <w:p>
      <w:pPr>
        <w:spacing w:after="0" w:line="165" w:lineRule="exact"/>
        <w:rPr>
          <w:rFonts w:ascii="Courier New" w:cs="Courier New" w:eastAsia="Courier New" w:hAnsi="Courier New"/>
          <w:sz w:val="14"/>
          <w:szCs w:val="14"/>
          <w:color w:val="auto"/>
        </w:rPr>
      </w:pPr>
    </w:p>
    <w:p>
      <w:pPr>
        <w:ind w:left="-1200" w:right="2959" w:firstLine="1391"/>
        <w:spacing w:after="0" w:line="235" w:lineRule="auto"/>
        <w:tabs>
          <w:tab w:leader="none" w:pos="567"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change or eliminate any of the provisions of this Indenture; provided that any such change or elimination shall become effective only when there is no Security Outstanding of any series created prior to the execution of such supplemental indenture which is entitled to the benefit of such provision; or</w:t>
      </w:r>
    </w:p>
    <w:p>
      <w:pPr>
        <w:spacing w:after="0" w:line="185" w:lineRule="exact"/>
        <w:rPr>
          <w:rFonts w:ascii="Courier New" w:cs="Courier New" w:eastAsia="Courier New" w:hAnsi="Courier New"/>
          <w:sz w:val="16"/>
          <w:szCs w:val="16"/>
          <w:color w:val="auto"/>
        </w:rPr>
      </w:pPr>
    </w:p>
    <w:p>
      <w:pPr>
        <w:ind w:left="-1200" w:right="2779" w:firstLine="1391"/>
        <w:spacing w:after="0" w:line="234" w:lineRule="auto"/>
        <w:tabs>
          <w:tab w:leader="none" w:pos="567"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secure the Securities pursuant to the requirements of such indenture supplement, if applicable; or</w:t>
      </w:r>
    </w:p>
    <w:p>
      <w:pPr>
        <w:spacing w:after="0" w:line="183" w:lineRule="exact"/>
        <w:rPr>
          <w:rFonts w:ascii="Courier New" w:cs="Courier New" w:eastAsia="Courier New" w:hAnsi="Courier New"/>
          <w:sz w:val="16"/>
          <w:szCs w:val="16"/>
          <w:color w:val="auto"/>
        </w:rPr>
      </w:pPr>
    </w:p>
    <w:p>
      <w:pPr>
        <w:ind w:left="-1200" w:right="3059" w:firstLine="1391"/>
        <w:spacing w:after="0" w:line="279" w:lineRule="auto"/>
        <w:tabs>
          <w:tab w:leader="none" w:pos="567"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establish the form or terms of Securities of any series and any related coupons as permitted by Sections 201 and 301, including the provisions and procedures relating to Securities convertible into or exchangeable for any securities of any Person (including the Company); or</w:t>
      </w:r>
    </w:p>
    <w:p>
      <w:pPr>
        <w:spacing w:after="0" w:line="156" w:lineRule="exact"/>
        <w:rPr>
          <w:rFonts w:ascii="Courier New" w:cs="Courier New" w:eastAsia="Courier New" w:hAnsi="Courier New"/>
          <w:sz w:val="14"/>
          <w:szCs w:val="14"/>
          <w:color w:val="auto"/>
        </w:rPr>
      </w:pPr>
    </w:p>
    <w:p>
      <w:pPr>
        <w:ind w:left="-1200" w:right="2879" w:firstLine="1391"/>
        <w:spacing w:after="0" w:line="235" w:lineRule="auto"/>
        <w:tabs>
          <w:tab w:leader="none" w:pos="567"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w:t>
      </w:r>
    </w:p>
    <w:p>
      <w:pPr>
        <w:spacing w:after="0" w:line="185" w:lineRule="exact"/>
        <w:rPr>
          <w:rFonts w:ascii="Courier New" w:cs="Courier New" w:eastAsia="Courier New" w:hAnsi="Courier New"/>
          <w:sz w:val="16"/>
          <w:szCs w:val="16"/>
          <w:color w:val="auto"/>
        </w:rPr>
      </w:pPr>
    </w:p>
    <w:p>
      <w:pPr>
        <w:ind w:left="-1200" w:right="2879" w:firstLine="1391"/>
        <w:spacing w:after="0" w:line="276" w:lineRule="auto"/>
        <w:tabs>
          <w:tab w:leader="none" w:pos="567"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close this indenture with respect to the authentication and delivery of additional series of Securities, to cure any ambiguity, to correct or supplement any provision herein which may be inconsistent with any other provision herein, or to make any other provisions with respect to matters or questions arising under this Indenture; provided that such action shall not</w:t>
      </w:r>
    </w:p>
    <w:p>
      <w:pPr>
        <w:spacing w:after="0" w:line="334"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64</w:t>
      </w:r>
    </w:p>
    <w:p>
      <w:pPr>
        <w:sectPr>
          <w:pgSz w:w="11900" w:h="16838" w:orient="portrait"/>
          <w:cols w:equalWidth="0" w:num="1">
            <w:col w:w="9019"/>
          </w:cols>
          <w:pgMar w:left="1440" w:top="655" w:right="1440" w:bottom="1440" w:gutter="0" w:footer="0" w:header="0"/>
        </w:sectPr>
      </w:pPr>
    </w:p>
    <w:bookmarkStart w:id="144" w:name="page145"/>
    <w:bookmarkEnd w:id="144"/>
    <w:p>
      <w:pPr>
        <w:ind w:right="2779"/>
        <w:spacing w:after="0" w:line="234" w:lineRule="auto"/>
        <w:rPr>
          <w:sz w:val="20"/>
          <w:szCs w:val="20"/>
          <w:color w:val="auto"/>
        </w:rPr>
      </w:pPr>
      <w:r>
        <w:rPr>
          <w:rFonts w:ascii="Courier New" w:cs="Courier New" w:eastAsia="Courier New" w:hAnsi="Courier New"/>
          <w:sz w:val="16"/>
          <w:szCs w:val="16"/>
          <w:color w:val="auto"/>
        </w:rPr>
        <w:t>adversely affect the interests of the Holders of Securities of any series or any related coupons in any material respect; or</w:t>
      </w:r>
    </w:p>
    <w:p>
      <w:pPr>
        <w:spacing w:after="0" w:line="183" w:lineRule="exact"/>
        <w:rPr>
          <w:sz w:val="20"/>
          <w:szCs w:val="20"/>
          <w:color w:val="auto"/>
        </w:rPr>
      </w:pPr>
    </w:p>
    <w:p>
      <w:pPr>
        <w:ind w:right="2779" w:firstLine="1391"/>
        <w:spacing w:after="0" w:line="236" w:lineRule="auto"/>
        <w:tabs>
          <w:tab w:leader="none" w:pos="1767" w:val="left"/>
        </w:tabs>
        <w:numPr>
          <w:ilvl w:val="0"/>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supplement any of the provisions of this Indenture to such extent as shall be necessary to permit or facilitate the defeasance and discharge of any series of Securities pursuant to Sections 401, 1402 and 1403; provided that any such action shall not adversely affect the interests of the Holders of Securities of such series and any related coupons or any other series of Securities in any material respect; or</w:t>
      </w:r>
    </w:p>
    <w:p>
      <w:pPr>
        <w:spacing w:after="0" w:line="182" w:lineRule="exact"/>
        <w:rPr>
          <w:rFonts w:ascii="Courier New" w:cs="Courier New" w:eastAsia="Courier New" w:hAnsi="Courier New"/>
          <w:sz w:val="16"/>
          <w:szCs w:val="16"/>
          <w:color w:val="auto"/>
        </w:rPr>
      </w:pPr>
    </w:p>
    <w:p>
      <w:pPr>
        <w:ind w:right="2779" w:firstLine="1391"/>
        <w:spacing w:after="0" w:line="234" w:lineRule="auto"/>
        <w:tabs>
          <w:tab w:leader="none" w:pos="1767" w:val="left"/>
        </w:tabs>
        <w:numPr>
          <w:ilvl w:val="0"/>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comply with the requirements of the Commission in order to effect or maintain the qualification of this Indenture under the TIA.</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902. Supplemental Indentures with Consent of Holders</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879" w:firstLine="1391"/>
        <w:spacing w:after="0" w:line="273" w:lineRule="auto"/>
        <w:tabs>
          <w:tab w:leader="none" w:pos="1767"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the consent of the Holders of not less than a majority in principal amount of all Outstanding Securities affected by such supplemental indenture, with each series voting separately, by Act of said Holders delivered to the Company and the Trustee, the Company when authorized by or pursuant to a Board Resolution, and the Trustee may enter into an indenture or indentures supplemental hereto for the purpose of adding any provisions to or changing in any manner or eliminating any of the provisions of this Indenture which affects such series of Securities or of modifying in any manner the rights of the Holders of Securities of such series under this Indenture; provided, that, no such supplemental indenture shall, without the consent of the Holder of each Outstanding Security of such series affected thereby:</w:t>
      </w:r>
    </w:p>
    <w:p>
      <w:pPr>
        <w:spacing w:after="0" w:line="342" w:lineRule="exact"/>
        <w:rPr>
          <w:rFonts w:ascii="Courier New" w:cs="Courier New" w:eastAsia="Courier New" w:hAnsi="Courier New"/>
          <w:sz w:val="14"/>
          <w:szCs w:val="14"/>
          <w:color w:val="auto"/>
        </w:rPr>
      </w:pPr>
    </w:p>
    <w:p>
      <w:pPr>
        <w:ind w:left="1400" w:right="2779" w:firstLine="456"/>
        <w:spacing w:after="0" w:line="271" w:lineRule="auto"/>
        <w:tabs>
          <w:tab w:leader="none" w:pos="2237" w:val="left"/>
        </w:tabs>
        <w:numPr>
          <w:ilvl w:val="1"/>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the Stated Maturity of the principal of (or premium, if any, on) or any installment of principal of or interest on, any Security, subject to the provisions of Section 308; or reduce the principal amount thereof (or premium, if any) or the rate of interest (or change the manner of calculation of interest), thereon, or any Additional Amounts with respect thereto, or any premium payable upon the redemption thereof, or change any obligation of the Company to pay Additional Amounts pursuant to Section 1005 (except as contemplated by Section 801(a) and permitted by Section 901(a)), or reduce the amount of the principal of an Original Issue Discount Security or Indexed Security that would be due and payable upon a declaration of acceleration of the Maturity thereof pursuant to Section 502 or the amount thereof provable in bankruptcy pursuant to Section 504, or adversely affect any right of repayment at the option of the Holder of any Security, or change any Place of Payment where, or the Currency in which, any Security or any premium or interest or Additional Amount thereon is payable, or impair the right to institute suit for the enforcement of any such payment on or after the Stated Maturity thereof (or, in the case of redemption or repayment at the option of the Holder, on or after the Redemption Date or the Repayment Date, as the case may be), or adversely affect any right to convert or exchange any Security as may be provided pursuant to Section 301 herein, or</w:t>
      </w:r>
    </w:p>
    <w:p>
      <w:pPr>
        <w:spacing w:after="0" w:line="200" w:lineRule="exact"/>
        <w:rPr>
          <w:rFonts w:ascii="Courier New" w:cs="Courier New" w:eastAsia="Courier New" w:hAnsi="Courier New"/>
          <w:sz w:val="14"/>
          <w:szCs w:val="14"/>
          <w:color w:val="auto"/>
        </w:rPr>
      </w:pPr>
    </w:p>
    <w:p>
      <w:pPr>
        <w:spacing w:after="0" w:line="332" w:lineRule="exact"/>
        <w:rPr>
          <w:rFonts w:ascii="Courier New" w:cs="Courier New" w:eastAsia="Courier New" w:hAnsi="Courier New"/>
          <w:sz w:val="14"/>
          <w:szCs w:val="14"/>
          <w:color w:val="auto"/>
        </w:rPr>
      </w:pPr>
    </w:p>
    <w:p>
      <w:pPr>
        <w:ind w:left="1400" w:right="2879" w:firstLine="456"/>
        <w:spacing w:after="0" w:line="279" w:lineRule="auto"/>
        <w:tabs>
          <w:tab w:leader="none" w:pos="2237" w:val="left"/>
        </w:tabs>
        <w:numPr>
          <w:ilvl w:val="1"/>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percentage in principal amount of the Outstanding Securities of any series, the consent of whose Holders is required for any such supplemental indenture, or the consent of whose Holders is required for any waiver with respect</w:t>
      </w:r>
    </w:p>
    <w:p>
      <w:pPr>
        <w:spacing w:after="0" w:line="33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65</w:t>
      </w:r>
    </w:p>
    <w:p>
      <w:pPr>
        <w:sectPr>
          <w:pgSz w:w="11900" w:h="16838" w:orient="portrait"/>
          <w:cols w:equalWidth="0" w:num="1">
            <w:col w:w="10219"/>
          </w:cols>
          <w:pgMar w:left="240" w:top="654" w:right="1440" w:bottom="1440" w:gutter="0" w:footer="0" w:header="0"/>
        </w:sectPr>
      </w:pPr>
    </w:p>
    <w:bookmarkStart w:id="145" w:name="page146"/>
    <w:bookmarkEnd w:id="145"/>
    <w:p>
      <w:pPr>
        <w:ind w:left="1400" w:right="3159" w:firstLine="465"/>
        <w:spacing w:after="0" w:line="235" w:lineRule="auto"/>
        <w:rPr>
          <w:sz w:val="20"/>
          <w:szCs w:val="20"/>
          <w:color w:val="auto"/>
        </w:rPr>
      </w:pPr>
      <w:r>
        <w:rPr>
          <w:rFonts w:ascii="Courier New" w:cs="Courier New" w:eastAsia="Courier New" w:hAnsi="Courier New"/>
          <w:sz w:val="16"/>
          <w:szCs w:val="16"/>
          <w:color w:val="auto"/>
        </w:rPr>
        <w:t>to such series (of compliance with certain provisions of this Indenture or certain defaults hereunder and their consequences) provided for in this Indenture, or reduce the requirements of Section 1504 for quorum or voting, or</w:t>
      </w:r>
    </w:p>
    <w:p>
      <w:pPr>
        <w:spacing w:after="0" w:line="185" w:lineRule="exact"/>
        <w:rPr>
          <w:sz w:val="20"/>
          <w:szCs w:val="20"/>
          <w:color w:val="auto"/>
        </w:rPr>
      </w:pPr>
    </w:p>
    <w:p>
      <w:pPr>
        <w:ind w:left="1400" w:right="2779" w:firstLine="456"/>
        <w:spacing w:after="0" w:line="236" w:lineRule="auto"/>
        <w:tabs>
          <w:tab w:leader="none" w:pos="2237" w:val="left"/>
        </w:tabs>
        <w:numPr>
          <w:ilvl w:val="1"/>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modify any of the provisions of this Section, Section 514 or Section 1007, except to increase any such percentage or to provide that certain other provisions of this Indenture that affect such series cannot be modified or waived without the consent of the Holder of each Outstanding Security affected thereby, or</w:t>
      </w:r>
    </w:p>
    <w:p>
      <w:pPr>
        <w:spacing w:after="0" w:line="182" w:lineRule="exact"/>
        <w:rPr>
          <w:rFonts w:ascii="Courier New" w:cs="Courier New" w:eastAsia="Courier New" w:hAnsi="Courier New"/>
          <w:sz w:val="16"/>
          <w:szCs w:val="16"/>
          <w:color w:val="auto"/>
        </w:rPr>
      </w:pPr>
    </w:p>
    <w:p>
      <w:pPr>
        <w:ind w:left="1400" w:right="3159" w:firstLine="456"/>
        <w:spacing w:after="0" w:line="234" w:lineRule="auto"/>
        <w:tabs>
          <w:tab w:leader="none" w:pos="2237" w:val="left"/>
        </w:tabs>
        <w:numPr>
          <w:ilvl w:val="1"/>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cause the Securities to be expressly subordinated to other indebtedness of the Company.</w:t>
      </w:r>
    </w:p>
    <w:p>
      <w:pPr>
        <w:spacing w:after="0" w:line="183" w:lineRule="exact"/>
        <w:rPr>
          <w:rFonts w:ascii="Courier New" w:cs="Courier New" w:eastAsia="Courier New" w:hAnsi="Courier New"/>
          <w:sz w:val="16"/>
          <w:szCs w:val="16"/>
          <w:color w:val="auto"/>
        </w:rPr>
      </w:pPr>
    </w:p>
    <w:p>
      <w:pPr>
        <w:jc w:val="both"/>
        <w:ind w:right="2959" w:firstLine="1391"/>
        <w:spacing w:after="0" w:line="283" w:lineRule="auto"/>
        <w:tabs>
          <w:tab w:leader="none" w:pos="1767"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shall not be necessary for any Act of Holders under this Section to approve the particular form of any proposed supplemental indenture, but it shall be sufficient if such Act shall approve the substance thereof.</w:t>
      </w:r>
    </w:p>
    <w:p>
      <w:pPr>
        <w:spacing w:after="0" w:line="154" w:lineRule="exact"/>
        <w:rPr>
          <w:rFonts w:ascii="Courier New" w:cs="Courier New" w:eastAsia="Courier New" w:hAnsi="Courier New"/>
          <w:sz w:val="14"/>
          <w:szCs w:val="14"/>
          <w:color w:val="auto"/>
        </w:rPr>
      </w:pPr>
    </w:p>
    <w:p>
      <w:pPr>
        <w:ind w:right="2779" w:firstLine="1391"/>
        <w:spacing w:after="0" w:line="275" w:lineRule="auto"/>
        <w:tabs>
          <w:tab w:leader="none" w:pos="1767"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161" w:lineRule="exact"/>
        <w:rPr>
          <w:rFonts w:ascii="Courier New" w:cs="Courier New" w:eastAsia="Courier New" w:hAnsi="Courier New"/>
          <w:sz w:val="14"/>
          <w:szCs w:val="14"/>
          <w:color w:val="auto"/>
        </w:rPr>
      </w:pPr>
    </w:p>
    <w:p>
      <w:pPr>
        <w:ind w:right="2779" w:firstLine="1391"/>
        <w:spacing w:after="0" w:line="273" w:lineRule="auto"/>
        <w:tabs>
          <w:tab w:leader="none" w:pos="1767"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but shall not be obligated to, fix a record date for the purpose of determining the Persons entitled to consent to any indenture supplemental hereto. If a record date is fixed, the Holders at the close of Business on such record date, or their duly designated proxies, and only such Persons, shall be entitled to consent to such supplemental indenture, whether or not such Holders remain Holders after such record date; provided that unless such consent shall have become effective by virtue of the requisite percentage having been obtained prior to the date which is 90 days after such record date, any such consent previously given shall automatically and without further action by any Holder be cancelled and of no further effect.</w:t>
      </w:r>
    </w:p>
    <w:p>
      <w:pPr>
        <w:spacing w:after="0" w:line="15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903. Execution of Supplemental Indentures</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1395"/>
        <w:spacing w:after="0" w:line="236" w:lineRule="auto"/>
        <w:rPr>
          <w:sz w:val="20"/>
          <w:szCs w:val="20"/>
          <w:color w:val="auto"/>
        </w:rPr>
      </w:pPr>
      <w:r>
        <w:rPr>
          <w:rFonts w:ascii="Courier New" w:cs="Courier New" w:eastAsia="Courier New" w:hAnsi="Courier New"/>
          <w:sz w:val="16"/>
          <w:szCs w:val="16"/>
          <w:color w:val="auto"/>
        </w:rPr>
        <w:t>In executing, or accepting the additional trusts created by, any supplemental indenture permitted by this Article or the modification thereby of the trusts created by this Indenture, the Trustee shall be entitled to receive, and shall be fully protected in relying upon (subject to the provisions of Article Six hereof), an Opinion of 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904. Effect of Supplemental Indentures</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3239" w:firstLine="1395"/>
        <w:spacing w:after="0" w:line="295" w:lineRule="auto"/>
        <w:rPr>
          <w:sz w:val="20"/>
          <w:szCs w:val="20"/>
          <w:color w:val="auto"/>
        </w:rPr>
      </w:pPr>
      <w:r>
        <w:rPr>
          <w:rFonts w:ascii="Courier New" w:cs="Courier New" w:eastAsia="Courier New" w:hAnsi="Courier New"/>
          <w:sz w:val="14"/>
          <w:szCs w:val="14"/>
          <w:color w:val="auto"/>
        </w:rPr>
        <w:t>Upon the execution of any supplemental indenture under this Article, this Indenture shall be modified in accordance therewith, and such</w:t>
      </w:r>
    </w:p>
    <w:p>
      <w:pPr>
        <w:spacing w:after="0" w:line="32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66</w:t>
      </w:r>
    </w:p>
    <w:p>
      <w:pPr>
        <w:sectPr>
          <w:pgSz w:w="11900" w:h="16838" w:orient="portrait"/>
          <w:cols w:equalWidth="0" w:num="1">
            <w:col w:w="10219"/>
          </w:cols>
          <w:pgMar w:left="240" w:top="654" w:right="1440" w:bottom="1440" w:gutter="0" w:footer="0" w:header="0"/>
        </w:sectPr>
      </w:pPr>
    </w:p>
    <w:bookmarkStart w:id="146" w:name="page147"/>
    <w:bookmarkEnd w:id="146"/>
    <w:p>
      <w:pPr>
        <w:jc w:val="both"/>
        <w:ind w:right="2779"/>
        <w:spacing w:after="0" w:line="283" w:lineRule="auto"/>
        <w:rPr>
          <w:sz w:val="20"/>
          <w:szCs w:val="20"/>
          <w:color w:val="auto"/>
        </w:rPr>
      </w:pPr>
      <w:r>
        <w:rPr>
          <w:rFonts w:ascii="Courier New" w:cs="Courier New" w:eastAsia="Courier New" w:hAnsi="Courier New"/>
          <w:sz w:val="14"/>
          <w:szCs w:val="14"/>
          <w:color w:val="auto"/>
        </w:rPr>
        <w:t>supplemental indenture shall form a part of this Indenture for all purposes; and every Holder of Securities theretofore or thereafter authenticated and delivered hereunder and of any coupon appertaining thereto shall be bound thereby.</w:t>
      </w:r>
    </w:p>
    <w:p>
      <w:pPr>
        <w:spacing w:after="0" w:line="14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905. Conformity with Trust Indenture Act</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879" w:firstLine="1395"/>
        <w:spacing w:after="0" w:line="295" w:lineRule="auto"/>
        <w:rPr>
          <w:sz w:val="20"/>
          <w:szCs w:val="20"/>
          <w:color w:val="auto"/>
        </w:rPr>
      </w:pPr>
      <w:r>
        <w:rPr>
          <w:rFonts w:ascii="Courier New" w:cs="Courier New" w:eastAsia="Courier New" w:hAnsi="Courier New"/>
          <w:sz w:val="14"/>
          <w:szCs w:val="14"/>
          <w:color w:val="auto"/>
        </w:rPr>
        <w:t>Every supplemental indenture executed pursuant to this Article shall conform to the requirements of the Trust Indenture Act as then in effect.</w:t>
      </w:r>
    </w:p>
    <w:p>
      <w:pPr>
        <w:spacing w:after="0" w:line="141"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6"/>
          <w:szCs w:val="16"/>
          <w:color w:val="auto"/>
        </w:rPr>
        <w:t>SECTION 906.</w:t>
      </w:r>
      <w:r>
        <w:rPr>
          <w:sz w:val="20"/>
          <w:szCs w:val="20"/>
          <w:color w:val="auto"/>
        </w:rPr>
        <w:tab/>
      </w:r>
      <w:r>
        <w:rPr>
          <w:rFonts w:ascii="Courier New" w:cs="Courier New" w:eastAsia="Courier New" w:hAnsi="Courier New"/>
          <w:sz w:val="14"/>
          <w:szCs w:val="14"/>
          <w:color w:val="auto"/>
        </w:rPr>
        <w:t>Reference in Securities to Supplemental Indentures</w:t>
      </w:r>
    </w:p>
    <w:p>
      <w:pPr>
        <w:spacing w:after="0" w:line="183" w:lineRule="exact"/>
        <w:rPr>
          <w:sz w:val="20"/>
          <w:szCs w:val="20"/>
          <w:color w:val="auto"/>
        </w:rPr>
      </w:pPr>
    </w:p>
    <w:p>
      <w:pPr>
        <w:ind w:right="2779" w:firstLine="1395"/>
        <w:spacing w:after="0" w:line="274" w:lineRule="auto"/>
        <w:rPr>
          <w:sz w:val="20"/>
          <w:szCs w:val="20"/>
          <w:color w:val="auto"/>
        </w:rPr>
      </w:pPr>
      <w:r>
        <w:rPr>
          <w:rFonts w:ascii="Courier New" w:cs="Courier New" w:eastAsia="Courier New" w:hAnsi="Courier New"/>
          <w:sz w:val="14"/>
          <w:szCs w:val="14"/>
          <w:color w:val="auto"/>
        </w:rPr>
        <w:t>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w:t>
      </w:r>
    </w:p>
    <w:p>
      <w:pPr>
        <w:spacing w:after="0" w:line="15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ARTICLE TEN</w:t>
      </w:r>
    </w:p>
    <w:p>
      <w:pPr>
        <w:jc w:val="center"/>
        <w:ind w:right="2879"/>
        <w:spacing w:after="0" w:line="236" w:lineRule="auto"/>
        <w:rPr>
          <w:sz w:val="20"/>
          <w:szCs w:val="20"/>
          <w:color w:val="auto"/>
        </w:rPr>
      </w:pPr>
      <w:r>
        <w:rPr>
          <w:rFonts w:ascii="Courier New" w:cs="Courier New" w:eastAsia="Courier New" w:hAnsi="Courier New"/>
          <w:sz w:val="16"/>
          <w:szCs w:val="16"/>
          <w:color w:val="auto"/>
        </w:rPr>
        <w:t>COVENANTS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1001. Payment of Principal, Premium, if any, and Interest</w:t>
      </w:r>
    </w:p>
    <w:p>
      <w:pPr>
        <w:ind w:left="17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879" w:firstLine="1395"/>
        <w:spacing w:after="0" w:line="236" w:lineRule="auto"/>
        <w:rPr>
          <w:sz w:val="20"/>
          <w:szCs w:val="20"/>
          <w:color w:val="auto"/>
        </w:rPr>
      </w:pPr>
      <w:r>
        <w:rPr>
          <w:rFonts w:ascii="Courier New" w:cs="Courier New" w:eastAsia="Courier New" w:hAnsi="Courier New"/>
          <w:sz w:val="16"/>
          <w:szCs w:val="16"/>
          <w:color w:val="auto"/>
        </w:rPr>
        <w:t>The Company covenants and agrees for the benefit of the Holders of each series of Securities that it will duly and punctually pay the principal of (and premium, if any) and interest and Additional Amounts, if any, on the Securities of that series in accordance with the terms of such series of Securities, any coupons appertaining thereto and this Indenture. Any interest due on Bearer Securities on or before Maturity, other than Additional Amounts, if any, payable as provided in Section 1005 in respect of principal of (or premium, if any, on) such a Security, shall be payable only upon presentation and surrender of the several coupons for such interest installments as are evidenced thereby as they severally mature. Unless otherwise specified with respect to Securities of any series pursuant to Section 301, at the option of the Company, all payments of principal may be paid by check to the registered Holder of the Registered Security or other person entitled thereto against surrender of such Security or wire transfer to an account in the United States maintained by the Payee.</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1002. Maintenance of Office or Agency</w:t>
      </w:r>
    </w:p>
    <w:p>
      <w:pPr>
        <w:ind w:left="17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1391"/>
        <w:spacing w:after="0" w:line="236" w:lineRule="auto"/>
        <w:tabs>
          <w:tab w:leader="none" w:pos="1767" w:val="left"/>
        </w:tabs>
        <w:numPr>
          <w:ilvl w:val="0"/>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Securities of a series are issuable only as Registered Securities, the Company shall maintain in each Place of Payment for any series of Securities an office or agency where Securities of that series may be presented or surrendered for payment, where Securities of that series may be surrendered for registration of transfer or exchange, where Securities of that series that are convertible or exchangeable may be surrendered for conversion or exchange, as applicable, and where notices and demands to or upon the Company in respect of the Securities of that series and this Indenture may be served. If Securities of a series are issuable as Bearer Securities, the Company will maintain:</w:t>
      </w:r>
    </w:p>
    <w:p>
      <w:pPr>
        <w:spacing w:after="0" w:line="35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67</w:t>
      </w:r>
    </w:p>
    <w:p>
      <w:pPr>
        <w:sectPr>
          <w:pgSz w:w="11900" w:h="16838" w:orient="portrait"/>
          <w:cols w:equalWidth="0" w:num="1">
            <w:col w:w="10219"/>
          </w:cols>
          <w:pgMar w:left="240" w:top="654" w:right="1440" w:bottom="1440" w:gutter="0" w:footer="0" w:header="0"/>
        </w:sectPr>
      </w:pPr>
    </w:p>
    <w:bookmarkStart w:id="147" w:name="page148"/>
    <w:bookmarkEnd w:id="147"/>
    <w:p>
      <w:pPr>
        <w:ind w:left="200" w:right="2779" w:firstLine="456"/>
        <w:spacing w:after="0" w:line="236" w:lineRule="auto"/>
        <w:tabs>
          <w:tab w:leader="none" w:pos="1037" w:val="left"/>
        </w:tabs>
        <w:numPr>
          <w:ilvl w:val="1"/>
          <w:numId w:val="1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Borough of Manhattan, The City of New York, an office or agency where any Registered Securities of that series may be presented or surrendered for payment, where any Registered Securities of that series may be surrendered for registration of transfer, where Securities of that series may be surrendered for exchange, where Securities of that series that are convertible or exchangeable may be surrendered for conversion or exchange, as applicable, and where notices and demands to or upon the Company in respect of the Securities of that series and this Indenture may be served and where Bearer Securities of that series and related coupons may be presented or surrendered for payment in the circumstances described in the clause (2) of this Subsection (and not otherwise),</w:t>
      </w:r>
    </w:p>
    <w:p>
      <w:pPr>
        <w:spacing w:after="0" w:line="187" w:lineRule="exact"/>
        <w:rPr>
          <w:rFonts w:ascii="Courier New" w:cs="Courier New" w:eastAsia="Courier New" w:hAnsi="Courier New"/>
          <w:sz w:val="16"/>
          <w:szCs w:val="16"/>
          <w:color w:val="auto"/>
        </w:rPr>
      </w:pPr>
    </w:p>
    <w:p>
      <w:pPr>
        <w:ind w:left="200" w:right="2879" w:firstLine="456"/>
        <w:spacing w:after="0" w:line="236" w:lineRule="auto"/>
        <w:tabs>
          <w:tab w:leader="none" w:pos="1037" w:val="left"/>
        </w:tabs>
        <w:numPr>
          <w:ilvl w:val="1"/>
          <w:numId w:val="1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any laws or regulations applicable thereto, in a Place of Payment for that series which is located outside the United States, an office or agency where Securities of that series and related coupons may be presented and surrendered for payment; provided, that, if the Securities of that series are listed on the Luxembourg Stock Exchange or any other stock exchange located outside the United States and such stock exchange shall so require, the Company will maintain a Paying Agent for the Securities of that series in Luxembourg or any other required city located outside the United States, as the case may be, so long as the Securities of that series are listed on such exchange, and</w:t>
      </w:r>
    </w:p>
    <w:p>
      <w:pPr>
        <w:spacing w:after="0" w:line="186" w:lineRule="exact"/>
        <w:rPr>
          <w:rFonts w:ascii="Courier New" w:cs="Courier New" w:eastAsia="Courier New" w:hAnsi="Courier New"/>
          <w:sz w:val="16"/>
          <w:szCs w:val="16"/>
          <w:color w:val="auto"/>
        </w:rPr>
      </w:pPr>
    </w:p>
    <w:p>
      <w:pPr>
        <w:ind w:left="200" w:right="2779" w:firstLine="456"/>
        <w:spacing w:after="0" w:line="236" w:lineRule="auto"/>
        <w:tabs>
          <w:tab w:leader="none" w:pos="1037" w:val="left"/>
        </w:tabs>
        <w:numPr>
          <w:ilvl w:val="1"/>
          <w:numId w:val="1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any laws or regulations applicable thereto, in a Place of Payment for that series located outside the United States an office or agency where any Registered Securities of that series may be surrendered for registration of transfer, where Securities of that series may be surrendered for exchange, where Securities of that series that are convertible or exchangeable may be surrendered for conversion or exchange, as applicable and where notices and demands to or upon the Company in respect of the Securities of that series and this Indenture may be served. The Company will give prompt written notice to the Trustee of the location, and any change in the location, of each such office or agency.</w:t>
      </w:r>
    </w:p>
    <w:p>
      <w:pPr>
        <w:spacing w:after="0" w:line="186" w:lineRule="exact"/>
        <w:rPr>
          <w:rFonts w:ascii="Courier New" w:cs="Courier New" w:eastAsia="Courier New" w:hAnsi="Courier New"/>
          <w:sz w:val="16"/>
          <w:szCs w:val="16"/>
          <w:color w:val="auto"/>
        </w:rPr>
      </w:pPr>
    </w:p>
    <w:p>
      <w:pPr>
        <w:ind w:left="-1200" w:right="2879" w:firstLine="1391"/>
        <w:spacing w:after="0" w:line="236" w:lineRule="auto"/>
        <w:tabs>
          <w:tab w:leader="none" w:pos="567" w:val="left"/>
        </w:tabs>
        <w:numPr>
          <w:ilvl w:val="0"/>
          <w:numId w:val="1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 any time the Company shall fail to maintain any such required office or agency or shall fail to furnish the Trustee with the address thereof, such presentations, surrenders, notices and demands may be made or served at the Corporate Trust Office of the Trustee, except that Bearer Securities of that series and the related coupons may be presented and surrendered for payment at the offices specified in the Security, in London, England, and the Company hereby appoints the same as its agent to receive such respective presentations, surrenders, notices and demands, and the Company hereby appoints the Trustee its agent to receive all such presentations, surrenders, notices and demands.</w:t>
      </w:r>
    </w:p>
    <w:p>
      <w:pPr>
        <w:spacing w:after="0" w:line="185" w:lineRule="exact"/>
        <w:rPr>
          <w:rFonts w:ascii="Courier New" w:cs="Courier New" w:eastAsia="Courier New" w:hAnsi="Courier New"/>
          <w:sz w:val="16"/>
          <w:szCs w:val="16"/>
          <w:color w:val="auto"/>
        </w:rPr>
      </w:pPr>
    </w:p>
    <w:p>
      <w:pPr>
        <w:ind w:left="-1200" w:right="2779" w:firstLine="1391"/>
        <w:spacing w:after="0" w:line="274" w:lineRule="auto"/>
        <w:tabs>
          <w:tab w:leader="none" w:pos="567"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specified with respect to any Securities pursuant to Section 301, no payment of principal, premium or interest on Bearer Securities shall be made at any office or agency of the Company in the United States or by check mailed to any address in the United States or by transfer to an account maintained with a bank located in the United States; provided, that, if the Securities of a series are payable in Dollars, payment of principal of (and premium, if any) and interest, if any, on any Bearer Security shall be made at the office of the Company's Paying Agent in the Borough of Manhattan, The</w:t>
      </w:r>
    </w:p>
    <w:p>
      <w:pPr>
        <w:spacing w:after="0" w:line="334"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68</w:t>
      </w:r>
    </w:p>
    <w:p>
      <w:pPr>
        <w:sectPr>
          <w:pgSz w:w="11900" w:h="16838" w:orient="portrait"/>
          <w:cols w:equalWidth="0" w:num="1">
            <w:col w:w="9019"/>
          </w:cols>
          <w:pgMar w:left="1440" w:top="654" w:right="1440" w:bottom="1440" w:gutter="0" w:footer="0" w:header="0"/>
        </w:sectPr>
      </w:pPr>
    </w:p>
    <w:bookmarkStart w:id="148" w:name="page149"/>
    <w:bookmarkEnd w:id="148"/>
    <w:p>
      <w:pPr>
        <w:ind w:right="2779"/>
        <w:spacing w:after="0" w:line="235" w:lineRule="auto"/>
        <w:rPr>
          <w:sz w:val="20"/>
          <w:szCs w:val="20"/>
          <w:color w:val="auto"/>
        </w:rPr>
      </w:pPr>
      <w:r>
        <w:rPr>
          <w:rFonts w:ascii="Courier New" w:cs="Courier New" w:eastAsia="Courier New" w:hAnsi="Courier New"/>
          <w:sz w:val="16"/>
          <w:szCs w:val="16"/>
          <w:color w:val="auto"/>
        </w:rPr>
        <w:t>City of New York, if (but only if) payment in Dollars of the full amount of such principal, premium or interest, as the case may be, at all offices or agencies outside the United States maintained for such purpose by the Company in accordance with this Indenture, is illegal or effectively precluded by exchange controls or other similar restrictions.</w:t>
      </w:r>
    </w:p>
    <w:p>
      <w:pPr>
        <w:spacing w:after="0" w:line="186" w:lineRule="exact"/>
        <w:rPr>
          <w:sz w:val="20"/>
          <w:szCs w:val="20"/>
          <w:color w:val="auto"/>
        </w:rPr>
      </w:pPr>
    </w:p>
    <w:p>
      <w:pPr>
        <w:ind w:right="2779" w:firstLine="1391"/>
        <w:spacing w:after="0" w:line="272" w:lineRule="auto"/>
        <w:tabs>
          <w:tab w:leader="none" w:pos="1767"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from time to time designate one or more other offices or agencies where the Securities of one or more series may be presented or surrendered for any or all of such purposes, and may from time to time rescind such designations; provided, that, no such designation or rescission shall in any manner relieve the Company of its obligation to maintain an office or agency in accordance with the requirements set forth above for Securities of any series for such purposes. The Company will give prompt written notice to the Trustee of any such designation or rescission and of any change in the location of any such other office or agency. Unless otherwise specified with respect to any Securities pursuant to Section 301 with respect to a series of Securities, the Company hereby designates as a Place of Payment for each series of Securities the office or agency of the Company in the Borough of Manhattan, The City of New York, and initially appoints the Trustee at its Corporate Trust Office as Paying Agent in such city and as its agent to receive all such presentations, surrenders, notices and demands.</w:t>
      </w:r>
    </w:p>
    <w:p>
      <w:pPr>
        <w:spacing w:after="0" w:line="345" w:lineRule="exact"/>
        <w:rPr>
          <w:rFonts w:ascii="Courier New" w:cs="Courier New" w:eastAsia="Courier New" w:hAnsi="Courier New"/>
          <w:sz w:val="14"/>
          <w:szCs w:val="14"/>
          <w:color w:val="auto"/>
        </w:rPr>
      </w:pPr>
    </w:p>
    <w:p>
      <w:pPr>
        <w:ind w:right="3159" w:firstLine="1391"/>
        <w:spacing w:after="0" w:line="295" w:lineRule="auto"/>
        <w:tabs>
          <w:tab w:leader="none" w:pos="1767"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specified with respect to any Securities pursuant to Section 301, if and so long as the Securities of any series</w:t>
      </w:r>
    </w:p>
    <w:p>
      <w:pPr>
        <w:spacing w:after="0" w:line="140" w:lineRule="exact"/>
        <w:rPr>
          <w:rFonts w:ascii="Courier New" w:cs="Courier New" w:eastAsia="Courier New" w:hAnsi="Courier New"/>
          <w:sz w:val="14"/>
          <w:szCs w:val="14"/>
          <w:color w:val="auto"/>
        </w:rPr>
      </w:pPr>
    </w:p>
    <w:p>
      <w:pPr>
        <w:ind w:left="2220" w:hanging="364"/>
        <w:spacing w:after="0"/>
        <w:tabs>
          <w:tab w:leader="none" w:pos="2220" w:val="left"/>
        </w:tabs>
        <w:numPr>
          <w:ilvl w:val="1"/>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denominated in a Currency other than Dollars,</w:t>
      </w:r>
    </w:p>
    <w:p>
      <w:pPr>
        <w:spacing w:after="0" w:line="176" w:lineRule="exact"/>
        <w:rPr>
          <w:rFonts w:ascii="Courier New" w:cs="Courier New" w:eastAsia="Courier New" w:hAnsi="Courier New"/>
          <w:sz w:val="16"/>
          <w:szCs w:val="16"/>
          <w:color w:val="auto"/>
        </w:rPr>
      </w:pPr>
    </w:p>
    <w:p>
      <w:pPr>
        <w:ind w:left="2220" w:hanging="364"/>
        <w:spacing w:after="0"/>
        <w:tabs>
          <w:tab w:leader="none" w:pos="2220" w:val="left"/>
        </w:tabs>
        <w:numPr>
          <w:ilvl w:val="1"/>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may be payable in a Currency other than Dollars, or</w:t>
      </w:r>
    </w:p>
    <w:p>
      <w:pPr>
        <w:spacing w:after="0" w:line="182" w:lineRule="exact"/>
        <w:rPr>
          <w:rFonts w:ascii="Courier New" w:cs="Courier New" w:eastAsia="Courier New" w:hAnsi="Courier New"/>
          <w:sz w:val="16"/>
          <w:szCs w:val="16"/>
          <w:color w:val="auto"/>
        </w:rPr>
      </w:pPr>
    </w:p>
    <w:p>
      <w:pPr>
        <w:ind w:left="1400" w:right="2959" w:firstLine="456"/>
        <w:spacing w:after="0" w:line="234" w:lineRule="auto"/>
        <w:tabs>
          <w:tab w:leader="none" w:pos="2237" w:val="left"/>
        </w:tabs>
        <w:numPr>
          <w:ilvl w:val="1"/>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 long as it is required under any other provision of the Indenture,</w:t>
      </w:r>
    </w:p>
    <w:p>
      <w:pPr>
        <w:spacing w:after="0" w:line="183" w:lineRule="exact"/>
        <w:rPr>
          <w:sz w:val="20"/>
          <w:szCs w:val="20"/>
          <w:color w:val="auto"/>
        </w:rPr>
      </w:pPr>
    </w:p>
    <w:p>
      <w:pPr>
        <w:ind w:right="2879"/>
        <w:spacing w:after="0" w:line="234" w:lineRule="auto"/>
        <w:rPr>
          <w:sz w:val="20"/>
          <w:szCs w:val="20"/>
          <w:color w:val="auto"/>
        </w:rPr>
      </w:pPr>
      <w:r>
        <w:rPr>
          <w:rFonts w:ascii="Courier New" w:cs="Courier New" w:eastAsia="Courier New" w:hAnsi="Courier New"/>
          <w:sz w:val="16"/>
          <w:szCs w:val="16"/>
          <w:color w:val="auto"/>
        </w:rPr>
        <w:t>the Company will maintain with respect to each such series of Securities, or as so required, at least one Exchange Rate Agent.</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1003. Money for Securities Payments to be Held in Trust</w:t>
      </w:r>
    </w:p>
    <w:p>
      <w:pPr>
        <w:ind w:left="17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1391"/>
        <w:spacing w:after="0" w:line="273" w:lineRule="auto"/>
        <w:tabs>
          <w:tab w:leader="none" w:pos="1767"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or any Subsidiary or any Affiliate of any of them shall at any time act as Paying Agent with respect to any series of any Securities and any related coupons, it will, on or before each due date of the principal of (or premium, if any) or interest, if any, on any of the Securities of that series, segregate and hold in trust for the benefit of the Persons entitled thereto a sum in the Currency in which the Securities of such series are payable (except as otherwise specified pursuant to Section 301 for the Securities of such series and except, if applicable, as provided in Subsections 312(b), 312(d) and 312(e)) sufficient to pay the principal (and premium, if any) and interest, if any, on Securities of such series so becoming due until such sums shall be paid to such Persons or otherwise disposed of as herein provided, and will promptly notify the Trustee of its action or failure so to act.</w:t>
      </w:r>
    </w:p>
    <w:p>
      <w:pPr>
        <w:spacing w:after="0" w:line="341" w:lineRule="exact"/>
        <w:rPr>
          <w:rFonts w:ascii="Courier New" w:cs="Courier New" w:eastAsia="Courier New" w:hAnsi="Courier New"/>
          <w:sz w:val="14"/>
          <w:szCs w:val="14"/>
          <w:color w:val="auto"/>
        </w:rPr>
      </w:pPr>
    </w:p>
    <w:p>
      <w:pPr>
        <w:ind w:right="2779" w:firstLine="1391"/>
        <w:spacing w:after="0" w:line="276" w:lineRule="auto"/>
        <w:tabs>
          <w:tab w:leader="none" w:pos="1767"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the Company shall have one or more Paying Agents for any series of Securities and any related coupons, it will, on or before each due date of the principal of (or premium, if any) or interest, if any, on any Securities of that series, deposit with a Paying Agent a sum (in the Currency described in Subsection 1003(a)) sufficient to pay the principal (or premium, if</w:t>
      </w:r>
    </w:p>
    <w:p>
      <w:pPr>
        <w:spacing w:after="0" w:line="33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69</w:t>
      </w:r>
    </w:p>
    <w:p>
      <w:pPr>
        <w:sectPr>
          <w:pgSz w:w="11900" w:h="16838" w:orient="portrait"/>
          <w:cols w:equalWidth="0" w:num="1">
            <w:col w:w="10219"/>
          </w:cols>
          <w:pgMar w:left="240" w:top="654" w:right="1440" w:bottom="1440" w:gutter="0" w:footer="0" w:header="0"/>
        </w:sectPr>
      </w:pPr>
    </w:p>
    <w:bookmarkStart w:id="149" w:name="page150"/>
    <w:bookmarkEnd w:id="149"/>
    <w:p>
      <w:pPr>
        <w:ind w:right="2879"/>
        <w:spacing w:after="0" w:line="235" w:lineRule="auto"/>
        <w:rPr>
          <w:sz w:val="20"/>
          <w:szCs w:val="20"/>
          <w:color w:val="auto"/>
        </w:rPr>
      </w:pPr>
      <w:r>
        <w:rPr>
          <w:rFonts w:ascii="Courier New" w:cs="Courier New" w:eastAsia="Courier New" w:hAnsi="Courier New"/>
          <w:sz w:val="16"/>
          <w:szCs w:val="16"/>
          <w:color w:val="auto"/>
        </w:rPr>
        <w:t>any) or interest, if any, so becoming due, such sum to be held in trust for the benefit of the Persons entitled to such principal, premium or interest and (unless such Paying Agent is the Trustee) the Company will promptly notify the Trustee of its action or failure so to act.</w:t>
      </w:r>
    </w:p>
    <w:p>
      <w:pPr>
        <w:spacing w:after="0" w:line="185" w:lineRule="exact"/>
        <w:rPr>
          <w:sz w:val="20"/>
          <w:szCs w:val="20"/>
          <w:color w:val="auto"/>
        </w:rPr>
      </w:pPr>
    </w:p>
    <w:p>
      <w:pPr>
        <w:ind w:right="2779" w:firstLine="1391"/>
        <w:spacing w:after="0" w:line="236" w:lineRule="auto"/>
        <w:tabs>
          <w:tab w:leader="none" w:pos="1767" w:val="left"/>
        </w:tabs>
        <w:numPr>
          <w:ilvl w:val="0"/>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sums.</w:t>
      </w:r>
    </w:p>
    <w:p>
      <w:pPr>
        <w:spacing w:after="0" w:line="184" w:lineRule="exact"/>
        <w:rPr>
          <w:rFonts w:ascii="Courier New" w:cs="Courier New" w:eastAsia="Courier New" w:hAnsi="Courier New"/>
          <w:sz w:val="16"/>
          <w:szCs w:val="16"/>
          <w:color w:val="auto"/>
        </w:rPr>
      </w:pPr>
    </w:p>
    <w:p>
      <w:pPr>
        <w:ind w:right="2779" w:firstLine="1391"/>
        <w:spacing w:after="0" w:line="272" w:lineRule="auto"/>
        <w:tabs>
          <w:tab w:leader="none" w:pos="1767"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provided in the Securities of any series, any money deposited with the Trustee or any Paying Agent, or then held by the Company, in trust for the payment of the principal of (or premium, if any) or interest, if any, on any Security of any series and remaining unclaimed for two years after such principal, premium or interest has become due and payable shall be paid to the Company upon Company Request or (if then held by the Company) shall be discharged from such trust; and the Holder of such Security shall thereafter, as an unsecured general creditor, look only to the Company for payment of such principal, premium or interest on any Security, without interest thereon, and all liability of the Trustee or such Paying Agent with respect to such trust money, and all liability of the Company as trustee thereof, shall thereupon cease; provided, that, the Trustee or such Paying Agent, before being required to make any such repayment, may at the expense of the Company cause to be published once, in an Authorized Newspaper in each Place of Payment for such series, or mailed to each Holder of Registered Securities of such series, notice that such money remains unclaimed and that, after a date specified therein, which shall not be less than 30 days from the date of such publication, any unclaimed balance of such money then remaining will be repaid to the Company.</w:t>
      </w:r>
    </w:p>
    <w:p>
      <w:pPr>
        <w:spacing w:after="0" w:line="33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1004. Corporate Existence</w:t>
      </w:r>
    </w:p>
    <w:p>
      <w:pPr>
        <w:ind w:left="17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1395"/>
        <w:spacing w:after="0" w:line="236" w:lineRule="auto"/>
        <w:rPr>
          <w:sz w:val="20"/>
          <w:szCs w:val="20"/>
          <w:color w:val="auto"/>
        </w:rPr>
      </w:pPr>
      <w:r>
        <w:rPr>
          <w:rFonts w:ascii="Courier New" w:cs="Courier New" w:eastAsia="Courier New" w:hAnsi="Courier New"/>
          <w:sz w:val="16"/>
          <w:szCs w:val="16"/>
          <w:color w:val="auto"/>
        </w:rPr>
        <w:t>Subject to Article Eight, the Company shall do or cause to be done all things necessary to preserve and keep in full force and effect its corporate existence and material rights and franchises (charter and statutory); provided, that, neither the Company shall be required to preserve any such right or franchise if it shall determine that the preservation thereof is no longer necessary or desirable in the conduct of the business of the Company; and provided further, however, that the foregoing shall not prohibit a sale, transfer or conveyance of a Subsidiary or any of its assets in compliance with the terms of the Indenture.</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1005. Additional Amounts</w:t>
      </w:r>
    </w:p>
    <w:p>
      <w:pPr>
        <w:ind w:left="17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1391"/>
        <w:spacing w:after="0" w:line="273" w:lineRule="auto"/>
        <w:tabs>
          <w:tab w:leader="none" w:pos="1767"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Securities of a series provide for the payment of Additional Amounts, the Company will pay to the Holder of a Security of such series or any coupon appertaining thereto Additional Amounts as may be specified as contemplated by Section 301. Whenever in this Indenture there is mentioned, in any context, the payment of the principal of (or premium, if any) or interest, if any, on any Security of any series or payment of any related coupon or the net proceeds received on the sale or exchange of any Security of any series, such mention shall be deemed to include mention of the payment of Additional Amounts provided by the terms of such series established pursuant to Section 301 to the extent that, in such context, Additional Amounts are, were or would be payable in respect thereof pursuant to such terms and express mention</w:t>
      </w:r>
    </w:p>
    <w:p>
      <w:pPr>
        <w:spacing w:after="0" w:line="200" w:lineRule="exact"/>
        <w:rPr>
          <w:sz w:val="20"/>
          <w:szCs w:val="20"/>
          <w:color w:val="auto"/>
        </w:rPr>
      </w:pPr>
    </w:p>
    <w:p>
      <w:pPr>
        <w:spacing w:after="0" w:line="31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70</w:t>
      </w:r>
    </w:p>
    <w:p>
      <w:pPr>
        <w:sectPr>
          <w:pgSz w:w="11900" w:h="16838" w:orient="portrait"/>
          <w:cols w:equalWidth="0" w:num="1">
            <w:col w:w="10219"/>
          </w:cols>
          <w:pgMar w:left="240" w:top="654" w:right="1440" w:bottom="1440" w:gutter="0" w:footer="0" w:header="0"/>
        </w:sectPr>
      </w:pPr>
    </w:p>
    <w:bookmarkStart w:id="150" w:name="page151"/>
    <w:bookmarkEnd w:id="150"/>
    <w:p>
      <w:pPr>
        <w:ind w:right="3059"/>
        <w:spacing w:after="0" w:line="235" w:lineRule="auto"/>
        <w:rPr>
          <w:sz w:val="20"/>
          <w:szCs w:val="20"/>
          <w:color w:val="auto"/>
        </w:rPr>
      </w:pPr>
      <w:r>
        <w:rPr>
          <w:rFonts w:ascii="Courier New" w:cs="Courier New" w:eastAsia="Courier New" w:hAnsi="Courier New"/>
          <w:sz w:val="16"/>
          <w:szCs w:val="16"/>
          <w:color w:val="auto"/>
        </w:rPr>
        <w:t>of the payment of Additional Amounts (if applicable) in any provisions hereof shall not be construed as excluding Additional Amounts in those provisions hereof where such express mention is not made.</w:t>
      </w:r>
    </w:p>
    <w:p>
      <w:pPr>
        <w:spacing w:after="0" w:line="183" w:lineRule="exact"/>
        <w:rPr>
          <w:sz w:val="20"/>
          <w:szCs w:val="20"/>
          <w:color w:val="auto"/>
        </w:rPr>
      </w:pPr>
    </w:p>
    <w:p>
      <w:pPr>
        <w:ind w:right="2779" w:firstLine="1391"/>
        <w:spacing w:after="0" w:line="271" w:lineRule="auto"/>
        <w:tabs>
          <w:tab w:leader="none" w:pos="1767"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specified as contemplated by Section 301, if the Securities of a series provide for the payment of Additional Amounts, at least 10 days prior to the first Interest Payment Date with respect to that series of Securities (or if the Securities of that series will not bear interest prior to Maturity, the first day on which a payment of principal and any premium is made), and at least 10 days prior to each date of payment of principal, premium or interest if there has been any change with respect to the matters set forth in the below-mentioned Officers' Certificate, the Company will furnish the Trustee and the Company's principal Paying Agent or Paying Agents, if other than the Trustee, with an Officers' Certificate instructing the Trustee and such Paying Agent or Paying Agents whether such payment of principal, premium or interest on the Securities of that series shall be made to Holders of Securities of that series or any related coupons who are not United States persons without withholding for or on account of any tax, assessment or other governmental charge described in the Securities of the series. If any such withholding shall be required, then such Officers' Certificate shall specify by country the amount, if any, required to be withheld on such payments to such Holders of Securities of that series or related coupons and the Company will pay to the Trustee or such Paying Agent the Additional Amounts required by the terms of such Securities. In the event that the Trustee or any Paying Agent, as the case may be, shall not so receive the above-mentioned certificate, then the Trustee or such Paying Agent shall be entitled (1) to assume that no such withholding or deduction is required with respect to any payment of principal of (or premium, if any) or interest with respect to any Securities of a series or related coupons until it shall have received a certificate advising otherwise and (2) to make all payments of principal of (or premium, if any) and interest with respect to the Securities of a series or related coupons without withholding or deductions until otherwise advised. The Company covenants to indemnify the Trustee and any Paying Agent for, and to hold them harmless against, any loss, liability or expense reasonably incurred without negligence or bad faith on their part arising out of or in connection with actions taken or omitted by any of them in reliance on any Officers' Certificate furnished pursuant to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1006. Statement as to Compliance</w:t>
      </w:r>
    </w:p>
    <w:p>
      <w:pPr>
        <w:ind w:left="17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879" w:firstLine="1395"/>
        <w:spacing w:after="0" w:line="236" w:lineRule="auto"/>
        <w:rPr>
          <w:sz w:val="20"/>
          <w:szCs w:val="20"/>
          <w:color w:val="auto"/>
        </w:rPr>
      </w:pPr>
      <w:r>
        <w:rPr>
          <w:rFonts w:ascii="Courier New" w:cs="Courier New" w:eastAsia="Courier New" w:hAnsi="Courier New"/>
          <w:sz w:val="16"/>
          <w:szCs w:val="16"/>
          <w:color w:val="auto"/>
        </w:rPr>
        <w:t>The Company will deliver to the Trustee, within 120 days after the end of each fiscal year, a brief certificate from the principal executive officer, principal financial officer or principal accounting officer as to his or her knowledge of the Company's compliance with all conditions and covenants under this Indenture and, if the Company is in default, specifying all such defaults and the nature and status thereof of which he or she may have knowledge. For purposes of this Section 1006, such compliance shall be determined without regard to any period of grace or requirement of notice under this Indenture.</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1007. Waiver of Certain Covenants</w:t>
      </w:r>
    </w:p>
    <w:p>
      <w:pPr>
        <w:ind w:left="17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879" w:firstLine="1395"/>
        <w:spacing w:after="0" w:line="279" w:lineRule="auto"/>
        <w:rPr>
          <w:sz w:val="20"/>
          <w:szCs w:val="20"/>
          <w:color w:val="auto"/>
        </w:rPr>
      </w:pPr>
      <w:r>
        <w:rPr>
          <w:rFonts w:ascii="Courier New" w:cs="Courier New" w:eastAsia="Courier New" w:hAnsi="Courier New"/>
          <w:sz w:val="14"/>
          <w:szCs w:val="14"/>
          <w:color w:val="auto"/>
        </w:rPr>
        <w:t>With respect to the Securities of any series, the Company may omit in any particular instance to comply with any term, provision or condition specified pursuant to Section 301 as being subject to this Section 1007, if before or after the time for such compliance the Holders of at least a majority</w:t>
      </w:r>
    </w:p>
    <w:p>
      <w:pPr>
        <w:spacing w:after="0" w:line="33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71</w:t>
      </w:r>
    </w:p>
    <w:p>
      <w:pPr>
        <w:sectPr>
          <w:pgSz w:w="11900" w:h="16838" w:orient="portrait"/>
          <w:cols w:equalWidth="0" w:num="1">
            <w:col w:w="10219"/>
          </w:cols>
          <w:pgMar w:left="240" w:top="655" w:right="1440" w:bottom="1440" w:gutter="0" w:footer="0" w:header="0"/>
        </w:sectPr>
      </w:pPr>
    </w:p>
    <w:bookmarkStart w:id="151" w:name="page152"/>
    <w:bookmarkEnd w:id="151"/>
    <w:p>
      <w:pPr>
        <w:ind w:right="2779"/>
        <w:spacing w:after="0" w:line="236" w:lineRule="auto"/>
        <w:rPr>
          <w:sz w:val="20"/>
          <w:szCs w:val="20"/>
          <w:color w:val="auto"/>
        </w:rPr>
      </w:pPr>
      <w:r>
        <w:rPr>
          <w:rFonts w:ascii="Courier New" w:cs="Courier New" w:eastAsia="Courier New" w:hAnsi="Courier New"/>
          <w:sz w:val="16"/>
          <w:szCs w:val="16"/>
          <w:color w:val="auto"/>
        </w:rPr>
        <w:t>in principal amount of all Outstanding Securities of such series affected by such term, provision or condition, by Act of such Holders, waive such compliance in such instance or generally waive compliance with such term, provision or condition, but no such waiver shall extend to or affect such term, provision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17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1008. Statement by Officers as to Default</w:t>
      </w:r>
    </w:p>
    <w:p>
      <w:pPr>
        <w:ind w:left="17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1395"/>
        <w:spacing w:after="0" w:line="236" w:lineRule="auto"/>
        <w:rPr>
          <w:sz w:val="20"/>
          <w:szCs w:val="20"/>
          <w:color w:val="auto"/>
        </w:rPr>
      </w:pPr>
      <w:r>
        <w:rPr>
          <w:rFonts w:ascii="Courier New" w:cs="Courier New" w:eastAsia="Courier New" w:hAnsi="Courier New"/>
          <w:sz w:val="16"/>
          <w:szCs w:val="16"/>
          <w:color w:val="auto"/>
        </w:rPr>
        <w:t>The Company shall deliver to the Trustee, as soon as possible and in any event within [ten] days after the Company becomes aware of the occurrence of any Event of Default or an event which, with notice or the lapse of time or both, would constitute an Event of Default, an Officers' Certificate setting forth the details of such Event of Default or default and the action which the Company proposes to take with respect thereto.</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ARTICLE ELEVEN</w:t>
      </w:r>
    </w:p>
    <w:p>
      <w:pPr>
        <w:jc w:val="center"/>
        <w:ind w:right="2779"/>
        <w:spacing w:after="0" w:line="236" w:lineRule="auto"/>
        <w:rPr>
          <w:sz w:val="20"/>
          <w:szCs w:val="20"/>
          <w:color w:val="auto"/>
        </w:rPr>
      </w:pPr>
      <w:r>
        <w:rPr>
          <w:rFonts w:ascii="Courier New" w:cs="Courier New" w:eastAsia="Courier New" w:hAnsi="Courier New"/>
          <w:sz w:val="16"/>
          <w:szCs w:val="16"/>
          <w:color w:val="auto"/>
        </w:rPr>
        <w:t>REDEMPTION OF SECURITIES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1101. Applicability of Article</w:t>
      </w:r>
    </w:p>
    <w:p>
      <w:pPr>
        <w:ind w:left="17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1395"/>
        <w:spacing w:after="0" w:line="235" w:lineRule="auto"/>
        <w:rPr>
          <w:sz w:val="20"/>
          <w:szCs w:val="20"/>
          <w:color w:val="auto"/>
        </w:rPr>
      </w:pPr>
      <w:r>
        <w:rPr>
          <w:rFonts w:ascii="Courier New" w:cs="Courier New" w:eastAsia="Courier New" w:hAnsi="Courier New"/>
          <w:sz w:val="16"/>
          <w:szCs w:val="16"/>
          <w:color w:val="auto"/>
        </w:rPr>
        <w:t>Securities of any series which are redeemable before their Stated Maturity shall be redeemable in accordance with their terms and (except as otherwise specified as contemplated by Section 301 for Securities of any series) in accordance with this Article.</w:t>
      </w:r>
    </w:p>
    <w:p>
      <w:pPr>
        <w:spacing w:after="0" w:line="17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1102. Election to Redeem; Notice to Trustee</w:t>
      </w:r>
    </w:p>
    <w:p>
      <w:pPr>
        <w:ind w:left="17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1395"/>
        <w:spacing w:after="0" w:line="236" w:lineRule="auto"/>
        <w:rPr>
          <w:sz w:val="20"/>
          <w:szCs w:val="20"/>
          <w:color w:val="auto"/>
        </w:rPr>
      </w:pPr>
      <w:r>
        <w:rPr>
          <w:rFonts w:ascii="Courier New" w:cs="Courier New" w:eastAsia="Courier New" w:hAnsi="Courier New"/>
          <w:sz w:val="16"/>
          <w:szCs w:val="16"/>
          <w:color w:val="auto"/>
        </w:rPr>
        <w:t>The election of the Company to redeem any Securities shall be evidenced by or pursuant to a Board Resolution. In case of any redemption at the election of the Company of less than all of the Securities of any series, the Company shall, at least 60 days prior to the Redemption Date fixed by the Company (unless a shorter notice shall be satisfactory to the Trustee), notify the Trustee in writing of such Redemption Date and of the principal amount of Securities of such series to be redeemed. In the case of any redemption of Securities prior to the expiration of any restriction on such redemption provided in the terms of such Securities or elsewhere in this Indenture, the Company shall furnish the Trustee with an Officers' Certificate evidencing compliance with such restriction.</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1103. Selection by Trustee of Securities to be Redeemed</w:t>
      </w:r>
    </w:p>
    <w:p>
      <w:pPr>
        <w:ind w:left="17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1395"/>
        <w:spacing w:after="0" w:line="236" w:lineRule="auto"/>
        <w:rPr>
          <w:sz w:val="20"/>
          <w:szCs w:val="20"/>
          <w:color w:val="auto"/>
        </w:rPr>
      </w:pPr>
      <w:r>
        <w:rPr>
          <w:rFonts w:ascii="Courier New" w:cs="Courier New" w:eastAsia="Courier New" w:hAnsi="Courier New"/>
          <w:sz w:val="16"/>
          <w:szCs w:val="16"/>
          <w:color w:val="auto"/>
        </w:rPr>
        <w:t>If less than all the Securities of any series issued on the same day with the same terms are to be redeemed, the particular Securities to be redeemed shall be selected not more than 60 days prior to the Redemption Date by the Trustee, from the Outstanding Securities of such series issued on such date with the same terms not previously called for redemption, by such method as the Trustee shall deem fair and appropriate and which may provide for the selection for redemption of portions (equal to the minimum authorized denomination for Securities of that series or any integral multiple thereof) of the principal amount of Securities of such series of a denomination larger than the minimum authorized denomination for Securities of that series.</w:t>
      </w:r>
    </w:p>
    <w:p>
      <w:pPr>
        <w:spacing w:after="0" w:line="35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72</w:t>
      </w:r>
    </w:p>
    <w:p>
      <w:pPr>
        <w:sectPr>
          <w:pgSz w:w="11900" w:h="16838" w:orient="portrait"/>
          <w:cols w:equalWidth="0" w:num="1">
            <w:col w:w="10219"/>
          </w:cols>
          <w:pgMar w:left="240" w:top="654" w:right="1440" w:bottom="1440" w:gutter="0" w:footer="0" w:header="0"/>
        </w:sectPr>
      </w:pPr>
    </w:p>
    <w:bookmarkStart w:id="152" w:name="page153"/>
    <w:bookmarkEnd w:id="152"/>
    <w:p>
      <w:pPr>
        <w:ind w:right="2959" w:firstLine="1395"/>
        <w:spacing w:after="0" w:line="235" w:lineRule="auto"/>
        <w:rPr>
          <w:sz w:val="20"/>
          <w:szCs w:val="20"/>
          <w:color w:val="auto"/>
        </w:rPr>
      </w:pPr>
      <w:r>
        <w:rPr>
          <w:rFonts w:ascii="Courier New" w:cs="Courier New" w:eastAsia="Courier New" w:hAnsi="Courier New"/>
          <w:sz w:val="16"/>
          <w:szCs w:val="16"/>
          <w:color w:val="auto"/>
        </w:rPr>
        <w:t>The Trustee shall promptly notify the Company and the Security Registrar (if other than itself) in writing of the Securities selected for redemption and, in the case of any Securities selected for partial redemption, the principal amount thereof to be redeemed.</w:t>
      </w:r>
    </w:p>
    <w:p>
      <w:pPr>
        <w:spacing w:after="0" w:line="185" w:lineRule="exact"/>
        <w:rPr>
          <w:sz w:val="20"/>
          <w:szCs w:val="20"/>
          <w:color w:val="auto"/>
        </w:rPr>
      </w:pPr>
    </w:p>
    <w:p>
      <w:pPr>
        <w:ind w:right="2879" w:firstLine="1395"/>
        <w:spacing w:after="0" w:line="235" w:lineRule="auto"/>
        <w:rPr>
          <w:sz w:val="20"/>
          <w:szCs w:val="20"/>
          <w:color w:val="auto"/>
        </w:rPr>
      </w:pPr>
      <w:r>
        <w:rPr>
          <w:rFonts w:ascii="Courier New" w:cs="Courier New" w:eastAsia="Courier New" w:hAnsi="Courier New"/>
          <w:sz w:val="16"/>
          <w:szCs w:val="16"/>
          <w:color w:val="auto"/>
        </w:rPr>
        <w:t>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1104. Notice of Redemption</w:t>
      </w:r>
    </w:p>
    <w:p>
      <w:pPr>
        <w:ind w:left="17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1391"/>
        <w:spacing w:after="0" w:line="274" w:lineRule="auto"/>
        <w:tabs>
          <w:tab w:leader="none" w:pos="1767"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redemption shall be given in the manner provided in Section 106, not less than 30 days nor more than 60 days prior to the Redemption Date, unless a shorter period is specified by the terms of such series established pursuant to Section 301, to each Holder of Securities to be redeemed, but failure to give such notice in the manner herein provided to the Holder of any Security designated for redemption as a whole or in part, or any defect in the notice to any such Holder, shall not affect the validity of the proceedings for the redemption of any other such Security or portion thereof.</w:t>
      </w:r>
    </w:p>
    <w:p>
      <w:pPr>
        <w:spacing w:after="0" w:line="161" w:lineRule="exact"/>
        <w:rPr>
          <w:rFonts w:ascii="Courier New" w:cs="Courier New" w:eastAsia="Courier New" w:hAnsi="Courier New"/>
          <w:sz w:val="14"/>
          <w:szCs w:val="14"/>
          <w:color w:val="auto"/>
        </w:rPr>
      </w:pPr>
    </w:p>
    <w:p>
      <w:pPr>
        <w:ind w:right="2879" w:firstLine="1391"/>
        <w:spacing w:after="0" w:line="235" w:lineRule="auto"/>
        <w:tabs>
          <w:tab w:leader="none" w:pos="1767" w:val="left"/>
        </w:tabs>
        <w:numPr>
          <w:ilvl w:val="0"/>
          <w:numId w:val="1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notice that is mailed to the Holders of Registered Securities in the manner herein provided shall be conclusively presumed to have been duly given, whether or not the Holder receives the notice. All notices of redemption shall state:</w:t>
      </w:r>
    </w:p>
    <w:p>
      <w:pPr>
        <w:spacing w:after="0" w:line="178" w:lineRule="exact"/>
        <w:rPr>
          <w:rFonts w:ascii="Courier New" w:cs="Courier New" w:eastAsia="Courier New" w:hAnsi="Courier New"/>
          <w:sz w:val="16"/>
          <w:szCs w:val="16"/>
          <w:color w:val="auto"/>
        </w:rPr>
      </w:pPr>
    </w:p>
    <w:p>
      <w:pPr>
        <w:ind w:left="2220" w:hanging="364"/>
        <w:spacing w:after="0"/>
        <w:tabs>
          <w:tab w:leader="none" w:pos="2220" w:val="left"/>
        </w:tabs>
        <w:numPr>
          <w:ilvl w:val="1"/>
          <w:numId w:val="1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Redemption Date,</w:t>
      </w:r>
    </w:p>
    <w:p>
      <w:pPr>
        <w:spacing w:after="0" w:line="182" w:lineRule="exact"/>
        <w:rPr>
          <w:rFonts w:ascii="Courier New" w:cs="Courier New" w:eastAsia="Courier New" w:hAnsi="Courier New"/>
          <w:sz w:val="16"/>
          <w:szCs w:val="16"/>
          <w:color w:val="auto"/>
        </w:rPr>
      </w:pPr>
    </w:p>
    <w:p>
      <w:pPr>
        <w:ind w:left="1400" w:right="2779" w:firstLine="456"/>
        <w:spacing w:after="0" w:line="235" w:lineRule="auto"/>
        <w:tabs>
          <w:tab w:leader="none" w:pos="2237" w:val="left"/>
        </w:tabs>
        <w:numPr>
          <w:ilvl w:val="1"/>
          <w:numId w:val="1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Redemption Price and the amount of accrued interest, if any, to the Redemption Date payable as provided in Section 1106,</w:t>
      </w:r>
    </w:p>
    <w:p>
      <w:pPr>
        <w:spacing w:after="0" w:line="183" w:lineRule="exact"/>
        <w:rPr>
          <w:rFonts w:ascii="Courier New" w:cs="Courier New" w:eastAsia="Courier New" w:hAnsi="Courier New"/>
          <w:sz w:val="16"/>
          <w:szCs w:val="16"/>
          <w:color w:val="auto"/>
        </w:rPr>
      </w:pPr>
    </w:p>
    <w:p>
      <w:pPr>
        <w:ind w:left="1400" w:right="2959" w:firstLine="456"/>
        <w:spacing w:after="0" w:line="235" w:lineRule="auto"/>
        <w:tabs>
          <w:tab w:leader="none" w:pos="2237" w:val="left"/>
        </w:tabs>
        <w:numPr>
          <w:ilvl w:val="1"/>
          <w:numId w:val="1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less than all the Outstanding Securities of any series are to be redeemed, the identification (and, in the case of partial redemption, the principal amount) of the particular Securities to be redeemed,</w:t>
      </w:r>
    </w:p>
    <w:p>
      <w:pPr>
        <w:spacing w:after="0" w:line="184" w:lineRule="exact"/>
        <w:rPr>
          <w:rFonts w:ascii="Courier New" w:cs="Courier New" w:eastAsia="Courier New" w:hAnsi="Courier New"/>
          <w:sz w:val="16"/>
          <w:szCs w:val="16"/>
          <w:color w:val="auto"/>
        </w:rPr>
      </w:pPr>
    </w:p>
    <w:p>
      <w:pPr>
        <w:ind w:left="1400" w:right="2779" w:firstLine="456"/>
        <w:spacing w:after="0" w:line="236" w:lineRule="auto"/>
        <w:tabs>
          <w:tab w:leader="none" w:pos="2237" w:val="left"/>
        </w:tabs>
        <w:numPr>
          <w:ilvl w:val="1"/>
          <w:numId w:val="1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any Security is to be redeemed in part only, the notice which relates to such Security shall state that on and after the Redemption Date, upon surrender of such Security, the Holder will receive, without a charge, a new Security or Securities of authorized denominations for the principal amount thereof remaining unredeemed,</w:t>
      </w:r>
    </w:p>
    <w:p>
      <w:pPr>
        <w:spacing w:after="0" w:line="182" w:lineRule="exact"/>
        <w:rPr>
          <w:rFonts w:ascii="Courier New" w:cs="Courier New" w:eastAsia="Courier New" w:hAnsi="Courier New"/>
          <w:sz w:val="16"/>
          <w:szCs w:val="16"/>
          <w:color w:val="auto"/>
        </w:rPr>
      </w:pPr>
    </w:p>
    <w:p>
      <w:pPr>
        <w:ind w:left="1400" w:right="3059" w:firstLine="456"/>
        <w:spacing w:after="0" w:line="236" w:lineRule="auto"/>
        <w:tabs>
          <w:tab w:leader="none" w:pos="2237" w:val="left"/>
        </w:tabs>
        <w:numPr>
          <w:ilvl w:val="1"/>
          <w:numId w:val="1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on the Redemption Date, the Redemption Price and accrued interest, if any, to the Redemption Date payable as provided in Section 1106 will become due and payable upon each such Security, or the portion thereof, to be redeemed and, if applicable, that interest thereon shall cease to accrue on and after said date,</w:t>
      </w:r>
    </w:p>
    <w:p>
      <w:pPr>
        <w:spacing w:after="0" w:line="182" w:lineRule="exact"/>
        <w:rPr>
          <w:rFonts w:ascii="Courier New" w:cs="Courier New" w:eastAsia="Courier New" w:hAnsi="Courier New"/>
          <w:sz w:val="16"/>
          <w:szCs w:val="16"/>
          <w:color w:val="auto"/>
        </w:rPr>
      </w:pPr>
    </w:p>
    <w:p>
      <w:pPr>
        <w:ind w:left="1400" w:right="2779" w:firstLine="456"/>
        <w:spacing w:after="0" w:line="235" w:lineRule="auto"/>
        <w:tabs>
          <w:tab w:leader="none" w:pos="2237" w:val="left"/>
        </w:tabs>
        <w:numPr>
          <w:ilvl w:val="1"/>
          <w:numId w:val="1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Place or Places of Payment where such Securities, together in the case of Bearer Securities with all coupons appertaining thereto, if any, maturing after the Redemption Date, are to be surrendered for payment of the Redemption Price and accrued interest, if any,</w:t>
      </w:r>
    </w:p>
    <w:p>
      <w:pPr>
        <w:spacing w:after="0" w:line="35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73</w:t>
      </w:r>
    </w:p>
    <w:p>
      <w:pPr>
        <w:sectPr>
          <w:pgSz w:w="11900" w:h="16838" w:orient="portrait"/>
          <w:cols w:equalWidth="0" w:num="1">
            <w:col w:w="10219"/>
          </w:cols>
          <w:pgMar w:left="240" w:top="655" w:right="1440" w:bottom="1440" w:gutter="0" w:footer="0" w:header="0"/>
        </w:sectPr>
      </w:pPr>
    </w:p>
    <w:bookmarkStart w:id="153" w:name="page154"/>
    <w:bookmarkEnd w:id="153"/>
    <w:p>
      <w:pPr>
        <w:ind w:left="2220" w:hanging="364"/>
        <w:spacing w:after="0"/>
        <w:tabs>
          <w:tab w:leader="none" w:pos="2220" w:val="left"/>
        </w:tabs>
        <w:numPr>
          <w:ilvl w:val="0"/>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the redemption is for a sinking fund, if such is</w:t>
      </w:r>
    </w:p>
    <w:p>
      <w:pPr>
        <w:ind w:left="140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case,</w:t>
      </w:r>
    </w:p>
    <w:p>
      <w:pPr>
        <w:spacing w:after="0" w:line="183" w:lineRule="exact"/>
        <w:rPr>
          <w:rFonts w:ascii="Courier New" w:cs="Courier New" w:eastAsia="Courier New" w:hAnsi="Courier New"/>
          <w:sz w:val="16"/>
          <w:szCs w:val="16"/>
          <w:color w:val="auto"/>
        </w:rPr>
      </w:pPr>
    </w:p>
    <w:p>
      <w:pPr>
        <w:ind w:left="1400" w:right="2779" w:firstLine="456"/>
        <w:spacing w:after="0" w:line="274" w:lineRule="auto"/>
        <w:tabs>
          <w:tab w:leader="none" w:pos="2237"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unless otherwise specified in such notice, Bearer Securities of any series, if any, surrendered for redemption must be accompanied by all coupons maturing subsequent to the Redemption Date or the amount of any such missing coupon or coupons will be deducted from the Redemption Price, unless security or indemnity satisfactory to the Company, the Trustee for such series and any Paying Agent is furnished,</w:t>
      </w:r>
    </w:p>
    <w:p>
      <w:pPr>
        <w:spacing w:after="0" w:line="163" w:lineRule="exact"/>
        <w:rPr>
          <w:rFonts w:ascii="Courier New" w:cs="Courier New" w:eastAsia="Courier New" w:hAnsi="Courier New"/>
          <w:sz w:val="14"/>
          <w:szCs w:val="14"/>
          <w:color w:val="auto"/>
        </w:rPr>
      </w:pPr>
    </w:p>
    <w:p>
      <w:pPr>
        <w:ind w:left="1400" w:right="2959" w:firstLine="456"/>
        <w:spacing w:after="0" w:line="236" w:lineRule="auto"/>
        <w:tabs>
          <w:tab w:leader="none" w:pos="2237" w:val="left"/>
        </w:tabs>
        <w:numPr>
          <w:ilvl w:val="0"/>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Bearer Securities of any series are to be redeemed and any Registered Securities of such series are not to be redeemed, and if such Bearer Securities may be exchanged for Registered Securities not subject to redemption on this Redemption Date pursuant to Section 305 or otherwise, the last date, as determined by the Company, on which such exchanges may be made, and</w:t>
      </w:r>
    </w:p>
    <w:p>
      <w:pPr>
        <w:spacing w:after="0" w:line="177" w:lineRule="exact"/>
        <w:rPr>
          <w:rFonts w:ascii="Courier New" w:cs="Courier New" w:eastAsia="Courier New" w:hAnsi="Courier New"/>
          <w:sz w:val="16"/>
          <w:szCs w:val="16"/>
          <w:color w:val="auto"/>
        </w:rPr>
      </w:pPr>
    </w:p>
    <w:p>
      <w:pPr>
        <w:ind w:left="2320" w:hanging="464"/>
        <w:spacing w:after="0"/>
        <w:tabs>
          <w:tab w:leader="none" w:pos="2320" w:val="left"/>
        </w:tabs>
        <w:numPr>
          <w:ilvl w:val="0"/>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CUSIP number of such Security, if any.</w:t>
      </w:r>
    </w:p>
    <w:p>
      <w:pPr>
        <w:spacing w:after="0" w:line="183" w:lineRule="exact"/>
        <w:rPr>
          <w:sz w:val="20"/>
          <w:szCs w:val="20"/>
          <w:color w:val="auto"/>
        </w:rPr>
      </w:pPr>
    </w:p>
    <w:p>
      <w:pPr>
        <w:jc w:val="both"/>
        <w:ind w:right="3059" w:firstLine="1391"/>
        <w:spacing w:after="0" w:line="235" w:lineRule="auto"/>
        <w:tabs>
          <w:tab w:leader="none" w:pos="1767" w:val="left"/>
        </w:tabs>
        <w:numPr>
          <w:ilvl w:val="0"/>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of redemption of Securities to be redeemed shall be given by the Company or, at the Company's request, by the Trustee in the name and at the expense of the Company.</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1105. Deposit of Redemption Price</w:t>
      </w:r>
    </w:p>
    <w:p>
      <w:pPr>
        <w:ind w:left="17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1395"/>
        <w:spacing w:after="0" w:line="236" w:lineRule="auto"/>
        <w:rPr>
          <w:sz w:val="20"/>
          <w:szCs w:val="20"/>
          <w:color w:val="auto"/>
        </w:rPr>
      </w:pPr>
      <w:r>
        <w:rPr>
          <w:rFonts w:ascii="Courier New" w:cs="Courier New" w:eastAsia="Courier New" w:hAnsi="Courier New"/>
          <w:sz w:val="16"/>
          <w:szCs w:val="16"/>
          <w:color w:val="auto"/>
        </w:rPr>
        <w:t>On or prior to any Redemption Date, the Company shall deposit with the Trustee or with a Paying Agent (or, if the Company is acting as its own Paying Agent, which it may not do in the case of a sinking fund payment under Article Twelve, segregate and hold in trust as provided in Section 1003) an amount of money in the Currency in which the Securities of such series are payable (except as otherwise specified pursuant to Section 301 for the Securities of such series and except, if applicable, as provided in Subsections 312(b), 312(d) and 312(e)) sufficient to pay on the Redemption Date the Redemption Price of, and (unless otherwise specified pursuant to Section 301) accrued and unpaid interest, if any, on, all the Securities or portions thereof which are to be redeemed on that date.</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1106. Securities Payable on Redemption Date</w:t>
      </w:r>
    </w:p>
    <w:p>
      <w:pPr>
        <w:ind w:left="17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1391"/>
        <w:spacing w:after="0" w:line="272" w:lineRule="auto"/>
        <w:tabs>
          <w:tab w:leader="none" w:pos="1767"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redemption having been given as aforesaid, the Securities of any series so to be redeemed shall, on the Redemption Date, become due and payable at the Redemption Price therein specified in the Currency in which the Securities of such series are payable (except as otherwise specified pursuant to Section 301 for the Securities of such series and except, if applicable, as provided in Subsections 312(b), 312(d) and 312(e)) (together with accrued interest, if any, to the Redemption Date), and from and after such date (unless the Company shall default in the payment of the Redemption Price and accrued interest, if any) such Securities shall if the same were interest-bearing cease to bear interest and the coupons for such interest appertaining to any Bearer Securities so to be redeemed, except to the extent provided below, shall be void. Upon surrender of any such Security for redemption in accordance with said notice, together with all coupons, if any, appertaining thereto maturing after the Redemption Date, such Security shall be paid by the Company at the Redemption Price, together with accrued interest, if any, to the Redemption Date; provided, that, installments of interest on Bearer</w:t>
      </w:r>
    </w:p>
    <w:p>
      <w:pPr>
        <w:spacing w:after="0" w:line="200" w:lineRule="exact"/>
        <w:rPr>
          <w:sz w:val="20"/>
          <w:szCs w:val="20"/>
          <w:color w:val="auto"/>
        </w:rPr>
      </w:pPr>
    </w:p>
    <w:p>
      <w:pPr>
        <w:spacing w:after="0" w:line="31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74</w:t>
      </w:r>
    </w:p>
    <w:p>
      <w:pPr>
        <w:sectPr>
          <w:pgSz w:w="11900" w:h="16838" w:orient="portrait"/>
          <w:cols w:equalWidth="0" w:num="1">
            <w:col w:w="10219"/>
          </w:cols>
          <w:pgMar w:left="240" w:top="649" w:right="1440" w:bottom="1440" w:gutter="0" w:footer="0" w:header="0"/>
        </w:sectPr>
      </w:pPr>
    </w:p>
    <w:bookmarkStart w:id="154" w:name="page155"/>
    <w:bookmarkEnd w:id="154"/>
    <w:p>
      <w:pPr>
        <w:ind w:right="2779"/>
        <w:spacing w:after="0" w:line="273" w:lineRule="auto"/>
        <w:rPr>
          <w:sz w:val="20"/>
          <w:szCs w:val="20"/>
          <w:color w:val="auto"/>
        </w:rPr>
      </w:pPr>
      <w:r>
        <w:rPr>
          <w:rFonts w:ascii="Courier New" w:cs="Courier New" w:eastAsia="Courier New" w:hAnsi="Courier New"/>
          <w:sz w:val="14"/>
          <w:szCs w:val="14"/>
          <w:color w:val="auto"/>
        </w:rPr>
        <w:t>Securities whose Stated Maturity is on or prior to the Redemption Date shall be payable only at an office or agency located outside the United States (except as otherwise provided in Section 1002) and, unless otherwise specified as contemplated by Section 301, only upon presentation and surrender of coupons for such interest; and provided further that installments of interest on Registered Securities whose Stated Maturity is prior to (or, if specified pursuant to Section 301, on) the Redemption Date shall be payable to the Holders of such Securities, or one or more Predecessor Securities, registered as such at the close of business on the relevant Record Dates according to their terms and the provisions of Section 307.</w:t>
      </w:r>
    </w:p>
    <w:p>
      <w:pPr>
        <w:spacing w:after="0" w:line="344" w:lineRule="exact"/>
        <w:rPr>
          <w:sz w:val="20"/>
          <w:szCs w:val="20"/>
          <w:color w:val="auto"/>
        </w:rPr>
      </w:pPr>
    </w:p>
    <w:p>
      <w:pPr>
        <w:ind w:right="2779" w:firstLine="1391"/>
        <w:spacing w:after="0" w:line="272" w:lineRule="auto"/>
        <w:tabs>
          <w:tab w:leader="none" w:pos="1767"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Bearer Security surrendered for redemption shall not be accompanied by all appurtenant coupons maturing after the Redemption Date, such Security may be paid after deducting from the Redemption Price an amount equal to the face amount of all such missing coupons, or the surrender of such missing coupon or coupons may be waived by the Company and the Trustee if there be furnished to them such security or indemnity as they may require to save each of them and any Paying Agent harmless. If thereafter the Holder of such Security shall surrender to the Trustee or any Paying Agent any such missing coupon in respect of which a deduction shall have been made from the Redemption Price, such Holder shall be entitled to receive the amount so deducted; provided, that, interest represented by coupons shall be payable only at an office or agency located outside the United States (except as otherwise provided in Section 1002) and, unless otherwise specified as contemplated by Section 301, only upon presentation and surrender of those coupons.</w:t>
      </w:r>
    </w:p>
    <w:p>
      <w:pPr>
        <w:spacing w:after="0" w:line="346" w:lineRule="exact"/>
        <w:rPr>
          <w:rFonts w:ascii="Courier New" w:cs="Courier New" w:eastAsia="Courier New" w:hAnsi="Courier New"/>
          <w:sz w:val="14"/>
          <w:szCs w:val="14"/>
          <w:color w:val="auto"/>
        </w:rPr>
      </w:pPr>
    </w:p>
    <w:p>
      <w:pPr>
        <w:ind w:right="3059" w:firstLine="1391"/>
        <w:spacing w:after="0" w:line="235" w:lineRule="auto"/>
        <w:tabs>
          <w:tab w:leader="none" w:pos="1767" w:val="left"/>
        </w:tabs>
        <w:numPr>
          <w:ilvl w:val="0"/>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Security called for redemption shall not be so paid upon surrender thereof for redemption, the principal (and premium, if any) shall, until paid, bear interest from the Redemption Date at the rate of interest set forth in such Security or, in the case of an Original Issue Discount Security, at the Yield to Maturity of such Security.</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1107. Securities Redeemed in Part</w:t>
      </w:r>
    </w:p>
    <w:p>
      <w:pPr>
        <w:ind w:left="17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1395"/>
        <w:spacing w:after="0" w:line="272" w:lineRule="auto"/>
        <w:rPr>
          <w:sz w:val="20"/>
          <w:szCs w:val="20"/>
          <w:color w:val="auto"/>
        </w:rPr>
      </w:pPr>
      <w:r>
        <w:rPr>
          <w:rFonts w:ascii="Courier New" w:cs="Courier New" w:eastAsia="Courier New" w:hAnsi="Courier New"/>
          <w:sz w:val="14"/>
          <w:szCs w:val="14"/>
          <w:color w:val="auto"/>
        </w:rPr>
        <w:t>Any Registered Security which is to be redeemed only in part (pursuant to the provisions of this Article or of Article Twelve) shall be surrendered at a Place of Payment therefor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deliver to the Holder of such Security without service charge a new Security or Securities of the same series, of any authorized denomination as requested by such Holder in aggregate principal amount equal to and in exchange for the unredeemed portion of the principal of the Security so surrendered. However, if less than all the Securities of any series with differing issue dates, interest rates and stated maturities are to be redeemed, the Company in its sole discretion shall select the particular Securities to be redeemed and shall notify the Trustee in writing thereof at least 45 days prior to the relevant redemption date.</w:t>
      </w:r>
    </w:p>
    <w:p>
      <w:pPr>
        <w:spacing w:after="0" w:line="200" w:lineRule="exact"/>
        <w:rPr>
          <w:sz w:val="20"/>
          <w:szCs w:val="20"/>
          <w:color w:val="auto"/>
        </w:rPr>
      </w:pPr>
    </w:p>
    <w:p>
      <w:pPr>
        <w:spacing w:after="0" w:line="31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75</w:t>
      </w:r>
    </w:p>
    <w:p>
      <w:pPr>
        <w:sectPr>
          <w:pgSz w:w="11900" w:h="16838" w:orient="portrait"/>
          <w:cols w:equalWidth="0" w:num="1">
            <w:col w:w="10219"/>
          </w:cols>
          <w:pgMar w:left="240" w:top="654" w:right="1440" w:bottom="1440" w:gutter="0" w:footer="0" w:header="0"/>
        </w:sectPr>
      </w:pPr>
    </w:p>
    <w:bookmarkStart w:id="155" w:name="page156"/>
    <w:bookmarkEnd w:id="155"/>
    <w:p>
      <w:pPr>
        <w:jc w:val="right"/>
        <w:ind w:right="5859"/>
        <w:spacing w:after="0"/>
        <w:rPr>
          <w:sz w:val="20"/>
          <w:szCs w:val="20"/>
          <w:color w:val="auto"/>
        </w:rPr>
      </w:pPr>
      <w:r>
        <w:rPr>
          <w:rFonts w:ascii="Courier New" w:cs="Courier New" w:eastAsia="Courier New" w:hAnsi="Courier New"/>
          <w:sz w:val="16"/>
          <w:szCs w:val="16"/>
          <w:color w:val="auto"/>
        </w:rPr>
        <w:t>ARTICLE TWELVE</w:t>
      </w:r>
    </w:p>
    <w:p>
      <w:pPr>
        <w:jc w:val="right"/>
        <w:ind w:right="5859"/>
        <w:spacing w:after="0" w:line="236" w:lineRule="auto"/>
        <w:rPr>
          <w:sz w:val="20"/>
          <w:szCs w:val="20"/>
          <w:color w:val="auto"/>
        </w:rPr>
      </w:pPr>
      <w:r>
        <w:rPr>
          <w:rFonts w:ascii="Courier New" w:cs="Courier New" w:eastAsia="Courier New" w:hAnsi="Courier New"/>
          <w:sz w:val="16"/>
          <w:szCs w:val="16"/>
          <w:color w:val="auto"/>
        </w:rPr>
        <w:t>SINKING FUNDS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1201. Applicability of Article</w:t>
      </w:r>
    </w:p>
    <w:p>
      <w:pPr>
        <w:ind w:left="17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3059" w:firstLine="1391"/>
        <w:spacing w:after="0" w:line="283" w:lineRule="auto"/>
        <w:tabs>
          <w:tab w:leader="none" w:pos="1767"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provisions of this Article shall be applicable to any sinking fund for the retirement of Securities of a series except as otherwise specified as contemplated by Section 301 for Securities of such series.</w:t>
      </w:r>
    </w:p>
    <w:p>
      <w:pPr>
        <w:spacing w:after="0" w:line="154" w:lineRule="exact"/>
        <w:rPr>
          <w:rFonts w:ascii="Courier New" w:cs="Courier New" w:eastAsia="Courier New" w:hAnsi="Courier New"/>
          <w:sz w:val="14"/>
          <w:szCs w:val="14"/>
          <w:color w:val="auto"/>
        </w:rPr>
      </w:pPr>
    </w:p>
    <w:p>
      <w:pPr>
        <w:ind w:right="2779" w:firstLine="1391"/>
        <w:spacing w:after="0" w:line="236" w:lineRule="auto"/>
        <w:tabs>
          <w:tab w:leader="none" w:pos="1767" w:val="left"/>
        </w:tabs>
        <w:numPr>
          <w:ilvl w:val="0"/>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minimum amount of any sinking fund payment provided for by the terms of Securities of any series is herein referred to as a "mandatory sinking fund payment", and any payment in excess of such minimum amount provided for by the terms of such Securities of any series is herein referred to as an "optional sinking fund payment". If provided for by the terms of any Securities of any series, the cash amount of any mandatory sinking fund payment may be subject to reduction as provided in Section 1202. Each sinking fund payment shall be applied to the redemption of Securities of any series as provided for by the terms of Securities of such series.</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1202. Satisfaction of Sinking Fund Payments with Securities</w:t>
      </w:r>
    </w:p>
    <w:p>
      <w:pPr>
        <w:ind w:left="17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1395"/>
        <w:spacing w:after="0" w:line="272" w:lineRule="auto"/>
        <w:rPr>
          <w:sz w:val="20"/>
          <w:szCs w:val="20"/>
          <w:color w:val="auto"/>
        </w:rPr>
      </w:pPr>
      <w:r>
        <w:rPr>
          <w:rFonts w:ascii="Courier New" w:cs="Courier New" w:eastAsia="Courier New" w:hAnsi="Courier New"/>
          <w:sz w:val="14"/>
          <w:szCs w:val="14"/>
          <w:color w:val="auto"/>
        </w:rPr>
        <w:t>Except as otherwise specifically contemplated by Section 301 for Securities of such series, the Company may, in satisfaction of all or any part of any mandatory sinking fund payment with respect to the Securities of a series, (a) deliver Outstanding Securities of such series (other than any previously called for redemption) together in the case of any Bearer Securities of such series with all unmatured coupons appertaining thereto and (b) apply as a credit Securities of such series which have been redeemed either at the election of the Company pursuant to the terms of such Securities or through the application of permitted optional sinking fund payments pursuant to the terms of such Securities, as provided for by the terms of such Securities; provided that such Securities so delivered or applied as a credit have not been previously so credited. Such Securities shall be received and credited for such purpose by the Trustee at the applicable Redemption Price specified in such Securities for redemption through operation of the sinking fund and the amount of such mandatory sinking fund payment shall be reduced accordingly.</w:t>
      </w:r>
    </w:p>
    <w:p>
      <w:pPr>
        <w:spacing w:after="0" w:line="34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1203. Redemption of Securities for Sinking Fund</w:t>
      </w:r>
    </w:p>
    <w:p>
      <w:pPr>
        <w:ind w:left="17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1395"/>
        <w:spacing w:after="0" w:line="272" w:lineRule="auto"/>
        <w:rPr>
          <w:sz w:val="20"/>
          <w:szCs w:val="20"/>
          <w:color w:val="auto"/>
        </w:rPr>
      </w:pPr>
      <w:r>
        <w:rPr>
          <w:rFonts w:ascii="Courier New" w:cs="Courier New" w:eastAsia="Courier New" w:hAnsi="Courier New"/>
          <w:sz w:val="14"/>
          <w:szCs w:val="14"/>
          <w:color w:val="auto"/>
        </w:rPr>
        <w:t>Not less than 60 days prior to each sinking fund payment date for Securities of any series, the Company will deliver to the Trustee an Officers' Certificate specifying the amount of the next ensuing mandatory sinking fund payment for that series pursuant to the terms of that series, the portion thereof, if any, which is to be satisfied by payment of cash in the Currency in which the Securities of such series are payable (except as otherwise specified pursuant to Section 301 for the Securities of such series and except, if applicable, as provided in Subsections 312(b), 312(d) and 312(e)) and the portion thereof, if any, which is to be satisfied by delivering and crediting Securities of that series pursuant to Section 1202, and the optional amount, if any, to be added in cash to the next ensuing mandatory sinking fund payment, and will also deliver to the Trustee any Securities to be so delivered and credited. If such Officers' Certificate shall specify an optional amount to be added in cash to the next ensuing mandatory sinking fund payment, the Company shall thereupon be obligated to pay the amount therein specified. Not less than 30</w:t>
      </w:r>
    </w:p>
    <w:p>
      <w:pPr>
        <w:spacing w:after="0" w:line="200" w:lineRule="exact"/>
        <w:rPr>
          <w:sz w:val="20"/>
          <w:szCs w:val="20"/>
          <w:color w:val="auto"/>
        </w:rPr>
      </w:pPr>
    </w:p>
    <w:p>
      <w:pPr>
        <w:spacing w:after="0" w:line="31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76</w:t>
      </w:r>
    </w:p>
    <w:p>
      <w:pPr>
        <w:sectPr>
          <w:pgSz w:w="11900" w:h="16838" w:orient="portrait"/>
          <w:cols w:equalWidth="0" w:num="1">
            <w:col w:w="10219"/>
          </w:cols>
          <w:pgMar w:left="240" w:top="648" w:right="1440" w:bottom="1440" w:gutter="0" w:footer="0" w:header="0"/>
        </w:sectPr>
      </w:pPr>
    </w:p>
    <w:bookmarkStart w:id="156" w:name="page157"/>
    <w:bookmarkEnd w:id="156"/>
    <w:p>
      <w:pPr>
        <w:ind w:right="2779"/>
        <w:spacing w:after="0" w:line="236" w:lineRule="auto"/>
        <w:rPr>
          <w:sz w:val="20"/>
          <w:szCs w:val="20"/>
          <w:color w:val="auto"/>
        </w:rPr>
      </w:pPr>
      <w:r>
        <w:rPr>
          <w:rFonts w:ascii="Courier New" w:cs="Courier New" w:eastAsia="Courier New" w:hAnsi="Courier New"/>
          <w:sz w:val="16"/>
          <w:szCs w:val="16"/>
          <w:color w:val="auto"/>
        </w:rPr>
        <w:t>days before each such sinking fund payment date the Trustee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ARTICLE THIRTEEN</w:t>
      </w:r>
    </w:p>
    <w:p>
      <w:pPr>
        <w:jc w:val="center"/>
        <w:ind w:right="2779"/>
        <w:spacing w:after="0" w:line="236" w:lineRule="auto"/>
        <w:rPr>
          <w:sz w:val="20"/>
          <w:szCs w:val="20"/>
          <w:color w:val="auto"/>
        </w:rPr>
      </w:pPr>
      <w:r>
        <w:rPr>
          <w:rFonts w:ascii="Courier New" w:cs="Courier New" w:eastAsia="Courier New" w:hAnsi="Courier New"/>
          <w:sz w:val="16"/>
          <w:szCs w:val="16"/>
          <w:color w:val="auto"/>
        </w:rPr>
        <w:t>REPAYMENT AT THE OPTION OF HOLDERS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1301. Applicability of Article</w:t>
      </w:r>
    </w:p>
    <w:p>
      <w:pPr>
        <w:ind w:left="17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1395"/>
        <w:spacing w:after="0" w:line="279" w:lineRule="auto"/>
        <w:rPr>
          <w:sz w:val="20"/>
          <w:szCs w:val="20"/>
          <w:color w:val="auto"/>
        </w:rPr>
      </w:pPr>
      <w:r>
        <w:rPr>
          <w:rFonts w:ascii="Courier New" w:cs="Courier New" w:eastAsia="Courier New" w:hAnsi="Courier New"/>
          <w:sz w:val="14"/>
          <w:szCs w:val="14"/>
          <w:color w:val="auto"/>
        </w:rPr>
        <w:t>Repayment of Securities of any series before their Stated Maturity at the option of Holders thereof shall be made in accordance with the terms of such Securities and (except as otherwise specified by the terms of such series established pursuant to Section 301) in accordance with this Article.</w:t>
      </w:r>
    </w:p>
    <w:p>
      <w:pPr>
        <w:spacing w:after="0" w:line="15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1302. Repayment of Securities</w:t>
      </w:r>
    </w:p>
    <w:p>
      <w:pPr>
        <w:ind w:left="17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1395"/>
        <w:spacing w:after="0" w:line="272" w:lineRule="auto"/>
        <w:rPr>
          <w:sz w:val="20"/>
          <w:szCs w:val="20"/>
          <w:color w:val="auto"/>
        </w:rPr>
      </w:pPr>
      <w:r>
        <w:rPr>
          <w:rFonts w:ascii="Courier New" w:cs="Courier New" w:eastAsia="Courier New" w:hAnsi="Courier New"/>
          <w:sz w:val="14"/>
          <w:szCs w:val="14"/>
          <w:color w:val="auto"/>
        </w:rPr>
        <w:t>Securities of any series subject to repayment in whole or in part at the option of the Holders thereof will, unless otherwise provided in the terms of such Securities, be repaid at the Repayment Price thereof, together with interest, if any, thereon accrued to the Repayment Date specified in or pursuant to the terms of such Securities. The Company covenants that on or before the Repayment Date it will deposit with the Trustee or with a Paying Agent (or, if the Company or any Subsidiary or any Affiliate of any of them is acting as Paying Agent, segregate and hold in trust as provided in Section 1003) an amount of money in the Currency in which the Securities of such series are payable (except as otherwise specified pursuant to Section 301 for the Securities of such series and except, if applicable, as provided in Subsections 312(b), 312(d) and 312(e)) sufficient to pay the Repayment Price of, and (unless otherwise specified pursuant to Section 301) accrued interest on, all the Securities or portions thereof, as the case may be, to be repaid on such date.</w:t>
      </w:r>
    </w:p>
    <w:p>
      <w:pPr>
        <w:spacing w:after="0" w:line="34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1303. Exercise of Option</w:t>
      </w:r>
    </w:p>
    <w:p>
      <w:pPr>
        <w:ind w:left="17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879" w:firstLine="1395"/>
        <w:spacing w:after="0" w:line="272" w:lineRule="auto"/>
        <w:rPr>
          <w:sz w:val="20"/>
          <w:szCs w:val="20"/>
          <w:color w:val="auto"/>
        </w:rPr>
      </w:pPr>
      <w:r>
        <w:rPr>
          <w:rFonts w:ascii="Courier New" w:cs="Courier New" w:eastAsia="Courier New" w:hAnsi="Courier New"/>
          <w:sz w:val="14"/>
          <w:szCs w:val="14"/>
          <w:color w:val="auto"/>
        </w:rPr>
        <w:t>Securities of any series subject to repayment at the option of the Holders thereof will contain an "Option to Elect Repayment" form on the reverse of such Securities. To be repaid at the option of the Holder, any Security so providing for such repayment, with the "Option to Elect Repayment" form on the reverse of such Security duly completed by the Holder (or by the Holder's attorney duly authorized in writing), must be received by the Company at the Place of Payment therefor specified in the terms of such Security (or at such other place or places of which the Company shall from time to time notify the Holders of such Securities) not earlier than 45 days nor later than 30 days prior to the Repayment Date. If less than the entire Repayment Price of such Security is to be repaid in accordance with the terms of such Security, the portion of the Repayment Price of such Security to be repaid, in increments of the minimum denomination for Securities of such series, and the denomination or denominations of the Security or Securities to be issued to the Holder for the portion of such Security surrendered that is not to be repaid, must be specified. Any Security providing for repayment at the option of the Holder</w:t>
      </w:r>
    </w:p>
    <w:p>
      <w:pPr>
        <w:spacing w:after="0" w:line="200" w:lineRule="exact"/>
        <w:rPr>
          <w:sz w:val="20"/>
          <w:szCs w:val="20"/>
          <w:color w:val="auto"/>
        </w:rPr>
      </w:pPr>
    </w:p>
    <w:p>
      <w:pPr>
        <w:spacing w:after="0" w:line="31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77</w:t>
      </w:r>
    </w:p>
    <w:p>
      <w:pPr>
        <w:sectPr>
          <w:pgSz w:w="11900" w:h="16838" w:orient="portrait"/>
          <w:cols w:equalWidth="0" w:num="1">
            <w:col w:w="10219"/>
          </w:cols>
          <w:pgMar w:left="240" w:top="654" w:right="1440" w:bottom="1440" w:gutter="0" w:footer="0" w:header="0"/>
        </w:sectPr>
      </w:pPr>
    </w:p>
    <w:bookmarkStart w:id="157" w:name="page158"/>
    <w:bookmarkEnd w:id="157"/>
    <w:p>
      <w:pPr>
        <w:ind w:right="2879"/>
        <w:spacing w:after="0" w:line="236" w:lineRule="auto"/>
        <w:rPr>
          <w:sz w:val="20"/>
          <w:szCs w:val="20"/>
          <w:color w:val="auto"/>
        </w:rPr>
      </w:pPr>
      <w:r>
        <w:rPr>
          <w:rFonts w:ascii="Courier New" w:cs="Courier New" w:eastAsia="Courier New" w:hAnsi="Courier New"/>
          <w:sz w:val="16"/>
          <w:szCs w:val="16"/>
          <w:color w:val="auto"/>
        </w:rPr>
        <w:t>thereof may not be repaid in part if, following such repayment, the unpaid principal amount of such Security would be less than the minimum authorized denomination of Securities of the series of which such Security to be repaid is a part. Except as otherwise may be provided by the terms of any Security providing for repayment at the option of the Holder thereof, exercise of the repayment option by the Holder shall be irrevocable unless waived by the Company.</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1304. When Securities Presented for Repayment Become Due and</w:t>
      </w:r>
    </w:p>
    <w:p>
      <w:pPr>
        <w:ind w:left="1760"/>
        <w:spacing w:after="0" w:line="236" w:lineRule="auto"/>
        <w:rPr>
          <w:sz w:val="20"/>
          <w:szCs w:val="20"/>
          <w:color w:val="auto"/>
        </w:rPr>
      </w:pPr>
      <w:r>
        <w:rPr>
          <w:rFonts w:ascii="Courier New" w:cs="Courier New" w:eastAsia="Courier New" w:hAnsi="Courier New"/>
          <w:sz w:val="16"/>
          <w:szCs w:val="16"/>
          <w:color w:val="auto"/>
        </w:rPr>
        <w:t>------------------------------------------------------</w:t>
      </w:r>
    </w:p>
    <w:p>
      <w:pPr>
        <w:ind w:left="1760"/>
        <w:spacing w:after="0" w:line="237" w:lineRule="auto"/>
        <w:rPr>
          <w:sz w:val="20"/>
          <w:szCs w:val="20"/>
          <w:color w:val="auto"/>
        </w:rPr>
      </w:pPr>
      <w:r>
        <w:rPr>
          <w:rFonts w:ascii="Courier New" w:cs="Courier New" w:eastAsia="Courier New" w:hAnsi="Courier New"/>
          <w:sz w:val="16"/>
          <w:szCs w:val="16"/>
          <w:color w:val="auto"/>
        </w:rPr>
        <w:t>Payable</w:t>
      </w:r>
    </w:p>
    <w:p>
      <w:pPr>
        <w:ind w:left="1760"/>
        <w:spacing w:after="0" w:line="237"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1391"/>
        <w:spacing w:after="0" w:line="236" w:lineRule="auto"/>
        <w:tabs>
          <w:tab w:leader="none" w:pos="1767" w:val="left"/>
        </w:tabs>
        <w:numPr>
          <w:ilvl w:val="0"/>
          <w:numId w:val="2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Securities of any series providing for repayment at the option of the Holders thereof shall have been surrendered as provided in this Article and as provided by or pursuant to the terms of such Securities, such Securities or the portions thereof, as the case may be, to be repaid shall become due and payable and shall be paid by the Company on the Repayment Date therein specified, and on and after such Repayment Date (unless the Company shall default in the payment of such Securities on such Repayment Date) such Securities shall, if the same were interest-bearing, cease to bear interest and the coupons for such interest appertaining to any Bearer Securities so to be repaid, except to the extent provided below, shall be void. Upon surrender of any such Security for repayment in accordance with such provisions, together with all coupons, if any, appertaining thereto maturing after the Repayment Date, the Repayment Price of such Security so to be repaid shall be paid by the Company, together with accrued interest, if any, to the Repayment Date; provided, that, coupons whose Stated Maturity is on or prior to the Repayment Date shall be payable only at an office or agency located outside the United States (except as otherwise provided in Section 1002) and, unless otherwise specified pursuant to Section 301, only upon presentation and surrender of such coupons; and provided further that installments of interest on Registered Securities, whose Stated Maturity is prior to (or, if specified pursuant to Section 301, on) the Repayment Date shall be payable (but without interest thereon, unless the Company shall default in the payment thereof) to the Holders of such Securities, or one or more Predecessor Securities, registered as such at the close of business on the relevant Record Dates according to their terms and the provisions of Section 307.</w:t>
      </w:r>
    </w:p>
    <w:p>
      <w:pPr>
        <w:spacing w:after="0" w:line="195" w:lineRule="exact"/>
        <w:rPr>
          <w:rFonts w:ascii="Courier New" w:cs="Courier New" w:eastAsia="Courier New" w:hAnsi="Courier New"/>
          <w:sz w:val="16"/>
          <w:szCs w:val="16"/>
          <w:color w:val="auto"/>
        </w:rPr>
      </w:pPr>
    </w:p>
    <w:p>
      <w:pPr>
        <w:ind w:right="2779" w:firstLine="1391"/>
        <w:spacing w:after="0" w:line="236" w:lineRule="auto"/>
        <w:tabs>
          <w:tab w:leader="none" w:pos="1767" w:val="left"/>
        </w:tabs>
        <w:numPr>
          <w:ilvl w:val="0"/>
          <w:numId w:val="2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Bearer Security surrendered for repayment shall not be accompanied by all appurtenant coupons maturing after the Repayment Date, such Security may be paid after deducting from the amount payable therefor as provided in Section 1302 an amount equal to the face amount of all such missing coupons, or the surrender of such missing coupon or coupons may be waived by the Company and the Trustee if there be furnished to them such security or indemnity as they may require to save each of them and any Paying Agent harmless. If thereafter the Holder of such Security shall surrender to the Trustee or any Paying Agent any such missing coupon in respect of which a deduction shall have been made as provided in the preceding sentence, such Holder shall be entitled to receive the amount so deducted; provided, that, interest represented by coupons shall be payable only at an office or agency located outside the United States (except as otherwise provided in Section 1002) and, unless otherwise specified as contemplated by Section 301, only upon presentation and surrender of those coupons.</w:t>
      </w:r>
    </w:p>
    <w:p>
      <w:pPr>
        <w:spacing w:after="0" w:line="188" w:lineRule="exact"/>
        <w:rPr>
          <w:rFonts w:ascii="Courier New" w:cs="Courier New" w:eastAsia="Courier New" w:hAnsi="Courier New"/>
          <w:sz w:val="16"/>
          <w:szCs w:val="16"/>
          <w:color w:val="auto"/>
        </w:rPr>
      </w:pPr>
    </w:p>
    <w:p>
      <w:pPr>
        <w:ind w:right="3159" w:firstLine="1391"/>
        <w:spacing w:after="0" w:line="283" w:lineRule="auto"/>
        <w:tabs>
          <w:tab w:leader="none" w:pos="1767"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Security surrendered for repayment shall not be so repaid upon surrender thereof, the Repayment Price shall, until paid, bear interest from the Repayment Date at the rate of interest set forth in such</w:t>
      </w:r>
    </w:p>
    <w:p>
      <w:pPr>
        <w:spacing w:after="0" w:line="32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78</w:t>
      </w:r>
    </w:p>
    <w:p>
      <w:pPr>
        <w:sectPr>
          <w:pgSz w:w="11900" w:h="16838" w:orient="portrait"/>
          <w:cols w:equalWidth="0" w:num="1">
            <w:col w:w="10219"/>
          </w:cols>
          <w:pgMar w:left="240" w:top="655" w:right="1440" w:bottom="1440" w:gutter="0" w:footer="0" w:header="0"/>
        </w:sectPr>
      </w:pPr>
    </w:p>
    <w:bookmarkStart w:id="158" w:name="page159"/>
    <w:bookmarkEnd w:id="158"/>
    <w:p>
      <w:pPr>
        <w:ind w:left="5" w:right="2779"/>
        <w:spacing w:after="0" w:line="234" w:lineRule="auto"/>
        <w:rPr>
          <w:sz w:val="20"/>
          <w:szCs w:val="20"/>
          <w:color w:val="auto"/>
        </w:rPr>
      </w:pPr>
      <w:r>
        <w:rPr>
          <w:rFonts w:ascii="Courier New" w:cs="Courier New" w:eastAsia="Courier New" w:hAnsi="Courier New"/>
          <w:sz w:val="16"/>
          <w:szCs w:val="16"/>
          <w:color w:val="auto"/>
        </w:rPr>
        <w:t>Security or, in the case of an Original Issue Discount Security, at the Yield to Maturity of such Security.</w:t>
      </w:r>
    </w:p>
    <w:p>
      <w:pPr>
        <w:spacing w:after="0" w:line="177"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SECTION 1305. Securities Repaid in Part</w:t>
      </w:r>
    </w:p>
    <w:p>
      <w:pPr>
        <w:ind w:left="1765"/>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5" w:right="2879" w:firstLine="1395"/>
        <w:spacing w:after="0" w:line="274" w:lineRule="auto"/>
        <w:rPr>
          <w:sz w:val="20"/>
          <w:szCs w:val="20"/>
          <w:color w:val="auto"/>
        </w:rPr>
      </w:pPr>
      <w:r>
        <w:rPr>
          <w:rFonts w:ascii="Courier New" w:cs="Courier New" w:eastAsia="Courier New" w:hAnsi="Courier New"/>
          <w:sz w:val="14"/>
          <w:szCs w:val="14"/>
          <w:color w:val="auto"/>
        </w:rPr>
        <w:t>Upon surrender of any Registered Security which is to be repaid in part only, the Company shall execute and the Trustee shall authenticate and deliver to the Holder of such Security, without service charge and at the expense of the Company, a new Registered Security or Securities of the same series, of any authorized denomination specified by the Holder, in an aggregate principal amount equal to and in exchange for the portion of the principal of such Security so surrendered which is not to be repaid.</w:t>
      </w:r>
    </w:p>
    <w:p>
      <w:pPr>
        <w:spacing w:after="0" w:line="158" w:lineRule="exact"/>
        <w:rPr>
          <w:sz w:val="20"/>
          <w:szCs w:val="20"/>
          <w:color w:val="auto"/>
        </w:rPr>
      </w:pPr>
    </w:p>
    <w:p>
      <w:pPr>
        <w:jc w:val="center"/>
        <w:ind w:right="2775"/>
        <w:spacing w:after="0"/>
        <w:rPr>
          <w:sz w:val="20"/>
          <w:szCs w:val="20"/>
          <w:color w:val="auto"/>
        </w:rPr>
      </w:pPr>
      <w:r>
        <w:rPr>
          <w:rFonts w:ascii="Courier New" w:cs="Courier New" w:eastAsia="Courier New" w:hAnsi="Courier New"/>
          <w:sz w:val="16"/>
          <w:szCs w:val="16"/>
          <w:color w:val="auto"/>
        </w:rPr>
        <w:t>ARTICLE FOURTEEN</w:t>
      </w:r>
    </w:p>
    <w:p>
      <w:pPr>
        <w:jc w:val="center"/>
        <w:ind w:right="2775"/>
        <w:spacing w:after="0" w:line="236" w:lineRule="auto"/>
        <w:rPr>
          <w:sz w:val="20"/>
          <w:szCs w:val="20"/>
          <w:color w:val="auto"/>
        </w:rPr>
      </w:pPr>
      <w:r>
        <w:rPr>
          <w:rFonts w:ascii="Courier New" w:cs="Courier New" w:eastAsia="Courier New" w:hAnsi="Courier New"/>
          <w:sz w:val="16"/>
          <w:szCs w:val="16"/>
          <w:color w:val="auto"/>
        </w:rPr>
        <w:t>DEFEASANCE AND COVENANT DEFEASANCE</w:t>
      </w:r>
    </w:p>
    <w:p>
      <w:pPr>
        <w:spacing w:after="0" w:line="177"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SECTION 1401. Applicability of Article; Company's Option to Effect</w:t>
      </w:r>
    </w:p>
    <w:p>
      <w:pPr>
        <w:ind w:left="1765"/>
        <w:spacing w:after="0" w:line="236" w:lineRule="auto"/>
        <w:rPr>
          <w:sz w:val="20"/>
          <w:szCs w:val="20"/>
          <w:color w:val="auto"/>
        </w:rPr>
      </w:pPr>
      <w:r>
        <w:rPr>
          <w:rFonts w:ascii="Courier New" w:cs="Courier New" w:eastAsia="Courier New" w:hAnsi="Courier New"/>
          <w:sz w:val="16"/>
          <w:szCs w:val="16"/>
          <w:color w:val="auto"/>
        </w:rPr>
        <w:t>----------------------------------------------------</w:t>
      </w:r>
    </w:p>
    <w:p>
      <w:pPr>
        <w:ind w:left="1765"/>
        <w:spacing w:after="0" w:line="237" w:lineRule="auto"/>
        <w:rPr>
          <w:sz w:val="20"/>
          <w:szCs w:val="20"/>
          <w:color w:val="auto"/>
        </w:rPr>
      </w:pPr>
      <w:r>
        <w:rPr>
          <w:rFonts w:ascii="Courier New" w:cs="Courier New" w:eastAsia="Courier New" w:hAnsi="Courier New"/>
          <w:sz w:val="16"/>
          <w:szCs w:val="16"/>
          <w:color w:val="auto"/>
        </w:rPr>
        <w:t>Defeasance or Covenant Defeasance</w:t>
      </w:r>
    </w:p>
    <w:p>
      <w:pPr>
        <w:ind w:left="1765"/>
        <w:spacing w:after="0" w:line="237"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5" w:right="2879" w:firstLine="1395"/>
        <w:spacing w:after="0" w:line="270" w:lineRule="auto"/>
        <w:rPr>
          <w:sz w:val="20"/>
          <w:szCs w:val="20"/>
          <w:color w:val="auto"/>
        </w:rPr>
      </w:pPr>
      <w:r>
        <w:rPr>
          <w:rFonts w:ascii="Courier New" w:cs="Courier New" w:eastAsia="Courier New" w:hAnsi="Courier New"/>
          <w:sz w:val="14"/>
          <w:szCs w:val="14"/>
          <w:color w:val="auto"/>
        </w:rPr>
        <w:t>If pursuant to Section 301 provision is made for either or both of (a) defeasance of the Securities of or within a series under Section 1402 or</w:t>
      </w:r>
    </w:p>
    <w:p>
      <w:pPr>
        <w:spacing w:after="0" w:line="1" w:lineRule="exact"/>
        <w:rPr>
          <w:sz w:val="20"/>
          <w:szCs w:val="20"/>
          <w:color w:val="auto"/>
        </w:rPr>
      </w:pPr>
    </w:p>
    <w:p>
      <w:pPr>
        <w:ind w:left="5" w:right="2779" w:hanging="5"/>
        <w:spacing w:after="0" w:line="273" w:lineRule="auto"/>
        <w:tabs>
          <w:tab w:leader="none" w:pos="377"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covenant defeasance of the Securities of or within a series under Section 1403, then the provisions of such Section or Sections, as the case may be, together with the other provisions of this Article (with such modifications thereto as may be specified pursuant to Section 301 with respect to any Securities), shall be applicable to such Securities and any coupons appertaining thereto, and the Company may at its option by Board Resolution, at any time, with respect to such Securities and any coupons appertaining thereto, elect to have Section 1402 (if applicable) or Section 1403 (if applicable) be applied to such Outstanding Securities and any coupons appertaining thereto upon compliance with the conditions set forth below in this Article.</w:t>
      </w:r>
    </w:p>
    <w:p>
      <w:pPr>
        <w:spacing w:after="0" w:line="338"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SECTION 1402. Defeasance and Discharge</w:t>
      </w:r>
    </w:p>
    <w:p>
      <w:pPr>
        <w:ind w:left="1765"/>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5" w:right="2779" w:firstLine="1395"/>
        <w:spacing w:after="0" w:line="236" w:lineRule="auto"/>
        <w:rPr>
          <w:sz w:val="20"/>
          <w:szCs w:val="20"/>
          <w:color w:val="auto"/>
        </w:rPr>
      </w:pPr>
      <w:r>
        <w:rPr>
          <w:rFonts w:ascii="Courier New" w:cs="Courier New" w:eastAsia="Courier New" w:hAnsi="Courier New"/>
          <w:sz w:val="16"/>
          <w:szCs w:val="16"/>
          <w:color w:val="auto"/>
        </w:rPr>
        <w:t>Upon the Company's exercise of the above option applicable to this Section with respect to any Securities of or within a series, the Company shall each be deemed to have been discharged from its obligations with respect to such Outstanding Securities and any coupons appertaining thereto on the date the conditions set forth in Section 1404 are satisfied (hereinafter, "defeasance"). For this purpose, such defeasance means that the Company shall be deemed to have paid and discharged the entire indebtedness represented by such Outstanding Securities and any coupons appertaining thereto, which shall thereafter be deemed to be "Outstanding" only for the purposes of Section 1405 and the other Sections of this Indenture referred to in clauses (a) and (b) of this Section 1402, and to have satisfied all its other obligations under such Securities and any coupons appertaining thereto and this Indenture insofar as such Securities and any coupons appertaining thereto are concerned (and the Trustee, at the expense of the Company, shall execute proper instruments acknowledging the same), except for the following which shall survive until otherwise terminated or discharged hereunder:</w:t>
      </w:r>
    </w:p>
    <w:p>
      <w:pPr>
        <w:spacing w:after="0" w:line="190" w:lineRule="exact"/>
        <w:rPr>
          <w:sz w:val="20"/>
          <w:szCs w:val="20"/>
          <w:color w:val="auto"/>
        </w:rPr>
      </w:pPr>
    </w:p>
    <w:p>
      <w:pPr>
        <w:ind w:left="5" w:right="2779" w:firstLine="1391"/>
        <w:spacing w:after="0" w:line="295" w:lineRule="auto"/>
        <w:tabs>
          <w:tab w:leader="none" w:pos="1772"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rights of Holders of such Outstanding Securities and any coupons appertaining thereto to receive, solely from the trust fund described in</w:t>
      </w:r>
    </w:p>
    <w:p>
      <w:pPr>
        <w:spacing w:after="0" w:line="320"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79</w:t>
      </w:r>
    </w:p>
    <w:p>
      <w:pPr>
        <w:sectPr>
          <w:pgSz w:w="11900" w:h="16838" w:orient="portrait"/>
          <w:cols w:equalWidth="0" w:num="1">
            <w:col w:w="10224"/>
          </w:cols>
          <w:pgMar w:left="235" w:top="655" w:right="1440" w:bottom="1440" w:gutter="0" w:footer="0" w:header="0"/>
        </w:sectPr>
      </w:pPr>
    </w:p>
    <w:bookmarkStart w:id="159" w:name="page160"/>
    <w:bookmarkEnd w:id="159"/>
    <w:p>
      <w:pPr>
        <w:jc w:val="both"/>
        <w:ind w:right="2779"/>
        <w:spacing w:after="0" w:line="235" w:lineRule="auto"/>
        <w:rPr>
          <w:sz w:val="20"/>
          <w:szCs w:val="20"/>
          <w:color w:val="auto"/>
        </w:rPr>
      </w:pPr>
      <w:r>
        <w:rPr>
          <w:rFonts w:ascii="Courier New" w:cs="Courier New" w:eastAsia="Courier New" w:hAnsi="Courier New"/>
          <w:sz w:val="16"/>
          <w:szCs w:val="16"/>
          <w:color w:val="auto"/>
        </w:rPr>
        <w:t>Section 1404 and as more fully set forth in such Section, payments in respect of the principal of (and premium, if any) and interest, if any, on such Securities and any coupons appertaining thereto when such payments are due,</w:t>
      </w:r>
    </w:p>
    <w:p>
      <w:pPr>
        <w:spacing w:after="0" w:line="183" w:lineRule="exact"/>
        <w:rPr>
          <w:sz w:val="20"/>
          <w:szCs w:val="20"/>
          <w:color w:val="auto"/>
        </w:rPr>
      </w:pPr>
    </w:p>
    <w:p>
      <w:pPr>
        <w:ind w:right="2959" w:firstLine="1391"/>
        <w:spacing w:after="0" w:line="236" w:lineRule="auto"/>
        <w:tabs>
          <w:tab w:leader="none" w:pos="1767" w:val="left"/>
        </w:tabs>
        <w:numPr>
          <w:ilvl w:val="0"/>
          <w:numId w:val="2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obligations of the Company with respect to such Securities under Sections 304, 305, 306, 1002 and 1003 and with respect to the payment of Additional Amounts, if any, on such Securities as contemplated by Section 1005 with respect to the rights, if any, of the holders of such Securities to require the Company to repay such Securities as contemplated by Article Thirteen and with respect to the rights, if any, of holders to convert or exchange such Securities into other Securities,</w:t>
      </w:r>
    </w:p>
    <w:p>
      <w:pPr>
        <w:spacing w:after="0" w:line="183" w:lineRule="exact"/>
        <w:rPr>
          <w:rFonts w:ascii="Courier New" w:cs="Courier New" w:eastAsia="Courier New" w:hAnsi="Courier New"/>
          <w:sz w:val="16"/>
          <w:szCs w:val="16"/>
          <w:color w:val="auto"/>
        </w:rPr>
      </w:pPr>
    </w:p>
    <w:p>
      <w:pPr>
        <w:ind w:right="3239" w:firstLine="1391"/>
        <w:spacing w:after="0" w:line="234" w:lineRule="auto"/>
        <w:tabs>
          <w:tab w:leader="none" w:pos="1767" w:val="left"/>
        </w:tabs>
        <w:numPr>
          <w:ilvl w:val="0"/>
          <w:numId w:val="2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powers, trusts, duties and immunities of the Trustee hereunder and</w:t>
      </w:r>
    </w:p>
    <w:p>
      <w:pPr>
        <w:spacing w:after="0" w:line="183" w:lineRule="exact"/>
        <w:rPr>
          <w:rFonts w:ascii="Courier New" w:cs="Courier New" w:eastAsia="Courier New" w:hAnsi="Courier New"/>
          <w:sz w:val="16"/>
          <w:szCs w:val="16"/>
          <w:color w:val="auto"/>
        </w:rPr>
      </w:pPr>
    </w:p>
    <w:p>
      <w:pPr>
        <w:ind w:right="2779" w:firstLine="1391"/>
        <w:spacing w:after="0" w:line="235" w:lineRule="auto"/>
        <w:tabs>
          <w:tab w:leader="none" w:pos="1767" w:val="left"/>
        </w:tabs>
        <w:numPr>
          <w:ilvl w:val="0"/>
          <w:numId w:val="2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Article Fourteen. Subject to compliance with this Article Fourteen, the Company may exercise its option under this Section 1402 notwithstanding the prior exercise of its option under Section 1403 with respect to such Securities and any coupons appertaining thereto.</w:t>
      </w:r>
    </w:p>
    <w:p>
      <w:pPr>
        <w:spacing w:after="0" w:line="17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1403. Covenant Defeasance</w:t>
      </w:r>
    </w:p>
    <w:p>
      <w:pPr>
        <w:ind w:left="17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1395"/>
        <w:spacing w:after="0" w:line="271" w:lineRule="auto"/>
        <w:rPr>
          <w:sz w:val="20"/>
          <w:szCs w:val="20"/>
          <w:color w:val="auto"/>
        </w:rPr>
      </w:pPr>
      <w:r>
        <w:rPr>
          <w:rFonts w:ascii="Courier New" w:cs="Courier New" w:eastAsia="Courier New" w:hAnsi="Courier New"/>
          <w:sz w:val="14"/>
          <w:szCs w:val="14"/>
          <w:color w:val="auto"/>
        </w:rPr>
        <w:t>Upon the Company's exercise of the above option applicable to this Section with respect to any Securities of or within a series, the Company shall each be released from its obligations under any other covenant specified pursuant to Section 301, with respect to such Outstanding Securities and any coupons appertaining thereto on and after the date the conditions set forth in Section 1404 are satisfied (hereinafter, "covenant defeasance"), and such Securities and any coupons appertaining thereto shall thereafter be deemed to not be "Outstanding" for the purposes of any direction, waiver, consent or declaration or Act of Holders (and the consequences of any thereof) in connection with [any restrictive covenants that may be inserted], or such other covenant, but shall continue to be deemed "Outstanding" for all other purposes hereunder. For this purpose, such covenant defeasance means that, with respect to such Outstanding Securities and any coupons appertaining thereto, the Company may omit to comply with and shall have no liability in respect of any term, condition or limitation set forth in any such Section or such other covenant, whether directly or indirectly, by reason of any reference elsewhere herein to any such Section or such other covenant or by reason of reference in any such Section or such other covenant to any other provision herein or in any other document and such omission to comply shall not constitute a Default or an Event of Default under clauses (4) or (7) of Subsection 501(a) or otherwise except as specified in accordance with Section 301, as the case may be, but, except as specified above, the remainder of this Indenture and such Securities and any coupons appertaining thereto shall be unaffected thereby.</w:t>
      </w:r>
    </w:p>
    <w:p>
      <w:pPr>
        <w:spacing w:after="0" w:line="200" w:lineRule="exact"/>
        <w:rPr>
          <w:sz w:val="20"/>
          <w:szCs w:val="20"/>
          <w:color w:val="auto"/>
        </w:rPr>
      </w:pPr>
    </w:p>
    <w:p>
      <w:pPr>
        <w:spacing w:after="0" w:line="32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1404. Conditions to Defeasance or Covenant Defeasance</w:t>
      </w:r>
    </w:p>
    <w:p>
      <w:pPr>
        <w:ind w:left="17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1395"/>
        <w:spacing w:after="0" w:line="235" w:lineRule="auto"/>
        <w:rPr>
          <w:sz w:val="20"/>
          <w:szCs w:val="20"/>
          <w:color w:val="auto"/>
        </w:rPr>
      </w:pPr>
      <w:r>
        <w:rPr>
          <w:rFonts w:ascii="Courier New" w:cs="Courier New" w:eastAsia="Courier New" w:hAnsi="Courier New"/>
          <w:sz w:val="16"/>
          <w:szCs w:val="16"/>
          <w:color w:val="auto"/>
        </w:rPr>
        <w:t>The following shall be the conditions to application of Section 1402 or Section 1403 to any Outstanding Securities of or within a series and any coupons appertaining thereto:</w:t>
      </w:r>
    </w:p>
    <w:p>
      <w:pPr>
        <w:spacing w:after="0" w:line="183" w:lineRule="exact"/>
        <w:rPr>
          <w:sz w:val="20"/>
          <w:szCs w:val="20"/>
          <w:color w:val="auto"/>
        </w:rPr>
      </w:pPr>
    </w:p>
    <w:p>
      <w:pPr>
        <w:ind w:right="2779" w:firstLine="1391"/>
        <w:spacing w:after="0" w:line="279" w:lineRule="auto"/>
        <w:tabs>
          <w:tab w:leader="none" w:pos="1767"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irrevocably have deposited or caused to be deposited with the Trustee (or another trustee satisfying the requirements of Section 607 who shall agree to comply with the provisions of this Article Fourteen applicable to it) as trust funds in trust for the purpose of making the</w:t>
      </w:r>
    </w:p>
    <w:p>
      <w:pPr>
        <w:spacing w:after="0" w:line="33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80</w:t>
      </w:r>
    </w:p>
    <w:p>
      <w:pPr>
        <w:sectPr>
          <w:pgSz w:w="11900" w:h="16838" w:orient="portrait"/>
          <w:cols w:equalWidth="0" w:num="1">
            <w:col w:w="10219"/>
          </w:cols>
          <w:pgMar w:left="240" w:top="655" w:right="1440" w:bottom="1440" w:gutter="0" w:footer="0" w:header="0"/>
        </w:sectPr>
      </w:pPr>
    </w:p>
    <w:bookmarkStart w:id="160" w:name="page161"/>
    <w:bookmarkEnd w:id="160"/>
    <w:p>
      <w:pPr>
        <w:ind w:right="2779"/>
        <w:spacing w:after="0" w:line="271" w:lineRule="auto"/>
        <w:rPr>
          <w:sz w:val="20"/>
          <w:szCs w:val="20"/>
          <w:color w:val="auto"/>
        </w:rPr>
      </w:pPr>
      <w:r>
        <w:rPr>
          <w:rFonts w:ascii="Courier New" w:cs="Courier New" w:eastAsia="Courier New" w:hAnsi="Courier New"/>
          <w:sz w:val="14"/>
          <w:szCs w:val="14"/>
          <w:color w:val="auto"/>
        </w:rPr>
        <w:t>following payments, specifically pledged as security for, and dedicated solely to, the benefit of the Holders of such Securities and any coupons appertaining thereto, (1) an amount (in such Currency in which such Securities and any coupons appertaining thereto are then specified as payable at Stated Maturity), or (2) Government Obligations applicable to such Securities and coupons appertaining thereto (determined on the basis of the Currency in which such Securities and coupons appertaining thereto are then specified as payable at Stated Maturity) which through the scheduled payment of principal and interest in respect thereof in accordance with their terms will provide, not later than one day before the due date of any payment of principal of (and premium, if any) and interest, if any, on such Securities and any coupons appertaining thereto, money in an amount, or (3) a combination thereof in an amount, sufficient, in the opinion of a nationally recognized firm of independent public accountants or nationally recognized independent investment banking firm expressed in a written certification thereof delivered to the Trustee, to pay and discharge, and which shall be applied by the Trustee (or other qualifying trustee) to pay and discharge, (i) the principal of (and premium, if any) and interest, if any, on such Outstanding Securities and any coupons appertaining thereto on the Stated Maturity of such principal or installment of principal or interest and (ii) any mandatory sinking fund payments or analogous payments applicable to such Outstanding Securities and any coupons appertaining thereto on the day on which such payments are due and payable in accordance with the terms of this Indenture and of such Securities and any coupons appertaining thereto.</w:t>
      </w:r>
    </w:p>
    <w:p>
      <w:pPr>
        <w:spacing w:after="0" w:line="200" w:lineRule="exact"/>
        <w:rPr>
          <w:sz w:val="20"/>
          <w:szCs w:val="20"/>
          <w:color w:val="auto"/>
        </w:rPr>
      </w:pPr>
    </w:p>
    <w:p>
      <w:pPr>
        <w:spacing w:after="0" w:line="333" w:lineRule="exact"/>
        <w:rPr>
          <w:sz w:val="20"/>
          <w:szCs w:val="20"/>
          <w:color w:val="auto"/>
        </w:rPr>
      </w:pPr>
    </w:p>
    <w:p>
      <w:pPr>
        <w:ind w:right="2879" w:firstLine="1391"/>
        <w:spacing w:after="0" w:line="235" w:lineRule="auto"/>
        <w:tabs>
          <w:tab w:leader="none" w:pos="1767" w:val="left"/>
        </w:tabs>
        <w:numPr>
          <w:ilvl w:val="0"/>
          <w:numId w:val="2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defeasance or covenant defeasance shall not result in a breach or violation of, or constitute a default under, this Indenture or any other material agreement or instrument to which the Company is a party or by which it is bound.</w:t>
      </w:r>
    </w:p>
    <w:p>
      <w:pPr>
        <w:spacing w:after="0" w:line="184" w:lineRule="exact"/>
        <w:rPr>
          <w:rFonts w:ascii="Courier New" w:cs="Courier New" w:eastAsia="Courier New" w:hAnsi="Courier New"/>
          <w:sz w:val="16"/>
          <w:szCs w:val="16"/>
          <w:color w:val="auto"/>
        </w:rPr>
      </w:pPr>
    </w:p>
    <w:p>
      <w:pPr>
        <w:ind w:right="2779" w:firstLine="1391"/>
        <w:spacing w:after="0" w:line="236" w:lineRule="auto"/>
        <w:tabs>
          <w:tab w:leader="none" w:pos="1767" w:val="left"/>
        </w:tabs>
        <w:numPr>
          <w:ilvl w:val="0"/>
          <w:numId w:val="2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Default or Event of Default with respect to such Securities and any coupons appertaining thereto shall have occurred and be continuing on the date of such deposit or, insofar as clauses (5) and (6) of Subsection 501(a) are concerned, at any time during the period ending on the 91st day after the date of such deposit (it being understood that this condition shall not be deemed satisfied until the expiration of such period).</w:t>
      </w:r>
    </w:p>
    <w:p>
      <w:pPr>
        <w:spacing w:after="0" w:line="182" w:lineRule="exact"/>
        <w:rPr>
          <w:rFonts w:ascii="Courier New" w:cs="Courier New" w:eastAsia="Courier New" w:hAnsi="Courier New"/>
          <w:sz w:val="16"/>
          <w:szCs w:val="16"/>
          <w:color w:val="auto"/>
        </w:rPr>
      </w:pPr>
    </w:p>
    <w:p>
      <w:pPr>
        <w:ind w:right="2879" w:firstLine="1391"/>
        <w:spacing w:after="0" w:line="236" w:lineRule="auto"/>
        <w:tabs>
          <w:tab w:leader="none" w:pos="1767" w:val="left"/>
        </w:tabs>
        <w:numPr>
          <w:ilvl w:val="0"/>
          <w:numId w:val="2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 election under Section 1402, the Company shall have delivered to the Trustee an Opinion of Counsel stating that (1) the Company has received from, or there has been published by, the Internal Revenue Service a ruling, or (2) since the date of execution of this Indenture, there has been a change in the applicable Federal income tax law, in either case to the effect that, and based thereon such opinion shall confirm that, the Holders of such Outstanding Securities and any coupons appertaining thereto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186" w:lineRule="exact"/>
        <w:rPr>
          <w:rFonts w:ascii="Courier New" w:cs="Courier New" w:eastAsia="Courier New" w:hAnsi="Courier New"/>
          <w:sz w:val="16"/>
          <w:szCs w:val="16"/>
          <w:color w:val="auto"/>
        </w:rPr>
      </w:pPr>
    </w:p>
    <w:p>
      <w:pPr>
        <w:ind w:right="2779" w:firstLine="1391"/>
        <w:spacing w:after="0" w:line="274" w:lineRule="auto"/>
        <w:tabs>
          <w:tab w:leader="none" w:pos="1767"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an election under Section 1403, the Company shall have delivered to the Trustee an Opinion of Counsel to the effect that the Holders of such Outstanding Securities and any coupons appertaining thereto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33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81</w:t>
      </w:r>
    </w:p>
    <w:p>
      <w:pPr>
        <w:sectPr>
          <w:pgSz w:w="11900" w:h="16838" w:orient="portrait"/>
          <w:cols w:equalWidth="0" w:num="1">
            <w:col w:w="10219"/>
          </w:cols>
          <w:pgMar w:left="240" w:top="655" w:right="1440" w:bottom="1440" w:gutter="0" w:footer="0" w:header="0"/>
        </w:sectPr>
      </w:pPr>
    </w:p>
    <w:bookmarkStart w:id="161" w:name="page162"/>
    <w:bookmarkEnd w:id="161"/>
    <w:p>
      <w:pPr>
        <w:ind w:left="-460" w:right="2879" w:firstLine="1391"/>
        <w:spacing w:after="0" w:line="236" w:lineRule="auto"/>
        <w:tabs>
          <w:tab w:leader="none" w:pos="1307" w:val="left"/>
        </w:tabs>
        <w:numPr>
          <w:ilvl w:val="0"/>
          <w:numId w:val="2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delivered to the Trustee an Officers' Certificate and an Opinion of Counsel, each stating that all conditions precedent to the defeasance under Section 1402 or the covenant defeasance under Section 1403 (as the case may be) have been complied with and an Opinion of Counsel to the effect that either (1) as a result of a deposit pursuant to subsection (a) above and the related exercise of the Company's option under Section 1402 or Section 1403 (as the case may be), registration is not required under the Investment Company Act of 1940, as amended, by the Company, with respect to the trust funds representing such deposit or by the trustee for such trust funds or (2) all necessary registrations under said Act have been effected.</w:t>
      </w:r>
    </w:p>
    <w:p>
      <w:pPr>
        <w:spacing w:after="0" w:line="186" w:lineRule="exact"/>
        <w:rPr>
          <w:rFonts w:ascii="Courier New" w:cs="Courier New" w:eastAsia="Courier New" w:hAnsi="Courier New"/>
          <w:sz w:val="16"/>
          <w:szCs w:val="16"/>
          <w:color w:val="auto"/>
        </w:rPr>
      </w:pPr>
    </w:p>
    <w:p>
      <w:pPr>
        <w:ind w:left="-460" w:right="2959" w:firstLine="1391"/>
        <w:spacing w:after="0" w:line="235" w:lineRule="auto"/>
        <w:tabs>
          <w:tab w:leader="none" w:pos="1307" w:val="left"/>
        </w:tabs>
        <w:numPr>
          <w:ilvl w:val="0"/>
          <w:numId w:val="2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provisions of this Section, such defeasance or covenant defeasance shall be effected in compliance with any additional or substitute terms, conditions or limitations which may be imposed on the Company in connection therewith pursuant to Section 301.</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1405. Deposited Money and Government Obligations to Be Held in</w:t>
      </w:r>
    </w:p>
    <w:p>
      <w:pPr>
        <w:ind w:left="1300"/>
        <w:spacing w:after="0" w:line="236" w:lineRule="auto"/>
        <w:rPr>
          <w:sz w:val="20"/>
          <w:szCs w:val="20"/>
          <w:color w:val="auto"/>
        </w:rPr>
      </w:pPr>
      <w:r>
        <w:rPr>
          <w:rFonts w:ascii="Courier New" w:cs="Courier New" w:eastAsia="Courier New" w:hAnsi="Courier New"/>
          <w:sz w:val="16"/>
          <w:szCs w:val="16"/>
          <w:color w:val="auto"/>
        </w:rPr>
        <w:t>--------------------------------------------------------</w:t>
      </w:r>
    </w:p>
    <w:p>
      <w:pPr>
        <w:ind w:left="1300"/>
        <w:spacing w:after="0" w:line="237" w:lineRule="auto"/>
        <w:rPr>
          <w:sz w:val="20"/>
          <w:szCs w:val="20"/>
          <w:color w:val="auto"/>
        </w:rPr>
      </w:pPr>
      <w:r>
        <w:rPr>
          <w:rFonts w:ascii="Courier New" w:cs="Courier New" w:eastAsia="Courier New" w:hAnsi="Courier New"/>
          <w:sz w:val="16"/>
          <w:szCs w:val="16"/>
          <w:color w:val="auto"/>
        </w:rPr>
        <w:t>Trust; Other Miscellaneous Provisions</w:t>
      </w:r>
    </w:p>
    <w:p>
      <w:pPr>
        <w:ind w:left="1300"/>
        <w:spacing w:after="0" w:line="237"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460" w:right="2779" w:firstLine="1391"/>
        <w:spacing w:after="0" w:line="236" w:lineRule="auto"/>
        <w:tabs>
          <w:tab w:leader="none" w:pos="1307" w:val="left"/>
        </w:tabs>
        <w:numPr>
          <w:ilvl w:val="0"/>
          <w:numId w:val="2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provisions of Subsection 1003(d), all money and Government Obligations (or other property as may be provided pursuant to Section 301) (including the proceeds thereof) deposited with the Trustee (or other qualifying trustee, collectively for purposes of this Section 1405, the "Trustee") pursuant to Section 1404 in respect of any Outstanding Securities of any series and any coupons appertaining thereto shall be held in trust and applied by the Trustee, in accordance with the provisions of such Securities and any coupons appertaining thereto and this Indenture, to the payment, either directly or through any Paying Agent (including the Company acting as its own Paying Agent) as the Trustee may determine, to the Holders of such Securities and any coupons appertaining thereto of all sums due and to become due thereon in respect of principal (and premium, if any) and interest, if any, but such money need not be segregated from other funds except to the extent required by law.</w:t>
      </w:r>
    </w:p>
    <w:p>
      <w:pPr>
        <w:spacing w:after="0" w:line="188" w:lineRule="exact"/>
        <w:rPr>
          <w:rFonts w:ascii="Courier New" w:cs="Courier New" w:eastAsia="Courier New" w:hAnsi="Courier New"/>
          <w:sz w:val="16"/>
          <w:szCs w:val="16"/>
          <w:color w:val="auto"/>
        </w:rPr>
      </w:pPr>
    </w:p>
    <w:p>
      <w:pPr>
        <w:ind w:left="-460" w:right="2779" w:firstLine="1391"/>
        <w:spacing w:after="0" w:line="272" w:lineRule="auto"/>
        <w:tabs>
          <w:tab w:leader="none" w:pos="1307"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specified with respect to any Security pursuant to Section 301, if, after a deposit referred to in Subsection 1404(a) has been made, (1) the Holder of a Security in respect of which such deposit was made is entitled to, and does, elect pursuant to Subsection 312(b) or the terms of such Security to receive payment in a Currency other than that in which the deposit pursuant to Subsection 1404(a) has been made in respect of such Security, or (2) a Conversion Event occurs as contemplated in Subsection 312(d) or 312(e) or by the terms of any Security in respect of which the deposit pursuant to Subsection 1404(a) has been made, the indebtedness represented by such Security and any coupons appertaining thereto shall be deemed to have been, and will be, fully discharged and satisfied through the payment of the principal of (and premium, if any) and interest, if any, on such Security as the same becomes due out of the proceeds yielded by converting (from time to time as specified below in the case of any such election) the amount or other property deposited in respect of such Security into the Currency in which such Security becomes payable as a result of such election or Conversion Event based on the applicable Market Exchange Rate for such Currency in effect on the second Business Day prior to each payment date, except, with respect to a Conversion Event, for such Currency in effect (as nearly as feasible) at the time of the Conversion Event.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82</w:t>
      </w:r>
    </w:p>
    <w:p>
      <w:pPr>
        <w:sectPr>
          <w:pgSz w:w="11900" w:h="16838" w:orient="portrait"/>
          <w:cols w:equalWidth="0" w:num="1">
            <w:col w:w="9759"/>
          </w:cols>
          <w:pgMar w:left="700" w:top="654" w:right="1440" w:bottom="1440" w:gutter="0" w:footer="0" w:header="0"/>
        </w:sectPr>
      </w:pPr>
    </w:p>
    <w:bookmarkStart w:id="162" w:name="page163"/>
    <w:bookmarkEnd w:id="162"/>
    <w:p>
      <w:pPr>
        <w:ind w:right="2879" w:firstLine="1391"/>
        <w:spacing w:after="0" w:line="236" w:lineRule="auto"/>
        <w:tabs>
          <w:tab w:leader="none" w:pos="1767" w:val="left"/>
        </w:tabs>
        <w:numPr>
          <w:ilvl w:val="0"/>
          <w:numId w:val="2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pay and indemnify the Trustee against any tax, fee or other charge imposed on or assessed against the Government Obligations deposited pursuant to Section 1404 or the principal and interest received in respect thereof other than any such tax, fee or other charge which by law is for the account of the Holders of such Outstanding Securities and any coupons appertaining thereto.</w:t>
      </w:r>
    </w:p>
    <w:p>
      <w:pPr>
        <w:spacing w:after="0" w:line="182" w:lineRule="exact"/>
        <w:rPr>
          <w:rFonts w:ascii="Courier New" w:cs="Courier New" w:eastAsia="Courier New" w:hAnsi="Courier New"/>
          <w:sz w:val="16"/>
          <w:szCs w:val="16"/>
          <w:color w:val="auto"/>
        </w:rPr>
      </w:pPr>
    </w:p>
    <w:p>
      <w:pPr>
        <w:ind w:right="2779" w:firstLine="1391"/>
        <w:spacing w:after="0" w:line="236" w:lineRule="auto"/>
        <w:tabs>
          <w:tab w:leader="none" w:pos="1767" w:val="left"/>
        </w:tabs>
        <w:numPr>
          <w:ilvl w:val="0"/>
          <w:numId w:val="2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Anything in this Article Fourteen to the contrary notwithstanding, the Trustee shall deliver or pay to the Company from time to time upon Company Request any money or Government Obligations (or other property and any proceeds therefrom) held by it as provided in Section 1404 which, in the opinion of a nationally recognized firm of independent public accountants expressed in a written certification thereof delivered to the Trustee, are in excess of the amount thereof which would then be required to be deposited to effect a defeasance or covenant defeasance, as applicable, in accordance with this Article.</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1406. Reinstatement</w:t>
      </w:r>
    </w:p>
    <w:p>
      <w:pPr>
        <w:ind w:left="17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1395"/>
        <w:spacing w:after="0" w:line="236" w:lineRule="auto"/>
        <w:rPr>
          <w:sz w:val="20"/>
          <w:szCs w:val="20"/>
          <w:color w:val="auto"/>
        </w:rPr>
      </w:pPr>
      <w:r>
        <w:rPr>
          <w:rFonts w:ascii="Courier New" w:cs="Courier New" w:eastAsia="Courier New" w:hAnsi="Courier New"/>
          <w:sz w:val="16"/>
          <w:szCs w:val="16"/>
          <w:color w:val="auto"/>
        </w:rPr>
        <w:t>If the Trustee or any Paying Agent is unable to apply any money in accordance with Section 1405 by reason of any order or judgment of any court or governmental authority enjoining, restraining or otherwise prohibiting such application, then the Company's obligations under this Indenture and such Securities and any related coupons shall be revived and reinstated as though no deposit had occurred pursuant to Section 1402 or 1403, as the case may be, until such time as the Trustee or Paying Agent is permitted to apply all such money in accordance with Section 1405; provided, that if the Company makes any payment of principal of (or premium, if any) or interest, if any, on any such Security or any related coupon following the reinstatement of its obligations, the Company shall be subrogated to the rights of the Holders of such Securities and any related coupons to receive such payment from the money held by the Trustee or Paying Agent.</w:t>
      </w:r>
    </w:p>
    <w:p>
      <w:pPr>
        <w:spacing w:after="0" w:line="181"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ARTICLE FIFTEEN</w:t>
      </w:r>
    </w:p>
    <w:p>
      <w:pPr>
        <w:ind w:left="2220"/>
        <w:spacing w:after="0" w:line="236" w:lineRule="auto"/>
        <w:rPr>
          <w:sz w:val="20"/>
          <w:szCs w:val="20"/>
          <w:color w:val="auto"/>
        </w:rPr>
      </w:pPr>
      <w:r>
        <w:rPr>
          <w:rFonts w:ascii="Courier New" w:cs="Courier New" w:eastAsia="Courier New" w:hAnsi="Courier New"/>
          <w:sz w:val="16"/>
          <w:szCs w:val="16"/>
          <w:color w:val="auto"/>
        </w:rPr>
        <w:t>MEETINGS OF HOLDERS OF SECURITIES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1501. Purposes for Which Meetings May Be Called</w:t>
      </w:r>
    </w:p>
    <w:p>
      <w:pPr>
        <w:ind w:left="17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959" w:firstLine="1395"/>
        <w:spacing w:after="0" w:line="236" w:lineRule="auto"/>
        <w:rPr>
          <w:sz w:val="20"/>
          <w:szCs w:val="20"/>
          <w:color w:val="auto"/>
        </w:rPr>
      </w:pPr>
      <w:r>
        <w:rPr>
          <w:rFonts w:ascii="Courier New" w:cs="Courier New" w:eastAsia="Courier New" w:hAnsi="Courier New"/>
          <w:sz w:val="16"/>
          <w:szCs w:val="16"/>
          <w:color w:val="auto"/>
        </w:rPr>
        <w:t>If Securities of a series are issuable as Bearer Securities, a meeting of Holders of Securities of such series may be called at any time and from time to time pursuant to this Article to make, give or take any request, demand, authorization, direction, notice, consent, waiver or other action provided by this Indenture to be made, given or taken by Holders of Securities of such series.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1502. Call, Notice and Place of Meetings</w:t>
      </w:r>
    </w:p>
    <w:p>
      <w:pPr>
        <w:ind w:left="17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1391"/>
        <w:spacing w:after="0" w:line="275" w:lineRule="auto"/>
        <w:tabs>
          <w:tab w:leader="none" w:pos="1767"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at any time call a meeting of Holders of Securities of any series for any purpose specified in Section 1501, to be held at such time and at such place in the Borough of Manhattan, The City of New York or in London as the Trustee shall determine. Notice of every meeting of Holders of Securities of any series, setting forth the time and the place of such meeting and in general terms the action proposed to be taken at such meeting,</w:t>
      </w:r>
    </w:p>
    <w:p>
      <w:pPr>
        <w:spacing w:after="0" w:line="33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83</w:t>
      </w:r>
    </w:p>
    <w:p>
      <w:pPr>
        <w:sectPr>
          <w:pgSz w:w="11900" w:h="16838" w:orient="portrait"/>
          <w:cols w:equalWidth="0" w:num="1">
            <w:col w:w="10219"/>
          </w:cols>
          <w:pgMar w:left="240" w:top="654" w:right="1440" w:bottom="1440" w:gutter="0" w:footer="0" w:header="0"/>
        </w:sectPr>
      </w:pPr>
    </w:p>
    <w:bookmarkStart w:id="163" w:name="page164"/>
    <w:bookmarkEnd w:id="163"/>
    <w:p>
      <w:pPr>
        <w:ind w:right="2779"/>
        <w:spacing w:after="0" w:line="234" w:lineRule="auto"/>
        <w:rPr>
          <w:sz w:val="20"/>
          <w:szCs w:val="20"/>
          <w:color w:val="auto"/>
        </w:rPr>
      </w:pPr>
      <w:r>
        <w:rPr>
          <w:rFonts w:ascii="Courier New" w:cs="Courier New" w:eastAsia="Courier New" w:hAnsi="Courier New"/>
          <w:sz w:val="16"/>
          <w:szCs w:val="16"/>
          <w:color w:val="auto"/>
        </w:rPr>
        <w:t>shall be given, in the manner provided in Section 106, not less than 21 nor more than 180 days prior to the date fixed for the meeting.</w:t>
      </w:r>
    </w:p>
    <w:p>
      <w:pPr>
        <w:spacing w:after="0" w:line="183" w:lineRule="exact"/>
        <w:rPr>
          <w:sz w:val="20"/>
          <w:szCs w:val="20"/>
          <w:color w:val="auto"/>
        </w:rPr>
      </w:pPr>
    </w:p>
    <w:p>
      <w:pPr>
        <w:ind w:right="2779" w:firstLine="1391"/>
        <w:spacing w:after="0" w:line="273" w:lineRule="auto"/>
        <w:tabs>
          <w:tab w:leader="none" w:pos="1767"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at any time the Company, pursuant to a Board Resolution, or the Holders of at least 10% in principal amount of the Outstanding Securities of any series shall have requested the Trustee to call a meeting of the Holders of Securities of such series for any purpose specified in Section 1501, by written request setting forth in reasonable detail the action proposed to be taken at the meeting, and the trustee shall not have made the first publication of the notice of such meeting within 21 days after receipt of such request or shall not thereafter proceed to cause the meeting to be held as provided herein, then the Company or the Holders of Securities of such series in the amount above specified, as the case may be, may determine the time and the place in the Borough of Manhattan, The City of New York or in London for such meeting and may call such meeting for such purposes by giving notice thereof as provided in Subsection (a) of this Section.</w:t>
      </w:r>
    </w:p>
    <w:p>
      <w:pPr>
        <w:spacing w:after="0" w:line="33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1503. Persons Entitled to Vote at Meetings</w:t>
      </w:r>
    </w:p>
    <w:p>
      <w:pPr>
        <w:ind w:left="17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1395"/>
        <w:spacing w:after="0" w:line="236" w:lineRule="auto"/>
        <w:rPr>
          <w:sz w:val="20"/>
          <w:szCs w:val="20"/>
          <w:color w:val="auto"/>
        </w:rPr>
      </w:pPr>
      <w:r>
        <w:rPr>
          <w:rFonts w:ascii="Courier New" w:cs="Courier New" w:eastAsia="Courier New" w:hAnsi="Courier New"/>
          <w:sz w:val="16"/>
          <w:szCs w:val="16"/>
          <w:color w:val="auto"/>
        </w:rPr>
        <w:t>To be entitled to vote at any meeting of Holders of Securities of any series, a Person shall be (a) a Holder of one or more Outstanding Securities of such series, or (b) a Person appointed by an instrument in writing as proxy for a Holder or Holders of one or more Outstanding Securities of such series by such Holder or Holders. The only Persons who shall be entitled to be present or to speak at any meeting of Holders of Securities of any series shall be the Persons entitled to vote at such meeting and their counsel, any representatives of the Trustee and its counsel and any representatives of the Company and its counsel.</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1504. Quorum; Action</w:t>
      </w:r>
    </w:p>
    <w:p>
      <w:pPr>
        <w:ind w:left="17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1391"/>
        <w:spacing w:after="0" w:line="272" w:lineRule="auto"/>
        <w:tabs>
          <w:tab w:leader="none" w:pos="1767"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Persons entitled to vote a majority in principal amount of the Outstanding Securities of a series shall constitute a quorum for a meeting of Holders of Securities of such series; provided, that if any action is to be taken at such meeting with respect to a consent or waiver which this Indenture expressly provides may be given by the Holders of not less than a specified percentage in principal amount of the Outstanding Securities of a series, the Persons entitled to vote such specified percentage in principal amount of the Outstanding Securities of such series shall constitute a quorum. In the absence of a quorum within 30 minutes of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any such adjourned meeting, such adjourned meeting may be further adjourned for a period of not less than 10 days as determined by the chairman of the meeting prior to the adjournment of such adjourned meeting. Notice of the reconvening of any adjourned meeting shall be given as provided in Subsection 1502(a), except that such notice need be given only once not less than five days prior to the date on which the meeting is scheduled to be reconvened. Notice of the reconvening of any adjourned meeting shall state expressly the percentage, as provided above, of the principal amount of the Outstanding Securities of such series which shall constitute a quorum.</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84</w:t>
      </w:r>
    </w:p>
    <w:p>
      <w:pPr>
        <w:sectPr>
          <w:pgSz w:w="11900" w:h="16838" w:orient="portrait"/>
          <w:cols w:equalWidth="0" w:num="1">
            <w:col w:w="10219"/>
          </w:cols>
          <w:pgMar w:left="240" w:top="655" w:right="1440" w:bottom="1440" w:gutter="0" w:footer="0" w:header="0"/>
        </w:sectPr>
      </w:pPr>
    </w:p>
    <w:bookmarkStart w:id="164" w:name="page165"/>
    <w:bookmarkEnd w:id="164"/>
    <w:p>
      <w:pPr>
        <w:ind w:left="-460" w:right="2959" w:firstLine="1391"/>
        <w:spacing w:after="0" w:line="279" w:lineRule="auto"/>
        <w:tabs>
          <w:tab w:leader="none" w:pos="1307"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foregoing, at the reconvening of any meeting adjourned for lack of a quorum the Persons entitled to vote 25% in principal amount of the Outstanding Securities at the time shall constitute a quorum for the taking of any action set forth in the notice of the original meeting.</w:t>
      </w:r>
    </w:p>
    <w:p>
      <w:pPr>
        <w:spacing w:after="0" w:line="156" w:lineRule="exact"/>
        <w:rPr>
          <w:rFonts w:ascii="Courier New" w:cs="Courier New" w:eastAsia="Courier New" w:hAnsi="Courier New"/>
          <w:sz w:val="14"/>
          <w:szCs w:val="14"/>
          <w:color w:val="auto"/>
        </w:rPr>
      </w:pPr>
    </w:p>
    <w:p>
      <w:pPr>
        <w:ind w:left="-460" w:right="2879" w:firstLine="1391"/>
        <w:spacing w:after="0" w:line="273" w:lineRule="auto"/>
        <w:tabs>
          <w:tab w:leader="none" w:pos="1307"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limited by the proviso to Section 902, any resolution presented to a meeting or adjourned meeting duly reconvened at which a quorum is present as aforesaid may be adopted by the affirmative vote of the Holders of not less than a majority in principal amount of the Outstanding Securities of that series; provided, that except as limited by the proviso to Section 902, any resolution with respect to any request, demand, authorization, direction, notice, consent, waiver or other action which this Indenture expressly provides may be made, given or taken by the Holders of a specified percentage, which is less than a majority, in principal amount of the Outstanding Securities of a series may be adopted at a meeting or an adjourned meeting duly reconvened and at which a quorum is present as aforesaid by the affirmative vote of the Holders of not less than such specified percentage in principal amount of the Outstanding Securities of that series.</w:t>
      </w:r>
    </w:p>
    <w:p>
      <w:pPr>
        <w:spacing w:after="0" w:line="339" w:lineRule="exact"/>
        <w:rPr>
          <w:rFonts w:ascii="Courier New" w:cs="Courier New" w:eastAsia="Courier New" w:hAnsi="Courier New"/>
          <w:sz w:val="14"/>
          <w:szCs w:val="14"/>
          <w:color w:val="auto"/>
        </w:rPr>
      </w:pPr>
    </w:p>
    <w:p>
      <w:pPr>
        <w:ind w:left="-460" w:right="2779" w:firstLine="1391"/>
        <w:spacing w:after="0" w:line="235" w:lineRule="auto"/>
        <w:tabs>
          <w:tab w:leader="none" w:pos="1307" w:val="left"/>
        </w:tabs>
        <w:numPr>
          <w:ilvl w:val="0"/>
          <w:numId w:val="2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resolution passed or decision taken at any meeting of Holders of Securities of any series duly held in accordance with this Section shall be binding on all the Holders of Securities of such series and the related coupons, whether or not present or represented at the meeting.</w:t>
      </w:r>
    </w:p>
    <w:p>
      <w:pPr>
        <w:spacing w:after="0" w:line="184" w:lineRule="exact"/>
        <w:rPr>
          <w:rFonts w:ascii="Courier New" w:cs="Courier New" w:eastAsia="Courier New" w:hAnsi="Courier New"/>
          <w:sz w:val="16"/>
          <w:szCs w:val="16"/>
          <w:color w:val="auto"/>
        </w:rPr>
      </w:pPr>
    </w:p>
    <w:p>
      <w:pPr>
        <w:ind w:left="-460" w:right="2779" w:firstLine="1391"/>
        <w:spacing w:after="0" w:line="236" w:lineRule="auto"/>
        <w:tabs>
          <w:tab w:leader="none" w:pos="1307" w:val="left"/>
        </w:tabs>
        <w:numPr>
          <w:ilvl w:val="0"/>
          <w:numId w:val="2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provisions of this Section 1504, if any action is to be taken at a meeting of Holders of Securities of any series with respect to any request, demand, authorization, direction, notice, consent, waiver or other action that this Indenture expressly provides may be made, given or taken by the Holders of a specified percentage in principal amount of all Outstanding Securities affected thereby, or of the Holders of such series and one or more additional series:</w:t>
      </w:r>
    </w:p>
    <w:p>
      <w:pPr>
        <w:spacing w:after="0" w:line="183" w:lineRule="exact"/>
        <w:rPr>
          <w:rFonts w:ascii="Courier New" w:cs="Courier New" w:eastAsia="Courier New" w:hAnsi="Courier New"/>
          <w:sz w:val="16"/>
          <w:szCs w:val="16"/>
          <w:color w:val="auto"/>
        </w:rPr>
      </w:pPr>
    </w:p>
    <w:p>
      <w:pPr>
        <w:ind w:left="940" w:right="3059" w:firstLine="456"/>
        <w:spacing w:after="0" w:line="234" w:lineRule="auto"/>
        <w:tabs>
          <w:tab w:leader="none" w:pos="1777" w:val="left"/>
        </w:tabs>
        <w:numPr>
          <w:ilvl w:val="1"/>
          <w:numId w:val="2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be no minimum quorum requirement for such meeting; and</w:t>
      </w:r>
    </w:p>
    <w:p>
      <w:pPr>
        <w:spacing w:after="0" w:line="183" w:lineRule="exact"/>
        <w:rPr>
          <w:rFonts w:ascii="Courier New" w:cs="Courier New" w:eastAsia="Courier New" w:hAnsi="Courier New"/>
          <w:sz w:val="16"/>
          <w:szCs w:val="16"/>
          <w:color w:val="auto"/>
        </w:rPr>
      </w:pPr>
    </w:p>
    <w:p>
      <w:pPr>
        <w:ind w:left="940" w:right="2779" w:firstLine="456"/>
        <w:spacing w:after="0" w:line="275" w:lineRule="auto"/>
        <w:tabs>
          <w:tab w:leader="none" w:pos="1777" w:val="left"/>
        </w:tabs>
        <w:numPr>
          <w:ilvl w:val="1"/>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amount of the Outstanding Securities of such series that vote in favor of such request, demand, authorization, direction, notice, consent, waiver or other action shall be taken into account in determining whether such request, demand, authorization, direction, notice, consent, waiver or other action has been made, given or taken under this Indenture.</w:t>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1505. Determination of Voting Rights; Conduct and Adjournment</w:t>
      </w:r>
    </w:p>
    <w:p>
      <w:pPr>
        <w:ind w:left="1300"/>
        <w:spacing w:after="0" w:line="236" w:lineRule="auto"/>
        <w:rPr>
          <w:sz w:val="20"/>
          <w:szCs w:val="20"/>
          <w:color w:val="auto"/>
        </w:rPr>
      </w:pPr>
      <w:r>
        <w:rPr>
          <w:rFonts w:ascii="Courier New" w:cs="Courier New" w:eastAsia="Courier New" w:hAnsi="Courier New"/>
          <w:sz w:val="16"/>
          <w:szCs w:val="16"/>
          <w:color w:val="auto"/>
        </w:rPr>
        <w:t>-------------------------------------------------------</w:t>
      </w:r>
    </w:p>
    <w:p>
      <w:pPr>
        <w:ind w:left="1300"/>
        <w:spacing w:after="0" w:line="237" w:lineRule="auto"/>
        <w:rPr>
          <w:sz w:val="20"/>
          <w:szCs w:val="20"/>
          <w:color w:val="auto"/>
        </w:rPr>
      </w:pPr>
      <w:r>
        <w:rPr>
          <w:rFonts w:ascii="Courier New" w:cs="Courier New" w:eastAsia="Courier New" w:hAnsi="Courier New"/>
          <w:sz w:val="16"/>
          <w:szCs w:val="16"/>
          <w:color w:val="auto"/>
        </w:rPr>
        <w:t>of Meetings</w:t>
      </w:r>
    </w:p>
    <w:p>
      <w:pPr>
        <w:ind w:left="1300"/>
        <w:spacing w:after="0" w:line="237"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460" w:right="2779" w:firstLine="1391"/>
        <w:spacing w:after="0" w:line="274" w:lineRule="auto"/>
        <w:tabs>
          <w:tab w:leader="none" w:pos="1307"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provisions of this Indenture, the Company may make such reasonable regulations as it may deem advisable for any meeting of Holders of Securities of a series in regard to proof of the holding of Securities of such series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w:t>
      </w:r>
    </w:p>
    <w:p>
      <w:pPr>
        <w:spacing w:after="0" w:line="336"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85</w:t>
      </w:r>
    </w:p>
    <w:p>
      <w:pPr>
        <w:sectPr>
          <w:pgSz w:w="11900" w:h="16838" w:orient="portrait"/>
          <w:cols w:equalWidth="0" w:num="1">
            <w:col w:w="9759"/>
          </w:cols>
          <w:pgMar w:left="700" w:top="655" w:right="1440" w:bottom="1440" w:gutter="0" w:footer="0" w:header="0"/>
        </w:sectPr>
      </w:pPr>
    </w:p>
    <w:bookmarkStart w:id="165" w:name="page166"/>
    <w:bookmarkEnd w:id="165"/>
    <w:p>
      <w:pPr>
        <w:ind w:right="2879"/>
        <w:spacing w:after="0" w:line="274" w:lineRule="auto"/>
        <w:rPr>
          <w:sz w:val="20"/>
          <w:szCs w:val="20"/>
          <w:color w:val="auto"/>
        </w:rPr>
      </w:pPr>
      <w:r>
        <w:rPr>
          <w:rFonts w:ascii="Courier New" w:cs="Courier New" w:eastAsia="Courier New" w:hAnsi="Courier New"/>
          <w:sz w:val="14"/>
          <w:szCs w:val="14"/>
          <w:color w:val="auto"/>
        </w:rPr>
        <w:t>Except as otherwise permitted or required by any such regulations, the holding of Securities shall be proved in the manner specified in Section 104 and the appointment of any proxy shall be proved in the manner specified in Section 104 or by having the signature of the Person executing the proxy witnessed or guaranteed by any trust company, bank or banker authorized by Section 104 to certify to the holding of Bearer Securities. Such regulations may provide that written instruments appointing proxies, regular on their face, may be presumed valid and genuine without the proof specified in Section 104 or other proof.</w:t>
      </w:r>
    </w:p>
    <w:p>
      <w:pPr>
        <w:spacing w:after="0" w:line="162" w:lineRule="exact"/>
        <w:rPr>
          <w:sz w:val="20"/>
          <w:szCs w:val="20"/>
          <w:color w:val="auto"/>
        </w:rPr>
      </w:pPr>
    </w:p>
    <w:p>
      <w:pPr>
        <w:ind w:right="2779" w:firstLine="1391"/>
        <w:spacing w:after="0" w:line="236" w:lineRule="auto"/>
        <w:tabs>
          <w:tab w:leader="none" w:pos="1767" w:val="left"/>
        </w:tabs>
        <w:numPr>
          <w:ilvl w:val="0"/>
          <w:numId w:val="2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by an instrument in writing appoint a temporary chairman of the meeting, unless the meeting shall have been called by Holders of Securities as provided in Section 1502(b), in which case the Holders of Securities of the series calling the meeting shall in like manner appoint a temporary chairman. A permanent chairman and a permanent secretary of the meeting shall be elected by vote of the Persons entitled to vote a majority in principal amount of the Outstanding Securities of such series represented at the meeting.</w:t>
      </w:r>
    </w:p>
    <w:p>
      <w:pPr>
        <w:spacing w:after="0" w:line="184" w:lineRule="exact"/>
        <w:rPr>
          <w:rFonts w:ascii="Courier New" w:cs="Courier New" w:eastAsia="Courier New" w:hAnsi="Courier New"/>
          <w:sz w:val="16"/>
          <w:szCs w:val="16"/>
          <w:color w:val="auto"/>
        </w:rPr>
      </w:pPr>
    </w:p>
    <w:p>
      <w:pPr>
        <w:ind w:right="2779" w:firstLine="1391"/>
        <w:spacing w:after="0" w:line="236" w:lineRule="auto"/>
        <w:tabs>
          <w:tab w:leader="none" w:pos="1767" w:val="left"/>
        </w:tabs>
        <w:numPr>
          <w:ilvl w:val="0"/>
          <w:numId w:val="2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meeting each Holder of a Security of such series or proxy shall be entitled to one vote for each $1,000 principal amount of the Outstanding Securities of such series held or represented by him; provided, that, no vote shall be cast or counted at any meeting in respect of any Security challenged as not Outstanding and ruled by the chairman of the meeting to be not Outstanding. The chairman of the meeting shall have no right to vote, except as a Holder of a Security of such series or proxy.</w:t>
      </w:r>
    </w:p>
    <w:p>
      <w:pPr>
        <w:spacing w:after="0" w:line="183" w:lineRule="exact"/>
        <w:rPr>
          <w:rFonts w:ascii="Courier New" w:cs="Courier New" w:eastAsia="Courier New" w:hAnsi="Courier New"/>
          <w:sz w:val="16"/>
          <w:szCs w:val="16"/>
          <w:color w:val="auto"/>
        </w:rPr>
      </w:pPr>
    </w:p>
    <w:p>
      <w:pPr>
        <w:ind w:right="2879" w:firstLine="1391"/>
        <w:spacing w:after="0" w:line="276" w:lineRule="auto"/>
        <w:tabs>
          <w:tab w:leader="none" w:pos="1767"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meeting of Holders of Securities of any series duly called pursuant to Section 1502 at which a quorum is present may be adjourned from time to time by Persons entitled to vote a majority in principal amount of the Outstanding Securities of such series represented at the meeting, and the meeting may be held as so adjourned without further notice.</w:t>
      </w:r>
    </w:p>
    <w:p>
      <w:pPr>
        <w:spacing w:after="0" w:line="155"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1506. Counting Votes and Recording Action of Meetings</w:t>
      </w:r>
    </w:p>
    <w:p>
      <w:pPr>
        <w:ind w:left="17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879" w:firstLine="1395"/>
        <w:spacing w:after="0" w:line="272" w:lineRule="auto"/>
        <w:rPr>
          <w:sz w:val="20"/>
          <w:szCs w:val="20"/>
          <w:color w:val="auto"/>
        </w:rPr>
      </w:pPr>
      <w:r>
        <w:rPr>
          <w:rFonts w:ascii="Courier New" w:cs="Courier New" w:eastAsia="Courier New" w:hAnsi="Courier New"/>
          <w:sz w:val="14"/>
          <w:szCs w:val="14"/>
          <w:color w:val="auto"/>
        </w:rPr>
        <w:t>The vote upon any resolution submitted to any meeting of Holders of Securities of any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Securities of any series shall be prepared by the secretary of the meeting and there shall be attached to said record the original reports of the inspectors of votes on any vote by ballot taken thereat and affidavits by one or more persons having knowledge of the fact, setting forth a copy of the notice of the meeting and showing that said notice was given as provided in Subsection 1502(a) and, if applicable, Section 1504. Each copy shall be signed and verified by the affidavits of the permanent chairman and secretary of the meeting and one such copy shall be delivered to the Company and another to the Trustee to be preserved by the Trustee, the former to have attached thereto the ballots voted at the meeting. Any record so signed and verified shall be conclusive evidence of the matters therein stated.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86</w:t>
      </w:r>
    </w:p>
    <w:p>
      <w:pPr>
        <w:sectPr>
          <w:pgSz w:w="11900" w:h="16838" w:orient="portrait"/>
          <w:cols w:equalWidth="0" w:num="1">
            <w:col w:w="10219"/>
          </w:cols>
          <w:pgMar w:left="240" w:top="655" w:right="1440" w:bottom="1440" w:gutter="0" w:footer="0" w:header="0"/>
        </w:sectPr>
      </w:pPr>
    </w:p>
    <w:bookmarkStart w:id="166" w:name="page167"/>
    <w:bookmarkEnd w:id="166"/>
    <w:p>
      <w:pPr>
        <w:ind w:right="3159" w:firstLine="1395"/>
        <w:spacing w:after="0" w:line="283" w:lineRule="auto"/>
        <w:rPr>
          <w:sz w:val="20"/>
          <w:szCs w:val="20"/>
          <w:color w:val="auto"/>
        </w:rPr>
      </w:pPr>
      <w:r>
        <w:rPr>
          <w:rFonts w:ascii="Courier New" w:cs="Courier New" w:eastAsia="Courier New" w:hAnsi="Courier New"/>
          <w:sz w:val="14"/>
          <w:szCs w:val="14"/>
          <w:color w:val="auto"/>
        </w:rPr>
        <w:t>This Indenture may be executed in any number of counterparts, each of which so executed shall be deemed to be an original, but all such counterparts shall together constitute but one and the same Indenture.</w:t>
      </w:r>
    </w:p>
    <w:p>
      <w:pPr>
        <w:spacing w:after="0" w:line="155" w:lineRule="exact"/>
        <w:rPr>
          <w:sz w:val="20"/>
          <w:szCs w:val="20"/>
          <w:color w:val="auto"/>
        </w:rPr>
      </w:pPr>
    </w:p>
    <w:p>
      <w:pPr>
        <w:jc w:val="both"/>
        <w:ind w:right="2779" w:firstLine="1395"/>
        <w:spacing w:after="0" w:line="283" w:lineRule="auto"/>
        <w:rPr>
          <w:sz w:val="20"/>
          <w:szCs w:val="20"/>
          <w:color w:val="auto"/>
        </w:rPr>
      </w:pPr>
      <w:r>
        <w:rPr>
          <w:rFonts w:ascii="Courier New" w:cs="Courier New" w:eastAsia="Courier New" w:hAnsi="Courier New"/>
          <w:sz w:val="14"/>
          <w:szCs w:val="14"/>
          <w:color w:val="auto"/>
        </w:rPr>
        <w:t>IN WITNESS WHEREOF, the parties hereto have caused this Indenture to be duly executed, and their respective corporate seals to be hereunto affixed [and attested], all as of the day and year first above written.</w:t>
      </w:r>
    </w:p>
    <w:p>
      <w:pPr>
        <w:spacing w:after="0" w:line="148"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CLEARONE COMMUNICATIONS, INC.</w:t>
      </w:r>
    </w:p>
    <w:p>
      <w:pPr>
        <w:spacing w:after="0" w:line="355"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By</w:t>
      </w:r>
    </w:p>
    <w:p>
      <w:pPr>
        <w:ind w:left="3720"/>
        <w:spacing w:after="0" w:line="236" w:lineRule="auto"/>
        <w:rPr>
          <w:sz w:val="20"/>
          <w:szCs w:val="20"/>
          <w:color w:val="auto"/>
        </w:rPr>
      </w:pPr>
      <w:r>
        <w:rPr>
          <w:rFonts w:ascii="Courier New" w:cs="Courier New" w:eastAsia="Courier New" w:hAnsi="Courier New"/>
          <w:sz w:val="16"/>
          <w:szCs w:val="16"/>
          <w:color w:val="auto"/>
        </w:rPr>
        <w:t>----------------------------------</w:t>
      </w:r>
    </w:p>
    <w:p>
      <w:pPr>
        <w:ind w:left="3720"/>
        <w:spacing w:after="0" w:line="237" w:lineRule="auto"/>
        <w:rPr>
          <w:sz w:val="20"/>
          <w:szCs w:val="20"/>
          <w:color w:val="auto"/>
        </w:rPr>
      </w:pPr>
      <w:r>
        <w:rPr>
          <w:rFonts w:ascii="Courier New" w:cs="Courier New" w:eastAsia="Courier New" w:hAnsi="Courier New"/>
          <w:sz w:val="16"/>
          <w:szCs w:val="16"/>
          <w:color w:val="auto"/>
        </w:rPr>
        <w:t>Name:</w:t>
      </w:r>
    </w:p>
    <w:p>
      <w:pPr>
        <w:ind w:left="3720"/>
        <w:spacing w:after="0" w:line="237" w:lineRule="auto"/>
        <w:rPr>
          <w:sz w:val="20"/>
          <w:szCs w:val="20"/>
          <w:color w:val="auto"/>
        </w:rPr>
      </w:pPr>
      <w:r>
        <w:rPr>
          <w:rFonts w:ascii="Courier New" w:cs="Courier New" w:eastAsia="Courier New" w:hAnsi="Courier New"/>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THE BANK OF NEW YORK</w:t>
      </w:r>
    </w:p>
    <w:p>
      <w:pPr>
        <w:ind w:left="4000"/>
        <w:spacing w:after="0" w:line="236" w:lineRule="auto"/>
        <w:rPr>
          <w:sz w:val="20"/>
          <w:szCs w:val="20"/>
          <w:color w:val="auto"/>
        </w:rPr>
      </w:pPr>
      <w:r>
        <w:rPr>
          <w:rFonts w:ascii="Courier New" w:cs="Courier New" w:eastAsia="Courier New" w:hAnsi="Courier New"/>
          <w:sz w:val="16"/>
          <w:szCs w:val="16"/>
          <w:color w:val="auto"/>
        </w:rPr>
        <w:t>as Trustee</w:t>
      </w:r>
    </w:p>
    <w:p>
      <w:pPr>
        <w:spacing w:after="0" w:line="356"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By</w:t>
      </w:r>
    </w:p>
    <w:p>
      <w:pPr>
        <w:ind w:left="3720"/>
        <w:spacing w:after="0" w:line="236" w:lineRule="auto"/>
        <w:rPr>
          <w:sz w:val="20"/>
          <w:szCs w:val="20"/>
          <w:color w:val="auto"/>
        </w:rPr>
      </w:pPr>
      <w:r>
        <w:rPr>
          <w:rFonts w:ascii="Courier New" w:cs="Courier New" w:eastAsia="Courier New" w:hAnsi="Courier New"/>
          <w:sz w:val="16"/>
          <w:szCs w:val="16"/>
          <w:color w:val="auto"/>
        </w:rPr>
        <w:t>----------------------------------</w:t>
      </w:r>
    </w:p>
    <w:p>
      <w:pPr>
        <w:ind w:left="3720"/>
        <w:spacing w:after="0" w:line="237" w:lineRule="auto"/>
        <w:rPr>
          <w:sz w:val="20"/>
          <w:szCs w:val="20"/>
          <w:color w:val="auto"/>
        </w:rPr>
      </w:pPr>
      <w:r>
        <w:rPr>
          <w:rFonts w:ascii="Courier New" w:cs="Courier New" w:eastAsia="Courier New" w:hAnsi="Courier New"/>
          <w:sz w:val="16"/>
          <w:szCs w:val="16"/>
          <w:color w:val="auto"/>
        </w:rPr>
        <w:t>Name:</w:t>
      </w:r>
    </w:p>
    <w:p>
      <w:pPr>
        <w:ind w:left="3720"/>
        <w:spacing w:after="0" w:line="237" w:lineRule="auto"/>
        <w:rPr>
          <w:sz w:val="20"/>
          <w:szCs w:val="20"/>
          <w:color w:val="auto"/>
        </w:rPr>
      </w:pPr>
      <w:r>
        <w:rPr>
          <w:rFonts w:ascii="Courier New" w:cs="Courier New" w:eastAsia="Courier New" w:hAnsi="Courier New"/>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87</w:t>
      </w:r>
    </w:p>
    <w:p>
      <w:pPr>
        <w:sectPr>
          <w:pgSz w:w="11900" w:h="16838" w:orient="portrait"/>
          <w:cols w:equalWidth="0" w:num="1">
            <w:col w:w="10219"/>
          </w:cols>
          <w:pgMar w:left="240" w:top="833" w:right="1440" w:bottom="1440" w:gutter="0" w:footer="0" w:header="0"/>
        </w:sectPr>
      </w:pPr>
    </w:p>
    <w:bookmarkStart w:id="167" w:name="page168"/>
    <w:bookmarkEnd w:id="167"/>
    <w:p>
      <w:pPr>
        <w:jc w:val="center"/>
        <w:ind w:right="3899"/>
        <w:spacing w:after="0"/>
        <w:rPr>
          <w:sz w:val="20"/>
          <w:szCs w:val="20"/>
          <w:color w:val="auto"/>
        </w:rPr>
      </w:pPr>
      <w:r>
        <w:rPr>
          <w:rFonts w:ascii="Courier New" w:cs="Courier New" w:eastAsia="Courier New" w:hAnsi="Courier New"/>
          <w:sz w:val="16"/>
          <w:szCs w:val="16"/>
          <w:color w:val="auto"/>
        </w:rPr>
        <w:t>EXHIBIT A</w:t>
      </w:r>
    </w:p>
    <w:p>
      <w:pPr>
        <w:spacing w:after="0" w:line="183"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FORMS OF CERTIFICATES</w:t>
      </w:r>
    </w:p>
    <w:p>
      <w:pPr>
        <w:sectPr>
          <w:pgSz w:w="11900" w:h="16838" w:orient="portrait"/>
          <w:cols w:equalWidth="0" w:num="1">
            <w:col w:w="9019"/>
          </w:cols>
          <w:pgMar w:left="1440" w:top="828" w:right="1440" w:bottom="1440" w:gutter="0" w:footer="0" w:header="0"/>
        </w:sectPr>
      </w:pPr>
    </w:p>
    <w:bookmarkStart w:id="168" w:name="page169"/>
    <w:bookmarkEnd w:id="168"/>
    <w:p>
      <w:pPr>
        <w:jc w:val="center"/>
        <w:ind w:right="2699"/>
        <w:spacing w:after="0"/>
        <w:rPr>
          <w:sz w:val="20"/>
          <w:szCs w:val="20"/>
          <w:color w:val="auto"/>
        </w:rPr>
      </w:pPr>
      <w:r>
        <w:rPr>
          <w:rFonts w:ascii="Courier New" w:cs="Courier New" w:eastAsia="Courier New" w:hAnsi="Courier New"/>
          <w:sz w:val="16"/>
          <w:szCs w:val="16"/>
          <w:color w:val="auto"/>
        </w:rPr>
        <w:t>EXHIBIT A-1</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FORM OF CERTIFICATE TO BE GIVEN BY PERSON ENTITLED</w:t>
      </w:r>
    </w:p>
    <w:p>
      <w:pPr>
        <w:jc w:val="center"/>
        <w:ind w:right="2779"/>
        <w:spacing w:after="0" w:line="236" w:lineRule="auto"/>
        <w:rPr>
          <w:sz w:val="20"/>
          <w:szCs w:val="20"/>
          <w:color w:val="auto"/>
        </w:rPr>
      </w:pPr>
      <w:r>
        <w:rPr>
          <w:rFonts w:ascii="Courier New" w:cs="Courier New" w:eastAsia="Courier New" w:hAnsi="Courier New"/>
          <w:sz w:val="16"/>
          <w:szCs w:val="16"/>
          <w:color w:val="auto"/>
        </w:rPr>
        <w:t>TO RECEIVE BEARER SECURITY OR TO OBTAIN INTEREST</w:t>
      </w:r>
    </w:p>
    <w:p>
      <w:pPr>
        <w:jc w:val="center"/>
        <w:ind w:right="2779"/>
        <w:spacing w:after="0" w:line="237" w:lineRule="auto"/>
        <w:rPr>
          <w:sz w:val="20"/>
          <w:szCs w:val="20"/>
          <w:color w:val="auto"/>
        </w:rPr>
      </w:pPr>
      <w:r>
        <w:rPr>
          <w:rFonts w:ascii="Courier New" w:cs="Courier New" w:eastAsia="Courier New" w:hAnsi="Courier New"/>
          <w:sz w:val="16"/>
          <w:szCs w:val="16"/>
          <w:color w:val="auto"/>
        </w:rPr>
        <w:t>PAYABLE PRIOR TO THE EXCHANGE DATE</w:t>
      </w:r>
    </w:p>
    <w:p>
      <w:pPr>
        <w:spacing w:after="0" w:line="177"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CERTIFICATE</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[Insert title or sufficient description of Securities to be delivered]</w:t>
      </w:r>
    </w:p>
    <w:p>
      <w:pPr>
        <w:spacing w:after="0" w:line="183" w:lineRule="exact"/>
        <w:rPr>
          <w:sz w:val="20"/>
          <w:szCs w:val="20"/>
          <w:color w:val="auto"/>
        </w:rPr>
      </w:pPr>
    </w:p>
    <w:p>
      <w:pPr>
        <w:ind w:right="2779" w:firstLine="1395"/>
        <w:spacing w:after="0" w:line="271" w:lineRule="auto"/>
        <w:rPr>
          <w:sz w:val="20"/>
          <w:szCs w:val="20"/>
          <w:color w:val="auto"/>
        </w:rPr>
      </w:pPr>
      <w:r>
        <w:rPr>
          <w:rFonts w:ascii="Courier New" w:cs="Courier New" w:eastAsia="Courier New" w:hAnsi="Courier New"/>
          <w:sz w:val="14"/>
          <w:szCs w:val="14"/>
          <w:color w:val="auto"/>
        </w:rPr>
        <w:t>This is to certify that, as of the date hereof, and except as set forth below, the above-captioned Securities held by you for our account (i) are owned by person(s) that are not citizens or residents of the United States, domestic partnerships, domestic corporations or any estate the income of which is subject to United States federal income taxation regardless of its source or a trust whose administration is subject to the primary supervision of a United States court and which has one or more United States persons who have the authority to control all of its decisions ("United States person(s)"), (ii) are owned by United States person(s) that are (a) foreign branches of United States financial institutions (financial institutions, as defined in United States Treasury Regulations Section 1.165-12(c)(1)(v) are herein referred to as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 (a) or (b), each such United States financial institution hereby agrees, on its own behalf or through its agent, that you may advise ClearOne Communications, Inc. or its agent that such financial institution will comply with the requirements of Section 165(j)(3)(A), (B) or (C) of the United States Internal Revenue Code of 1986, as amended, and the regulations thereunder), or (iii) are owned by United States or foreign financial institution(s) for purposes of resale during the restricted period (as defined in United States Treasury Regulations Section 1.163-5(c)(2)(i)(D)(7)), and, in addition, if the owner is a United States or foreign financial institution described in clause (iii) above (whether or not also described in clause (i) or (ii)), this is to further certify that such financial institution has not acquired the Securities for purposes of resale directly or indirectly to a United States person or to a person within the United States or its possessions.</w:t>
      </w:r>
    </w:p>
    <w:p>
      <w:pPr>
        <w:spacing w:after="0" w:line="200" w:lineRule="exact"/>
        <w:rPr>
          <w:sz w:val="20"/>
          <w:szCs w:val="20"/>
          <w:color w:val="auto"/>
        </w:rPr>
      </w:pPr>
    </w:p>
    <w:p>
      <w:pPr>
        <w:spacing w:after="0" w:line="332" w:lineRule="exact"/>
        <w:rPr>
          <w:sz w:val="20"/>
          <w:szCs w:val="20"/>
          <w:color w:val="auto"/>
        </w:rPr>
      </w:pPr>
    </w:p>
    <w:p>
      <w:pPr>
        <w:ind w:right="3339" w:firstLine="1395"/>
        <w:spacing w:after="0" w:line="235" w:lineRule="auto"/>
        <w:rPr>
          <w:sz w:val="20"/>
          <w:szCs w:val="20"/>
          <w:color w:val="auto"/>
        </w:rPr>
      </w:pPr>
      <w:r>
        <w:rPr>
          <w:rFonts w:ascii="Courier New" w:cs="Courier New" w:eastAsia="Courier New" w:hAnsi="Courier New"/>
          <w:sz w:val="16"/>
          <w:szCs w:val="16"/>
          <w:color w:val="auto"/>
        </w:rPr>
        <w:t>As used herein, "United States" means the United States of America (including the states and the District of Columbia); and its "possessions" include Puerto Rico, the U.S. Virgin Islands, Guam, American Samoa, Wake Island and the Northern Mariana Islands.</w:t>
      </w:r>
    </w:p>
    <w:p>
      <w:pPr>
        <w:spacing w:after="0" w:line="185" w:lineRule="exact"/>
        <w:rPr>
          <w:sz w:val="20"/>
          <w:szCs w:val="20"/>
          <w:color w:val="auto"/>
        </w:rPr>
      </w:pPr>
    </w:p>
    <w:p>
      <w:pPr>
        <w:ind w:right="2959" w:firstLine="1395"/>
        <w:spacing w:after="0" w:line="236" w:lineRule="auto"/>
        <w:rPr>
          <w:sz w:val="20"/>
          <w:szCs w:val="20"/>
          <w:color w:val="auto"/>
        </w:rPr>
      </w:pPr>
      <w:r>
        <w:rPr>
          <w:rFonts w:ascii="Courier New" w:cs="Courier New" w:eastAsia="Courier New" w:hAnsi="Courier New"/>
          <w:sz w:val="16"/>
          <w:szCs w:val="16"/>
          <w:color w:val="auto"/>
        </w:rPr>
        <w:t>We undertake to advise you promptly by tested telex on or prior to the date on which you intend to submit your certification relating to the above-captioned Securities held by you for our account in accordance with your Operating Procedures if any applicable statement herein is not correct on such date, and in the absence of any such notification it may be assumed that this certification applies as of such date.</w:t>
      </w:r>
    </w:p>
    <w:p>
      <w:pPr>
        <w:spacing w:after="0" w:line="177"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This certificate excepts and does not relate to [U.S.$]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 of such interest in the above-captioned Securities in respect of</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which we are not able to certify and as to which we understand an exchange for</w:t>
      </w:r>
    </w:p>
    <w:p>
      <w:pPr>
        <w:sectPr>
          <w:pgSz w:w="11900" w:h="16838" w:orient="portrait"/>
          <w:cols w:equalWidth="0" w:num="1">
            <w:col w:w="10219"/>
          </w:cols>
          <w:pgMar w:left="240" w:top="648" w:right="1440" w:bottom="1440" w:gutter="0" w:footer="0" w:header="0"/>
        </w:sectPr>
      </w:pPr>
    </w:p>
    <w:bookmarkStart w:id="169" w:name="page170"/>
    <w:bookmarkEnd w:id="169"/>
    <w:p>
      <w:pPr>
        <w:jc w:val="both"/>
        <w:ind w:right="3059"/>
        <w:spacing w:after="0" w:line="235" w:lineRule="auto"/>
        <w:rPr>
          <w:sz w:val="20"/>
          <w:szCs w:val="20"/>
          <w:color w:val="auto"/>
        </w:rPr>
      </w:pPr>
      <w:r>
        <w:rPr>
          <w:rFonts w:ascii="Courier New" w:cs="Courier New" w:eastAsia="Courier New" w:hAnsi="Courier New"/>
          <w:sz w:val="16"/>
          <w:szCs w:val="16"/>
          <w:color w:val="auto"/>
        </w:rPr>
        <w:t>an interest in a Permanent Global Security or an exchange for and delivery of definitive Securities (or, if relevant, collection of any interest) cannot be made until we do so certify.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A-1-2</w:t>
      </w:r>
    </w:p>
    <w:p>
      <w:pPr>
        <w:sectPr>
          <w:pgSz w:w="11900" w:h="16838" w:orient="portrait"/>
          <w:cols w:equalWidth="0" w:num="1">
            <w:col w:w="10219"/>
          </w:cols>
          <w:pgMar w:left="240" w:top="654" w:right="1440" w:bottom="1440" w:gutter="0" w:footer="0" w:header="0"/>
        </w:sectPr>
      </w:pPr>
    </w:p>
    <w:bookmarkStart w:id="170" w:name="page171"/>
    <w:bookmarkEnd w:id="170"/>
    <w:p>
      <w:pPr>
        <w:ind w:right="2779" w:firstLine="1395"/>
        <w:spacing w:after="0" w:line="276" w:lineRule="auto"/>
        <w:rPr>
          <w:sz w:val="20"/>
          <w:szCs w:val="20"/>
          <w:color w:val="auto"/>
        </w:rPr>
      </w:pPr>
      <w:r>
        <w:rPr>
          <w:rFonts w:ascii="Courier New" w:cs="Courier New" w:eastAsia="Courier New" w:hAnsi="Courier New"/>
          <w:sz w:val="14"/>
          <w:szCs w:val="14"/>
          <w:color w:val="auto"/>
        </w:rPr>
        <w:t>We understand that this certificate may be required in connection with certain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___________</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be dated no earlier than the</w:t>
      </w:r>
    </w:p>
    <w:p>
      <w:pPr>
        <w:spacing w:after="0" w:line="236" w:lineRule="auto"/>
        <w:rPr>
          <w:sz w:val="20"/>
          <w:szCs w:val="20"/>
          <w:color w:val="auto"/>
        </w:rPr>
      </w:pPr>
      <w:r>
        <w:rPr>
          <w:rFonts w:ascii="Courier New" w:cs="Courier New" w:eastAsia="Courier New" w:hAnsi="Courier New"/>
          <w:sz w:val="16"/>
          <w:szCs w:val="16"/>
          <w:color w:val="auto"/>
        </w:rPr>
        <w:t>15th day prior to (i) the Exchange</w:t>
      </w:r>
    </w:p>
    <w:p>
      <w:pPr>
        <w:spacing w:after="0" w:line="237" w:lineRule="auto"/>
        <w:rPr>
          <w:sz w:val="20"/>
          <w:szCs w:val="20"/>
          <w:color w:val="auto"/>
        </w:rPr>
      </w:pPr>
      <w:r>
        <w:rPr>
          <w:rFonts w:ascii="Courier New" w:cs="Courier New" w:eastAsia="Courier New" w:hAnsi="Courier New"/>
          <w:sz w:val="16"/>
          <w:szCs w:val="16"/>
          <w:color w:val="auto"/>
        </w:rPr>
        <w:t>Date or (ii) the relevant Interest</w:t>
      </w:r>
    </w:p>
    <w:p>
      <w:pPr>
        <w:spacing w:after="0" w:line="237" w:lineRule="auto"/>
        <w:rPr>
          <w:sz w:val="20"/>
          <w:szCs w:val="20"/>
          <w:color w:val="auto"/>
        </w:rPr>
      </w:pPr>
      <w:r>
        <w:rPr>
          <w:rFonts w:ascii="Courier New" w:cs="Courier New" w:eastAsia="Courier New" w:hAnsi="Courier New"/>
          <w:sz w:val="16"/>
          <w:szCs w:val="16"/>
          <w:color w:val="auto"/>
        </w:rPr>
        <w:t>Payment Date occurring prior to</w:t>
      </w:r>
    </w:p>
    <w:p>
      <w:pPr>
        <w:spacing w:after="0" w:line="237" w:lineRule="auto"/>
        <w:rPr>
          <w:sz w:val="20"/>
          <w:szCs w:val="20"/>
          <w:color w:val="auto"/>
        </w:rPr>
      </w:pPr>
      <w:r>
        <w:rPr>
          <w:rFonts w:ascii="Courier New" w:cs="Courier New" w:eastAsia="Courier New" w:hAnsi="Courier New"/>
          <w:sz w:val="16"/>
          <w:szCs w:val="16"/>
          <w:color w:val="auto"/>
        </w:rPr>
        <w:t>the Exchange Date, as applicable]</w:t>
      </w:r>
    </w:p>
    <w:p>
      <w:pPr>
        <w:spacing w:after="0" w:line="237" w:lineRule="auto"/>
        <w:rPr>
          <w:sz w:val="20"/>
          <w:szCs w:val="20"/>
          <w:color w:val="auto"/>
        </w:rPr>
      </w:pPr>
      <w:r>
        <w:rPr>
          <w:rFonts w:ascii="Courier New" w:cs="Courier New" w:eastAsia="Courier New" w:hAnsi="Courier New"/>
          <w:sz w:val="16"/>
          <w:szCs w:val="16"/>
          <w:color w:val="auto"/>
        </w:rPr>
        <w:t>[Name of Person Making Certification]</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(Authorized Signatory)</w:t>
      </w:r>
    </w:p>
    <w:p>
      <w:pPr>
        <w:ind w:left="3540"/>
        <w:spacing w:after="0" w:line="236" w:lineRule="auto"/>
        <w:rPr>
          <w:sz w:val="20"/>
          <w:szCs w:val="20"/>
          <w:color w:val="auto"/>
        </w:rPr>
      </w:pPr>
      <w:r>
        <w:rPr>
          <w:rFonts w:ascii="Courier New" w:cs="Courier New" w:eastAsia="Courier New" w:hAnsi="Courier New"/>
          <w:sz w:val="16"/>
          <w:szCs w:val="16"/>
          <w:color w:val="auto"/>
        </w:rPr>
        <w:t>Name:</w:t>
      </w:r>
    </w:p>
    <w:p>
      <w:pPr>
        <w:ind w:left="3540"/>
        <w:spacing w:after="0" w:line="237" w:lineRule="auto"/>
        <w:rPr>
          <w:sz w:val="20"/>
          <w:szCs w:val="20"/>
          <w:color w:val="auto"/>
        </w:rPr>
      </w:pPr>
      <w:r>
        <w:rPr>
          <w:rFonts w:ascii="Courier New" w:cs="Courier New" w:eastAsia="Courier New" w:hAnsi="Courier New"/>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A-1-3</w:t>
      </w:r>
    </w:p>
    <w:p>
      <w:pPr>
        <w:sectPr>
          <w:pgSz w:w="11900" w:h="16838" w:orient="portrait"/>
          <w:cols w:equalWidth="0" w:num="1">
            <w:col w:w="10219"/>
          </w:cols>
          <w:pgMar w:left="240" w:top="655" w:right="1440" w:bottom="1440" w:gutter="0" w:footer="0" w:header="0"/>
        </w:sectPr>
      </w:pPr>
    </w:p>
    <w:bookmarkStart w:id="171" w:name="page172"/>
    <w:bookmarkEnd w:id="171"/>
    <w:p>
      <w:pPr>
        <w:jc w:val="center"/>
        <w:ind w:right="2695"/>
        <w:spacing w:after="0"/>
        <w:rPr>
          <w:sz w:val="20"/>
          <w:szCs w:val="20"/>
          <w:color w:val="auto"/>
        </w:rPr>
      </w:pPr>
      <w:r>
        <w:rPr>
          <w:rFonts w:ascii="Courier New" w:cs="Courier New" w:eastAsia="Courier New" w:hAnsi="Courier New"/>
          <w:sz w:val="16"/>
          <w:szCs w:val="16"/>
          <w:color w:val="auto"/>
        </w:rPr>
        <w:t>EXHIBIT A-2</w:t>
      </w:r>
    </w:p>
    <w:p>
      <w:pPr>
        <w:spacing w:after="0" w:line="177" w:lineRule="exact"/>
        <w:rPr>
          <w:sz w:val="20"/>
          <w:szCs w:val="20"/>
          <w:color w:val="auto"/>
        </w:rPr>
      </w:pPr>
    </w:p>
    <w:p>
      <w:pPr>
        <w:ind w:left="1485"/>
        <w:spacing w:after="0"/>
        <w:rPr>
          <w:sz w:val="20"/>
          <w:szCs w:val="20"/>
          <w:color w:val="auto"/>
        </w:rPr>
      </w:pPr>
      <w:r>
        <w:rPr>
          <w:rFonts w:ascii="Courier New" w:cs="Courier New" w:eastAsia="Courier New" w:hAnsi="Courier New"/>
          <w:sz w:val="16"/>
          <w:szCs w:val="16"/>
          <w:color w:val="auto"/>
        </w:rPr>
        <w:t>FORM OF CERTIFICATE TO BE GIVEN BY EUROCLEAR AND</w:t>
      </w:r>
    </w:p>
    <w:p>
      <w:pPr>
        <w:ind w:left="465"/>
        <w:spacing w:after="0" w:line="236" w:lineRule="auto"/>
        <w:rPr>
          <w:sz w:val="20"/>
          <w:szCs w:val="20"/>
          <w:color w:val="auto"/>
        </w:rPr>
      </w:pPr>
      <w:r>
        <w:rPr>
          <w:rFonts w:ascii="Courier New" w:cs="Courier New" w:eastAsia="Courier New" w:hAnsi="Courier New"/>
          <w:sz w:val="16"/>
          <w:szCs w:val="16"/>
          <w:color w:val="auto"/>
        </w:rPr>
        <w:t>CLEARSTREAM BANKING SOCIETE ANONYME IN CONNECTION WITH THE EXCHANGE OF</w:t>
      </w:r>
    </w:p>
    <w:p>
      <w:pPr>
        <w:ind w:left="1865"/>
        <w:spacing w:after="0" w:line="237" w:lineRule="auto"/>
        <w:rPr>
          <w:sz w:val="20"/>
          <w:szCs w:val="20"/>
          <w:color w:val="auto"/>
        </w:rPr>
      </w:pPr>
      <w:r>
        <w:rPr>
          <w:rFonts w:ascii="Courier New" w:cs="Courier New" w:eastAsia="Courier New" w:hAnsi="Courier New"/>
          <w:sz w:val="16"/>
          <w:szCs w:val="16"/>
          <w:color w:val="auto"/>
        </w:rPr>
        <w:t>A PORTION OF A TEMPORARY GLOBAL SECURITY</w:t>
      </w:r>
    </w:p>
    <w:p>
      <w:pPr>
        <w:ind w:left="2145"/>
        <w:spacing w:after="0" w:line="237" w:lineRule="auto"/>
        <w:rPr>
          <w:sz w:val="20"/>
          <w:szCs w:val="20"/>
          <w:color w:val="auto"/>
        </w:rPr>
      </w:pPr>
      <w:r>
        <w:rPr>
          <w:rFonts w:ascii="Courier New" w:cs="Courier New" w:eastAsia="Courier New" w:hAnsi="Courier New"/>
          <w:sz w:val="16"/>
          <w:szCs w:val="16"/>
          <w:color w:val="auto"/>
        </w:rPr>
        <w:t>OR TO OBTAIN INTEREST PAYABLE PRIOR</w:t>
      </w:r>
    </w:p>
    <w:p>
      <w:pPr>
        <w:ind w:left="2785"/>
        <w:spacing w:after="0" w:line="237" w:lineRule="auto"/>
        <w:rPr>
          <w:sz w:val="20"/>
          <w:szCs w:val="20"/>
          <w:color w:val="auto"/>
        </w:rPr>
      </w:pPr>
      <w:r>
        <w:rPr>
          <w:rFonts w:ascii="Courier New" w:cs="Courier New" w:eastAsia="Courier New" w:hAnsi="Courier New"/>
          <w:sz w:val="16"/>
          <w:szCs w:val="16"/>
          <w:color w:val="auto"/>
        </w:rPr>
        <w:t>TO THE EXCHANGE DATE</w:t>
      </w:r>
    </w:p>
    <w:p>
      <w:pPr>
        <w:spacing w:after="0" w:line="177" w:lineRule="exact"/>
        <w:rPr>
          <w:sz w:val="20"/>
          <w:szCs w:val="20"/>
          <w:color w:val="auto"/>
        </w:rPr>
      </w:pPr>
    </w:p>
    <w:p>
      <w:pPr>
        <w:jc w:val="center"/>
        <w:ind w:right="2695"/>
        <w:spacing w:after="0"/>
        <w:rPr>
          <w:sz w:val="20"/>
          <w:szCs w:val="20"/>
          <w:color w:val="auto"/>
        </w:rPr>
      </w:pPr>
      <w:r>
        <w:rPr>
          <w:rFonts w:ascii="Courier New" w:cs="Courier New" w:eastAsia="Courier New" w:hAnsi="Courier New"/>
          <w:sz w:val="16"/>
          <w:szCs w:val="16"/>
          <w:color w:val="auto"/>
        </w:rPr>
        <w:t>CERTIFICATE</w:t>
      </w:r>
    </w:p>
    <w:p>
      <w:pPr>
        <w:spacing w:after="0" w:line="177"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[Insert title or sufficient description of Securities to be delivered]</w:t>
      </w:r>
    </w:p>
    <w:p>
      <w:pPr>
        <w:spacing w:after="0" w:line="183" w:lineRule="exact"/>
        <w:rPr>
          <w:sz w:val="20"/>
          <w:szCs w:val="20"/>
          <w:color w:val="auto"/>
        </w:rPr>
      </w:pPr>
    </w:p>
    <w:p>
      <w:pPr>
        <w:ind w:left="5" w:right="2879" w:firstLine="1395"/>
        <w:spacing w:after="0" w:line="270" w:lineRule="auto"/>
        <w:rPr>
          <w:sz w:val="20"/>
          <w:szCs w:val="20"/>
          <w:color w:val="auto"/>
        </w:rPr>
      </w:pPr>
      <w:r>
        <w:rPr>
          <w:rFonts w:ascii="Courier New" w:cs="Courier New" w:eastAsia="Courier New" w:hAnsi="Courier New"/>
          <w:sz w:val="14"/>
          <w:szCs w:val="14"/>
          <w:color w:val="auto"/>
        </w:rPr>
        <w:t>This is to certify that, based solely on written certifications that we have received in writing, by tested telex or by electronic transmission from each of the persons appearing in our records as persons entitled to a portion of the principal amount set forth below (our "Member Organizations") substantially in the form attached hereto, as of the date hereof, [U.S.$]</w:t>
      </w:r>
    </w:p>
    <w:p>
      <w:pPr>
        <w:ind w:left="5"/>
        <w:spacing w:after="0" w:line="235" w:lineRule="auto"/>
        <w:rPr>
          <w:sz w:val="20"/>
          <w:szCs w:val="20"/>
          <w:color w:val="auto"/>
        </w:rPr>
      </w:pPr>
      <w:r>
        <w:rPr>
          <w:rFonts w:ascii="Courier New" w:cs="Courier New" w:eastAsia="Courier New" w:hAnsi="Courier New"/>
          <w:sz w:val="16"/>
          <w:szCs w:val="16"/>
          <w:color w:val="auto"/>
        </w:rPr>
        <w:t>__________________ principal amount of the above-captioned Securities (i) is</w:t>
      </w:r>
    </w:p>
    <w:p>
      <w:pPr>
        <w:spacing w:after="0" w:line="4" w:lineRule="exact"/>
        <w:rPr>
          <w:sz w:val="20"/>
          <w:szCs w:val="20"/>
          <w:color w:val="auto"/>
        </w:rPr>
      </w:pPr>
    </w:p>
    <w:p>
      <w:pPr>
        <w:ind w:left="5" w:right="2779"/>
        <w:spacing w:after="0" w:line="272" w:lineRule="auto"/>
        <w:rPr>
          <w:sz w:val="20"/>
          <w:szCs w:val="20"/>
          <w:color w:val="auto"/>
        </w:rPr>
      </w:pPr>
      <w:r>
        <w:rPr>
          <w:rFonts w:ascii="Courier New" w:cs="Courier New" w:eastAsia="Courier New" w:hAnsi="Courier New"/>
          <w:sz w:val="14"/>
          <w:szCs w:val="14"/>
          <w:color w:val="auto"/>
        </w:rPr>
        <w:t>owned by person(s) that are not citizens or residents of the United States, domestic partnerships, domestic corporations or any estate the income of which is subject to United States Federal income taxation regardless of its source or a trust whose administration is subject to the primary supervision of a United States court and which has one or more United States persons who have the authority to control all of its decisions ("United States person(s)"), (ii) is owned by United States person(s) that are (a) foreign branches of United States financial institutions (financial institutions, as defined in U.S. Treasury Regulations Section 1.165-12(c)(1)(v) are herein referred to as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 (a) or (b), each such financial institution has agreed, on its own behalf or through its agent, that we may advise ClearOne Communications, Inc. or its agent that such financial institution will comply with the requirements of Section 165(j)(3)(A),</w:t>
      </w:r>
    </w:p>
    <w:p>
      <w:pPr>
        <w:spacing w:after="0" w:line="166" w:lineRule="exact"/>
        <w:rPr>
          <w:sz w:val="20"/>
          <w:szCs w:val="20"/>
          <w:color w:val="auto"/>
        </w:rPr>
      </w:pPr>
    </w:p>
    <w:p>
      <w:pPr>
        <w:ind w:left="5" w:right="2779" w:hanging="5"/>
        <w:spacing w:after="0" w:line="236" w:lineRule="auto"/>
        <w:tabs>
          <w:tab w:leader="none" w:pos="377" w:val="left"/>
        </w:tabs>
        <w:numPr>
          <w:ilvl w:val="0"/>
          <w:numId w:val="2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 (C) of the Internal Revenue Code of 1986, as amended, and the regulations thereunder), or (iii) is owned by United States or foreign financial institution(s) for purposes of resale during the restricted period (as defined in United States Treasury Regulations Section 1.163-5(c)(2)(i)(D)(7)), and, to the further effect, that financial institutions described in clause (iii) above (whether or not also described in clause (i) or (ii)) have certified that they have not acquired the Securities for purposes of resale directly or indirectly to a United States person or to a person within the United States or its possessions.</w:t>
      </w:r>
    </w:p>
    <w:p>
      <w:pPr>
        <w:spacing w:after="0" w:line="185" w:lineRule="exact"/>
        <w:rPr>
          <w:sz w:val="20"/>
          <w:szCs w:val="20"/>
          <w:color w:val="auto"/>
        </w:rPr>
      </w:pPr>
    </w:p>
    <w:p>
      <w:pPr>
        <w:ind w:left="5" w:right="3339" w:firstLine="1395"/>
        <w:spacing w:after="0" w:line="235" w:lineRule="auto"/>
        <w:rPr>
          <w:sz w:val="20"/>
          <w:szCs w:val="20"/>
          <w:color w:val="auto"/>
        </w:rPr>
      </w:pPr>
      <w:r>
        <w:rPr>
          <w:rFonts w:ascii="Courier New" w:cs="Courier New" w:eastAsia="Courier New" w:hAnsi="Courier New"/>
          <w:sz w:val="16"/>
          <w:szCs w:val="16"/>
          <w:color w:val="auto"/>
        </w:rPr>
        <w:t>As used herein, "United States" means the United States of America (including the states and the District of Columbia); and its "possessions" include Puerto Rico, the U.S. Virgin Islands, Guam, American Samoa, Wake Island and the Northern Mariana Islands.</w:t>
      </w:r>
    </w:p>
    <w:p>
      <w:pPr>
        <w:spacing w:after="0" w:line="185" w:lineRule="exact"/>
        <w:rPr>
          <w:sz w:val="20"/>
          <w:szCs w:val="20"/>
          <w:color w:val="auto"/>
        </w:rPr>
      </w:pPr>
    </w:p>
    <w:p>
      <w:pPr>
        <w:ind w:left="5" w:right="2879" w:firstLine="1395"/>
        <w:spacing w:after="0" w:line="276" w:lineRule="auto"/>
        <w:rPr>
          <w:sz w:val="20"/>
          <w:szCs w:val="20"/>
          <w:color w:val="auto"/>
        </w:rPr>
      </w:pPr>
      <w:r>
        <w:rPr>
          <w:rFonts w:ascii="Courier New" w:cs="Courier New" w:eastAsia="Courier New" w:hAnsi="Courier New"/>
          <w:sz w:val="14"/>
          <w:szCs w:val="14"/>
          <w:color w:val="auto"/>
        </w:rPr>
        <w:t>We further certify that (i) we are not making available herewith for exchange (or, if relevant, collection of any interest) any portion of the temporary global Security representing the above-captioned Securities excepted in the above-referenced certificates of Member Organizations and (ii) as of the date hereof we have not received any notification from any of our Member</w:t>
      </w:r>
    </w:p>
    <w:p>
      <w:pPr>
        <w:sectPr>
          <w:pgSz w:w="11900" w:h="16838" w:orient="portrait"/>
          <w:cols w:equalWidth="0" w:num="1">
            <w:col w:w="10224"/>
          </w:cols>
          <w:pgMar w:left="235" w:top="648" w:right="1440" w:bottom="1440" w:gutter="0" w:footer="0" w:header="0"/>
        </w:sectPr>
      </w:pPr>
    </w:p>
    <w:bookmarkStart w:id="172" w:name="page173"/>
    <w:bookmarkEnd w:id="172"/>
    <w:p>
      <w:pPr>
        <w:ind w:right="3059"/>
        <w:spacing w:after="0" w:line="235" w:lineRule="auto"/>
        <w:rPr>
          <w:sz w:val="20"/>
          <w:szCs w:val="20"/>
          <w:color w:val="auto"/>
        </w:rPr>
      </w:pPr>
      <w:r>
        <w:rPr>
          <w:rFonts w:ascii="Courier New" w:cs="Courier New" w:eastAsia="Courier New" w:hAnsi="Courier New"/>
          <w:sz w:val="16"/>
          <w:szCs w:val="16"/>
          <w:color w:val="auto"/>
        </w:rPr>
        <w:t>Organizations to the effect that the statements made by such Member Organizations with respect to any portion of the part submitted herewith for exchange (or, if relevant, collection of any interest) are no longer true and cannot be relied upon as of the date hereof.</w:t>
      </w:r>
    </w:p>
    <w:p>
      <w:pPr>
        <w:spacing w:after="0" w:line="185" w:lineRule="exact"/>
        <w:rPr>
          <w:sz w:val="20"/>
          <w:szCs w:val="20"/>
          <w:color w:val="auto"/>
        </w:rPr>
      </w:pPr>
    </w:p>
    <w:p>
      <w:pPr>
        <w:ind w:right="2879" w:firstLine="1395"/>
        <w:spacing w:after="0" w:line="276" w:lineRule="auto"/>
        <w:rPr>
          <w:sz w:val="20"/>
          <w:szCs w:val="20"/>
          <w:color w:val="auto"/>
        </w:rPr>
      </w:pPr>
      <w:r>
        <w:rPr>
          <w:rFonts w:ascii="Courier New" w:cs="Courier New" w:eastAsia="Courier New" w:hAnsi="Courier New"/>
          <w:sz w:val="14"/>
          <w:szCs w:val="14"/>
          <w:color w:val="auto"/>
        </w:rPr>
        <w:t>We understand that this certification is required in connection with certain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____________</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be dated no earlier than</w:t>
      </w:r>
    </w:p>
    <w:p>
      <w:pPr>
        <w:spacing w:after="0" w:line="236" w:lineRule="auto"/>
        <w:rPr>
          <w:sz w:val="20"/>
          <w:szCs w:val="20"/>
          <w:color w:val="auto"/>
        </w:rPr>
      </w:pPr>
      <w:r>
        <w:rPr>
          <w:rFonts w:ascii="Courier New" w:cs="Courier New" w:eastAsia="Courier New" w:hAnsi="Courier New"/>
          <w:sz w:val="16"/>
          <w:szCs w:val="16"/>
          <w:color w:val="auto"/>
        </w:rPr>
        <w:t>the Exchange Date or the</w:t>
      </w:r>
    </w:p>
    <w:p>
      <w:pPr>
        <w:spacing w:after="0" w:line="237" w:lineRule="auto"/>
        <w:rPr>
          <w:sz w:val="20"/>
          <w:szCs w:val="20"/>
          <w:color w:val="auto"/>
        </w:rPr>
      </w:pPr>
      <w:r>
        <w:rPr>
          <w:rFonts w:ascii="Courier New" w:cs="Courier New" w:eastAsia="Courier New" w:hAnsi="Courier New"/>
          <w:sz w:val="16"/>
          <w:szCs w:val="16"/>
          <w:color w:val="auto"/>
        </w:rPr>
        <w:t>relevant Interest Payment</w:t>
      </w:r>
    </w:p>
    <w:p>
      <w:pPr>
        <w:spacing w:after="0" w:line="237" w:lineRule="auto"/>
        <w:rPr>
          <w:sz w:val="20"/>
          <w:szCs w:val="20"/>
          <w:color w:val="auto"/>
        </w:rPr>
      </w:pPr>
      <w:r>
        <w:rPr>
          <w:rFonts w:ascii="Courier New" w:cs="Courier New" w:eastAsia="Courier New" w:hAnsi="Courier New"/>
          <w:sz w:val="16"/>
          <w:szCs w:val="16"/>
          <w:color w:val="auto"/>
        </w:rPr>
        <w:t>Date occurring prior to the</w:t>
      </w:r>
    </w:p>
    <w:p>
      <w:pPr>
        <w:spacing w:after="0" w:line="237" w:lineRule="auto"/>
        <w:rPr>
          <w:sz w:val="20"/>
          <w:szCs w:val="20"/>
          <w:color w:val="auto"/>
        </w:rPr>
      </w:pPr>
      <w:r>
        <w:rPr>
          <w:rFonts w:ascii="Courier New" w:cs="Courier New" w:eastAsia="Courier New" w:hAnsi="Courier New"/>
          <w:sz w:val="16"/>
          <w:szCs w:val="16"/>
          <w:color w:val="auto"/>
        </w:rPr>
        <w:t>Exchange Date, as applicable]</w:t>
      </w:r>
    </w:p>
    <w:p>
      <w:pPr>
        <w:spacing w:after="0" w:line="18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[Morgan Guaranty Trust Company of New</w:t>
      </w:r>
    </w:p>
    <w:p>
      <w:pPr>
        <w:spacing w:after="0" w:line="1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York, Brussels Office,] as Operator</w:t>
      </w:r>
    </w:p>
    <w:p>
      <w:pPr>
        <w:ind w:left="3800"/>
        <w:spacing w:after="0" w:line="236" w:lineRule="auto"/>
        <w:rPr>
          <w:sz w:val="20"/>
          <w:szCs w:val="20"/>
          <w:color w:val="auto"/>
        </w:rPr>
      </w:pPr>
      <w:r>
        <w:rPr>
          <w:rFonts w:ascii="Courier New" w:cs="Courier New" w:eastAsia="Courier New" w:hAnsi="Courier New"/>
          <w:sz w:val="16"/>
          <w:szCs w:val="16"/>
          <w:color w:val="auto"/>
        </w:rPr>
        <w:t>of the Euroclear System</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[Clearstream Banking societe anonyme]</w:t>
      </w:r>
    </w:p>
    <w:p>
      <w:pPr>
        <w:spacing w:after="0" w:line="372"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By</w:t>
      </w:r>
    </w:p>
    <w:p>
      <w:pPr>
        <w:ind w:left="4180"/>
        <w:spacing w:after="0" w:line="236" w:lineRule="auto"/>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A-2-2</w:t>
      </w:r>
    </w:p>
    <w:p>
      <w:pPr>
        <w:sectPr>
          <w:pgSz w:w="11900" w:h="16838" w:orient="portrait"/>
          <w:cols w:equalWidth="0" w:num="1">
            <w:col w:w="10219"/>
          </w:cols>
          <w:pgMar w:left="240" w:top="655" w:right="1440" w:bottom="1440" w:gutter="0" w:footer="0" w:header="0"/>
        </w:sectPr>
      </w:pPr>
    </w:p>
    <w:bookmarkStart w:id="173" w:name="page174"/>
    <w:bookmarkEnd w:id="173"/>
    <w:p>
      <w:pPr>
        <w:jc w:val="right"/>
        <w:ind w:right="2779"/>
        <w:spacing w:after="0"/>
        <w:rPr>
          <w:sz w:val="20"/>
          <w:szCs w:val="20"/>
          <w:color w:val="auto"/>
        </w:rPr>
      </w:pPr>
      <w:r>
        <w:rPr>
          <w:rFonts w:ascii="Courier New" w:cs="Courier New" w:eastAsia="Courier New" w:hAnsi="Courier New"/>
          <w:sz w:val="16"/>
          <w:szCs w:val="16"/>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CLEARONE COMMUNICATIONS, INC.,</w:t>
      </w:r>
    </w:p>
    <w:p>
      <w:pPr>
        <w:spacing w:after="0" w:line="177"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as Issuer</w:t>
      </w:r>
    </w:p>
    <w:p>
      <w:pPr>
        <w:spacing w:after="0" w:line="177"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and</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THE BANK OF NEW YORK,</w:t>
      </w:r>
    </w:p>
    <w:p>
      <w:pPr>
        <w:spacing w:after="0" w:line="17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as Trustee</w:t>
      </w:r>
    </w:p>
    <w:p>
      <w:pPr>
        <w:spacing w:after="0" w:line="200" w:lineRule="exact"/>
        <w:rPr>
          <w:sz w:val="20"/>
          <w:szCs w:val="20"/>
          <w:color w:val="auto"/>
        </w:rPr>
      </w:pPr>
    </w:p>
    <w:p>
      <w:pPr>
        <w:spacing w:after="0" w:line="334"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Indenture</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Dated as of , 2002</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Providing for the Issuance</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of</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Subordinated Debt Securities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400" w:type="dxa"/>
            <w:vAlign w:val="bottom"/>
          </w:tcPr>
          <w:p>
            <w:pPr>
              <w:spacing w:after="0"/>
              <w:rPr>
                <w:sz w:val="15"/>
                <w:szCs w:val="15"/>
                <w:color w:val="auto"/>
              </w:rPr>
            </w:pPr>
          </w:p>
        </w:tc>
        <w:tc>
          <w:tcPr>
            <w:tcW w:w="3720" w:type="dxa"/>
            <w:vAlign w:val="bottom"/>
          </w:tcPr>
          <w:p>
            <w:pPr>
              <w:jc w:val="right"/>
              <w:spacing w:after="0"/>
              <w:rPr>
                <w:sz w:val="20"/>
                <w:szCs w:val="20"/>
                <w:color w:val="auto"/>
              </w:rPr>
            </w:pPr>
            <w:r>
              <w:rPr>
                <w:rFonts w:ascii="Courier New" w:cs="Courier New" w:eastAsia="Courier New" w:hAnsi="Courier New"/>
                <w:sz w:val="16"/>
                <w:szCs w:val="16"/>
                <w:color w:val="auto"/>
              </w:rPr>
              <w:t>CLEARONE COMMUNICATIONS, INC.</w:t>
            </w:r>
          </w:p>
        </w:tc>
        <w:tc>
          <w:tcPr>
            <w:tcW w:w="92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358"/>
        </w:trPr>
        <w:tc>
          <w:tcPr>
            <w:tcW w:w="1400" w:type="dxa"/>
            <w:vAlign w:val="bottom"/>
          </w:tcPr>
          <w:p>
            <w:pPr>
              <w:spacing w:after="0"/>
              <w:rPr>
                <w:sz w:val="24"/>
                <w:szCs w:val="24"/>
                <w:color w:val="auto"/>
              </w:rPr>
            </w:pPr>
          </w:p>
        </w:tc>
        <w:tc>
          <w:tcPr>
            <w:tcW w:w="46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Reconciliation and tie between Trust Indenture</w:t>
            </w:r>
          </w:p>
        </w:tc>
        <w:tc>
          <w:tcPr>
            <w:tcW w:w="1400" w:type="dxa"/>
            <w:vAlign w:val="bottom"/>
          </w:tcPr>
          <w:p>
            <w:pPr>
              <w:spacing w:after="0"/>
              <w:rPr>
                <w:sz w:val="24"/>
                <w:szCs w:val="24"/>
                <w:color w:val="auto"/>
              </w:rPr>
            </w:pPr>
          </w:p>
        </w:tc>
      </w:tr>
      <w:tr>
        <w:trPr>
          <w:trHeight w:val="179"/>
        </w:trPr>
        <w:tc>
          <w:tcPr>
            <w:tcW w:w="140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Act of</w:t>
            </w:r>
          </w:p>
        </w:tc>
        <w:tc>
          <w:tcPr>
            <w:tcW w:w="372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w w:val="96"/>
              </w:rPr>
              <w:t>1939 and Indenture, dated as of</w:t>
            </w:r>
          </w:p>
        </w:tc>
        <w:tc>
          <w:tcPr>
            <w:tcW w:w="2320" w:type="dxa"/>
            <w:vAlign w:val="bottom"/>
            <w:gridSpan w:val="2"/>
          </w:tcPr>
          <w:p>
            <w:pPr>
              <w:ind w:left="540"/>
              <w:spacing w:after="0" w:line="179" w:lineRule="exact"/>
              <w:rPr>
                <w:sz w:val="20"/>
                <w:szCs w:val="20"/>
                <w:color w:val="auto"/>
              </w:rPr>
            </w:pPr>
            <w:r>
              <w:rPr>
                <w:rFonts w:ascii="Courier New" w:cs="Courier New" w:eastAsia="Courier New" w:hAnsi="Courier New"/>
                <w:sz w:val="16"/>
                <w:szCs w:val="16"/>
                <w:color w:val="auto"/>
              </w:rPr>
              <w:t>, 200</w:t>
            </w:r>
          </w:p>
        </w:tc>
      </w:tr>
      <w:tr>
        <w:trPr>
          <w:trHeight w:val="179"/>
        </w:trPr>
        <w:tc>
          <w:tcPr>
            <w:tcW w:w="1400" w:type="dxa"/>
            <w:vAlign w:val="bottom"/>
          </w:tcPr>
          <w:p>
            <w:pPr>
              <w:spacing w:after="0"/>
              <w:rPr>
                <w:sz w:val="15"/>
                <w:szCs w:val="15"/>
                <w:color w:val="auto"/>
              </w:rPr>
            </w:pPr>
          </w:p>
        </w:tc>
        <w:tc>
          <w:tcPr>
            <w:tcW w:w="464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 ----</w:t>
            </w:r>
          </w:p>
        </w:tc>
        <w:tc>
          <w:tcPr>
            <w:tcW w:w="1400" w:type="dxa"/>
            <w:vAlign w:val="bottom"/>
          </w:tcPr>
          <w:p>
            <w:pPr>
              <w:jc w:val="right"/>
              <w:ind w:right="104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120" w:type="dxa"/>
            <w:vAlign w:val="bottom"/>
            <w:gridSpan w:val="2"/>
          </w:tcPr>
          <w:p>
            <w:pPr>
              <w:spacing w:after="0"/>
              <w:rPr>
                <w:sz w:val="20"/>
                <w:szCs w:val="20"/>
                <w:color w:val="auto"/>
              </w:rPr>
            </w:pPr>
            <w:r>
              <w:rPr>
                <w:rFonts w:ascii="Courier New" w:cs="Courier New" w:eastAsia="Courier New" w:hAnsi="Courier New"/>
                <w:sz w:val="16"/>
                <w:szCs w:val="16"/>
                <w:color w:val="auto"/>
              </w:rPr>
              <w:t>Trust Indenture Act Section</w:t>
            </w:r>
          </w:p>
        </w:tc>
        <w:tc>
          <w:tcPr>
            <w:tcW w:w="2320" w:type="dxa"/>
            <w:vAlign w:val="bottom"/>
            <w:gridSpan w:val="2"/>
          </w:tcPr>
          <w:p>
            <w:pPr>
              <w:spacing w:after="0"/>
              <w:rPr>
                <w:sz w:val="20"/>
                <w:szCs w:val="20"/>
                <w:color w:val="auto"/>
              </w:rPr>
            </w:pPr>
            <w:r>
              <w:rPr>
                <w:rFonts w:ascii="Courier New" w:cs="Courier New" w:eastAsia="Courier New" w:hAnsi="Courier New"/>
                <w:sz w:val="16"/>
                <w:szCs w:val="16"/>
                <w:color w:val="auto"/>
              </w:rPr>
              <w:t>Indenture Section</w:t>
            </w:r>
          </w:p>
        </w:tc>
      </w:tr>
      <w:tr>
        <w:trPr>
          <w:trHeight w:val="179"/>
        </w:trPr>
        <w:tc>
          <w:tcPr>
            <w:tcW w:w="512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8"/>
              </w:rPr>
              <w:t>- ----------------------------------------------------</w:t>
            </w:r>
          </w:p>
        </w:tc>
        <w:tc>
          <w:tcPr>
            <w:tcW w:w="232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120" w:type="dxa"/>
            <w:vAlign w:val="bottom"/>
            <w:gridSpan w:val="2"/>
          </w:tcPr>
          <w:p>
            <w:pPr>
              <w:spacing w:after="0"/>
              <w:rPr>
                <w:sz w:val="20"/>
                <w:szCs w:val="20"/>
                <w:color w:val="auto"/>
              </w:rPr>
            </w:pPr>
            <w:r>
              <w:rPr>
                <w:rFonts w:ascii="Courier New" w:cs="Courier New" w:eastAsia="Courier New" w:hAnsi="Courier New"/>
                <w:sz w:val="16"/>
                <w:szCs w:val="16"/>
                <w:color w:val="auto"/>
              </w:rPr>
              <w:t>Section 310(a)(1)...................................</w:t>
            </w:r>
          </w:p>
        </w:tc>
        <w:tc>
          <w:tcPr>
            <w:tcW w:w="920" w:type="dxa"/>
            <w:vAlign w:val="bottom"/>
          </w:tcPr>
          <w:p>
            <w:pPr>
              <w:ind w:left="540"/>
              <w:spacing w:after="0"/>
              <w:rPr>
                <w:sz w:val="20"/>
                <w:szCs w:val="20"/>
                <w:color w:val="auto"/>
              </w:rPr>
            </w:pPr>
            <w:r>
              <w:rPr>
                <w:rFonts w:ascii="Courier New" w:cs="Courier New" w:eastAsia="Courier New" w:hAnsi="Courier New"/>
                <w:sz w:val="16"/>
                <w:szCs w:val="16"/>
                <w:color w:val="auto"/>
              </w:rPr>
              <w:t>607</w:t>
            </w:r>
          </w:p>
        </w:tc>
        <w:tc>
          <w:tcPr>
            <w:tcW w:w="1400" w:type="dxa"/>
            <w:vAlign w:val="bottom"/>
          </w:tcPr>
          <w:p>
            <w:pPr>
              <w:spacing w:after="0"/>
              <w:rPr>
                <w:sz w:val="24"/>
                <w:szCs w:val="24"/>
                <w:color w:val="auto"/>
              </w:rPr>
            </w:pPr>
          </w:p>
        </w:tc>
      </w:tr>
      <w:tr>
        <w:trPr>
          <w:trHeight w:val="179"/>
        </w:trPr>
        <w:tc>
          <w:tcPr>
            <w:tcW w:w="51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(a)(2)...................................</w:t>
            </w:r>
          </w:p>
        </w:tc>
        <w:tc>
          <w:tcPr>
            <w:tcW w:w="920" w:type="dxa"/>
            <w:vAlign w:val="bottom"/>
          </w:tcPr>
          <w:p>
            <w:pPr>
              <w:ind w:left="540"/>
              <w:spacing w:after="0" w:line="179" w:lineRule="exact"/>
              <w:rPr>
                <w:sz w:val="20"/>
                <w:szCs w:val="20"/>
                <w:color w:val="auto"/>
              </w:rPr>
            </w:pPr>
            <w:r>
              <w:rPr>
                <w:rFonts w:ascii="Courier New" w:cs="Courier New" w:eastAsia="Courier New" w:hAnsi="Courier New"/>
                <w:sz w:val="16"/>
                <w:szCs w:val="16"/>
                <w:color w:val="auto"/>
              </w:rPr>
              <w:t>607</w:t>
            </w:r>
          </w:p>
        </w:tc>
        <w:tc>
          <w:tcPr>
            <w:tcW w:w="1400" w:type="dxa"/>
            <w:vAlign w:val="bottom"/>
          </w:tcPr>
          <w:p>
            <w:pPr>
              <w:spacing w:after="0"/>
              <w:rPr>
                <w:sz w:val="15"/>
                <w:szCs w:val="15"/>
                <w:color w:val="auto"/>
              </w:rPr>
            </w:pPr>
          </w:p>
        </w:tc>
      </w:tr>
      <w:tr>
        <w:trPr>
          <w:trHeight w:val="179"/>
        </w:trPr>
        <w:tc>
          <w:tcPr>
            <w:tcW w:w="51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(b)......................................</w:t>
            </w:r>
          </w:p>
        </w:tc>
        <w:tc>
          <w:tcPr>
            <w:tcW w:w="920" w:type="dxa"/>
            <w:vAlign w:val="bottom"/>
          </w:tcPr>
          <w:p>
            <w:pPr>
              <w:ind w:left="540"/>
              <w:spacing w:after="0" w:line="179" w:lineRule="exact"/>
              <w:rPr>
                <w:sz w:val="20"/>
                <w:szCs w:val="20"/>
                <w:color w:val="auto"/>
              </w:rPr>
            </w:pPr>
            <w:r>
              <w:rPr>
                <w:rFonts w:ascii="Courier New" w:cs="Courier New" w:eastAsia="Courier New" w:hAnsi="Courier New"/>
                <w:sz w:val="16"/>
                <w:szCs w:val="16"/>
                <w:color w:val="auto"/>
              </w:rPr>
              <w:t>608</w:t>
            </w:r>
          </w:p>
        </w:tc>
        <w:tc>
          <w:tcPr>
            <w:tcW w:w="1400" w:type="dxa"/>
            <w:vAlign w:val="bottom"/>
          </w:tcPr>
          <w:p>
            <w:pPr>
              <w:spacing w:after="0"/>
              <w:rPr>
                <w:sz w:val="15"/>
                <w:szCs w:val="15"/>
                <w:color w:val="auto"/>
              </w:rPr>
            </w:pPr>
          </w:p>
        </w:tc>
      </w:tr>
      <w:tr>
        <w:trPr>
          <w:trHeight w:val="179"/>
        </w:trPr>
        <w:tc>
          <w:tcPr>
            <w:tcW w:w="1400" w:type="dxa"/>
            <w:vAlign w:val="bottom"/>
          </w:tcPr>
          <w:p>
            <w:pPr>
              <w:spacing w:after="0" w:line="179" w:lineRule="exact"/>
              <w:rPr>
                <w:sz w:val="20"/>
                <w:szCs w:val="20"/>
                <w:color w:val="auto"/>
              </w:rPr>
            </w:pPr>
            <w:r>
              <w:rPr>
                <w:rFonts w:ascii="Courier New" w:cs="Courier New" w:eastAsia="Courier New" w:hAnsi="Courier New"/>
                <w:sz w:val="16"/>
                <w:szCs w:val="16"/>
                <w:color w:val="auto"/>
              </w:rPr>
              <w:t>Section 312(c)</w:t>
            </w:r>
          </w:p>
        </w:tc>
        <w:tc>
          <w:tcPr>
            <w:tcW w:w="37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6"/>
              </w:rPr>
              <w:t>.....................................</w:t>
            </w:r>
          </w:p>
        </w:tc>
        <w:tc>
          <w:tcPr>
            <w:tcW w:w="920" w:type="dxa"/>
            <w:vAlign w:val="bottom"/>
          </w:tcPr>
          <w:p>
            <w:pPr>
              <w:ind w:left="540"/>
              <w:spacing w:after="0" w:line="179" w:lineRule="exact"/>
              <w:rPr>
                <w:sz w:val="20"/>
                <w:szCs w:val="20"/>
                <w:color w:val="auto"/>
              </w:rPr>
            </w:pPr>
            <w:r>
              <w:rPr>
                <w:rFonts w:ascii="Courier New" w:cs="Courier New" w:eastAsia="Courier New" w:hAnsi="Courier New"/>
                <w:sz w:val="16"/>
                <w:szCs w:val="16"/>
                <w:color w:val="auto"/>
              </w:rPr>
              <w:t>701</w:t>
            </w:r>
          </w:p>
        </w:tc>
        <w:tc>
          <w:tcPr>
            <w:tcW w:w="1400" w:type="dxa"/>
            <w:vAlign w:val="bottom"/>
          </w:tcPr>
          <w:p>
            <w:pPr>
              <w:spacing w:after="0"/>
              <w:rPr>
                <w:sz w:val="15"/>
                <w:szCs w:val="15"/>
                <w:color w:val="auto"/>
              </w:rPr>
            </w:pPr>
          </w:p>
        </w:tc>
      </w:tr>
      <w:tr>
        <w:trPr>
          <w:trHeight w:val="179"/>
        </w:trPr>
        <w:tc>
          <w:tcPr>
            <w:tcW w:w="1400" w:type="dxa"/>
            <w:vAlign w:val="bottom"/>
          </w:tcPr>
          <w:p>
            <w:pPr>
              <w:spacing w:after="0" w:line="179" w:lineRule="exact"/>
              <w:rPr>
                <w:sz w:val="20"/>
                <w:szCs w:val="20"/>
                <w:color w:val="auto"/>
              </w:rPr>
            </w:pPr>
            <w:r>
              <w:rPr>
                <w:rFonts w:ascii="Courier New" w:cs="Courier New" w:eastAsia="Courier New" w:hAnsi="Courier New"/>
                <w:sz w:val="16"/>
                <w:szCs w:val="16"/>
                <w:color w:val="auto"/>
              </w:rPr>
              <w:t>Section 314(a)</w:t>
            </w:r>
          </w:p>
        </w:tc>
        <w:tc>
          <w:tcPr>
            <w:tcW w:w="37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6"/>
              </w:rPr>
              <w:t>.....................................</w:t>
            </w:r>
          </w:p>
        </w:tc>
        <w:tc>
          <w:tcPr>
            <w:tcW w:w="920" w:type="dxa"/>
            <w:vAlign w:val="bottom"/>
          </w:tcPr>
          <w:p>
            <w:pPr>
              <w:ind w:left="540"/>
              <w:spacing w:after="0" w:line="179" w:lineRule="exact"/>
              <w:rPr>
                <w:sz w:val="20"/>
                <w:szCs w:val="20"/>
                <w:color w:val="auto"/>
              </w:rPr>
            </w:pPr>
            <w:r>
              <w:rPr>
                <w:rFonts w:ascii="Courier New" w:cs="Courier New" w:eastAsia="Courier New" w:hAnsi="Courier New"/>
                <w:sz w:val="16"/>
                <w:szCs w:val="16"/>
                <w:color w:val="auto"/>
              </w:rPr>
              <w:t>703</w:t>
            </w:r>
          </w:p>
        </w:tc>
        <w:tc>
          <w:tcPr>
            <w:tcW w:w="1400" w:type="dxa"/>
            <w:vAlign w:val="bottom"/>
          </w:tcPr>
          <w:p>
            <w:pPr>
              <w:spacing w:after="0"/>
              <w:rPr>
                <w:sz w:val="15"/>
                <w:szCs w:val="15"/>
                <w:color w:val="auto"/>
              </w:rPr>
            </w:pPr>
          </w:p>
        </w:tc>
      </w:tr>
      <w:tr>
        <w:trPr>
          <w:trHeight w:val="179"/>
        </w:trPr>
        <w:tc>
          <w:tcPr>
            <w:tcW w:w="51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(a)(4)...................................</w:t>
            </w:r>
          </w:p>
        </w:tc>
        <w:tc>
          <w:tcPr>
            <w:tcW w:w="920" w:type="dxa"/>
            <w:vAlign w:val="bottom"/>
          </w:tcPr>
          <w:p>
            <w:pPr>
              <w:ind w:left="540"/>
              <w:spacing w:after="0" w:line="179" w:lineRule="exact"/>
              <w:rPr>
                <w:sz w:val="20"/>
                <w:szCs w:val="20"/>
                <w:color w:val="auto"/>
              </w:rPr>
            </w:pPr>
            <w:r>
              <w:rPr>
                <w:rFonts w:ascii="Courier New" w:cs="Courier New" w:eastAsia="Courier New" w:hAnsi="Courier New"/>
                <w:sz w:val="16"/>
                <w:szCs w:val="16"/>
                <w:color w:val="auto"/>
                <w:w w:val="93"/>
              </w:rPr>
              <w:t>1005</w:t>
            </w:r>
          </w:p>
        </w:tc>
        <w:tc>
          <w:tcPr>
            <w:tcW w:w="1400" w:type="dxa"/>
            <w:vAlign w:val="bottom"/>
          </w:tcPr>
          <w:p>
            <w:pPr>
              <w:spacing w:after="0"/>
              <w:rPr>
                <w:sz w:val="15"/>
                <w:szCs w:val="15"/>
                <w:color w:val="auto"/>
              </w:rPr>
            </w:pPr>
          </w:p>
        </w:tc>
      </w:tr>
      <w:tr>
        <w:trPr>
          <w:trHeight w:val="179"/>
        </w:trPr>
        <w:tc>
          <w:tcPr>
            <w:tcW w:w="51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(c)(1)...................................</w:t>
            </w:r>
          </w:p>
        </w:tc>
        <w:tc>
          <w:tcPr>
            <w:tcW w:w="920" w:type="dxa"/>
            <w:vAlign w:val="bottom"/>
          </w:tcPr>
          <w:p>
            <w:pPr>
              <w:ind w:left="540"/>
              <w:spacing w:after="0" w:line="179" w:lineRule="exact"/>
              <w:rPr>
                <w:sz w:val="20"/>
                <w:szCs w:val="20"/>
                <w:color w:val="auto"/>
              </w:rPr>
            </w:pPr>
            <w:r>
              <w:rPr>
                <w:rFonts w:ascii="Courier New" w:cs="Courier New" w:eastAsia="Courier New" w:hAnsi="Courier New"/>
                <w:sz w:val="16"/>
                <w:szCs w:val="16"/>
                <w:color w:val="auto"/>
              </w:rPr>
              <w:t>102</w:t>
            </w:r>
          </w:p>
        </w:tc>
        <w:tc>
          <w:tcPr>
            <w:tcW w:w="1400" w:type="dxa"/>
            <w:vAlign w:val="bottom"/>
          </w:tcPr>
          <w:p>
            <w:pPr>
              <w:spacing w:after="0"/>
              <w:rPr>
                <w:sz w:val="15"/>
                <w:szCs w:val="15"/>
                <w:color w:val="auto"/>
              </w:rPr>
            </w:pPr>
          </w:p>
        </w:tc>
      </w:tr>
      <w:tr>
        <w:trPr>
          <w:trHeight w:val="179"/>
        </w:trPr>
        <w:tc>
          <w:tcPr>
            <w:tcW w:w="51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(c)(2)...................................</w:t>
            </w:r>
          </w:p>
        </w:tc>
        <w:tc>
          <w:tcPr>
            <w:tcW w:w="920" w:type="dxa"/>
            <w:vAlign w:val="bottom"/>
          </w:tcPr>
          <w:p>
            <w:pPr>
              <w:ind w:left="540"/>
              <w:spacing w:after="0" w:line="179" w:lineRule="exact"/>
              <w:rPr>
                <w:sz w:val="20"/>
                <w:szCs w:val="20"/>
                <w:color w:val="auto"/>
              </w:rPr>
            </w:pPr>
            <w:r>
              <w:rPr>
                <w:rFonts w:ascii="Courier New" w:cs="Courier New" w:eastAsia="Courier New" w:hAnsi="Courier New"/>
                <w:sz w:val="16"/>
                <w:szCs w:val="16"/>
                <w:color w:val="auto"/>
              </w:rPr>
              <w:t>102</w:t>
            </w:r>
          </w:p>
        </w:tc>
        <w:tc>
          <w:tcPr>
            <w:tcW w:w="1400" w:type="dxa"/>
            <w:vAlign w:val="bottom"/>
          </w:tcPr>
          <w:p>
            <w:pPr>
              <w:spacing w:after="0"/>
              <w:rPr>
                <w:sz w:val="15"/>
                <w:szCs w:val="15"/>
                <w:color w:val="auto"/>
              </w:rPr>
            </w:pPr>
          </w:p>
        </w:tc>
      </w:tr>
      <w:tr>
        <w:trPr>
          <w:trHeight w:val="179"/>
        </w:trPr>
        <w:tc>
          <w:tcPr>
            <w:tcW w:w="51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(e)......................................</w:t>
            </w:r>
          </w:p>
        </w:tc>
        <w:tc>
          <w:tcPr>
            <w:tcW w:w="920" w:type="dxa"/>
            <w:vAlign w:val="bottom"/>
          </w:tcPr>
          <w:p>
            <w:pPr>
              <w:ind w:left="540"/>
              <w:spacing w:after="0" w:line="179" w:lineRule="exact"/>
              <w:rPr>
                <w:sz w:val="20"/>
                <w:szCs w:val="20"/>
                <w:color w:val="auto"/>
              </w:rPr>
            </w:pPr>
            <w:r>
              <w:rPr>
                <w:rFonts w:ascii="Courier New" w:cs="Courier New" w:eastAsia="Courier New" w:hAnsi="Courier New"/>
                <w:sz w:val="16"/>
                <w:szCs w:val="16"/>
                <w:color w:val="auto"/>
              </w:rPr>
              <w:t>102</w:t>
            </w:r>
          </w:p>
        </w:tc>
        <w:tc>
          <w:tcPr>
            <w:tcW w:w="1400" w:type="dxa"/>
            <w:vAlign w:val="bottom"/>
          </w:tcPr>
          <w:p>
            <w:pPr>
              <w:spacing w:after="0"/>
              <w:rPr>
                <w:sz w:val="15"/>
                <w:szCs w:val="15"/>
                <w:color w:val="auto"/>
              </w:rPr>
            </w:pPr>
          </w:p>
        </w:tc>
      </w:tr>
      <w:tr>
        <w:trPr>
          <w:trHeight w:val="179"/>
        </w:trPr>
        <w:tc>
          <w:tcPr>
            <w:tcW w:w="1400" w:type="dxa"/>
            <w:vAlign w:val="bottom"/>
          </w:tcPr>
          <w:p>
            <w:pPr>
              <w:spacing w:after="0" w:line="179" w:lineRule="exact"/>
              <w:rPr>
                <w:sz w:val="20"/>
                <w:szCs w:val="20"/>
                <w:color w:val="auto"/>
              </w:rPr>
            </w:pPr>
            <w:r>
              <w:rPr>
                <w:rFonts w:ascii="Courier New" w:cs="Courier New" w:eastAsia="Courier New" w:hAnsi="Courier New"/>
                <w:sz w:val="16"/>
                <w:szCs w:val="16"/>
                <w:color w:val="auto"/>
              </w:rPr>
              <w:t>Section 315(b)</w:t>
            </w:r>
          </w:p>
        </w:tc>
        <w:tc>
          <w:tcPr>
            <w:tcW w:w="37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6"/>
              </w:rPr>
              <w:t>.....................................</w:t>
            </w:r>
          </w:p>
        </w:tc>
        <w:tc>
          <w:tcPr>
            <w:tcW w:w="920" w:type="dxa"/>
            <w:vAlign w:val="bottom"/>
          </w:tcPr>
          <w:p>
            <w:pPr>
              <w:ind w:left="540"/>
              <w:spacing w:after="0" w:line="179" w:lineRule="exact"/>
              <w:rPr>
                <w:sz w:val="20"/>
                <w:szCs w:val="20"/>
                <w:color w:val="auto"/>
              </w:rPr>
            </w:pPr>
            <w:r>
              <w:rPr>
                <w:rFonts w:ascii="Courier New" w:cs="Courier New" w:eastAsia="Courier New" w:hAnsi="Courier New"/>
                <w:sz w:val="16"/>
                <w:szCs w:val="16"/>
                <w:color w:val="auto"/>
              </w:rPr>
              <w:t>601</w:t>
            </w:r>
          </w:p>
        </w:tc>
        <w:tc>
          <w:tcPr>
            <w:tcW w:w="1400" w:type="dxa"/>
            <w:vAlign w:val="bottom"/>
          </w:tcPr>
          <w:p>
            <w:pPr>
              <w:spacing w:after="0"/>
              <w:rPr>
                <w:sz w:val="15"/>
                <w:szCs w:val="15"/>
                <w:color w:val="auto"/>
              </w:rPr>
            </w:pPr>
          </w:p>
        </w:tc>
      </w:tr>
      <w:tr>
        <w:trPr>
          <w:trHeight w:val="179"/>
        </w:trPr>
        <w:tc>
          <w:tcPr>
            <w:tcW w:w="512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Section 316(a) (last sentence)......................</w:t>
            </w:r>
          </w:p>
        </w:tc>
        <w:tc>
          <w:tcPr>
            <w:tcW w:w="920" w:type="dxa"/>
            <w:vAlign w:val="bottom"/>
          </w:tcPr>
          <w:p>
            <w:pPr>
              <w:ind w:left="540"/>
              <w:spacing w:after="0" w:line="179" w:lineRule="exact"/>
              <w:rPr>
                <w:sz w:val="20"/>
                <w:szCs w:val="20"/>
                <w:color w:val="auto"/>
              </w:rPr>
            </w:pPr>
            <w:r>
              <w:rPr>
                <w:rFonts w:ascii="Courier New" w:cs="Courier New" w:eastAsia="Courier New" w:hAnsi="Courier New"/>
                <w:sz w:val="16"/>
                <w:szCs w:val="16"/>
                <w:color w:val="auto"/>
              </w:rPr>
              <w:t>101</w:t>
            </w:r>
          </w:p>
        </w:tc>
        <w:tc>
          <w:tcPr>
            <w:tcW w:w="14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("Outstanding")</w:t>
            </w:r>
          </w:p>
        </w:tc>
      </w:tr>
      <w:tr>
        <w:trPr>
          <w:trHeight w:val="179"/>
        </w:trPr>
        <w:tc>
          <w:tcPr>
            <w:tcW w:w="51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(a)(1)(A)................................</w:t>
            </w:r>
          </w:p>
        </w:tc>
        <w:tc>
          <w:tcPr>
            <w:tcW w:w="2320" w:type="dxa"/>
            <w:vAlign w:val="bottom"/>
            <w:gridSpan w:val="2"/>
          </w:tcPr>
          <w:p>
            <w:pPr>
              <w:ind w:left="540"/>
              <w:spacing w:after="0" w:line="179" w:lineRule="exact"/>
              <w:rPr>
                <w:sz w:val="20"/>
                <w:szCs w:val="20"/>
                <w:color w:val="auto"/>
              </w:rPr>
            </w:pPr>
            <w:r>
              <w:rPr>
                <w:rFonts w:ascii="Courier New" w:cs="Courier New" w:eastAsia="Courier New" w:hAnsi="Courier New"/>
                <w:sz w:val="16"/>
                <w:szCs w:val="16"/>
                <w:color w:val="auto"/>
              </w:rPr>
              <w:t>502, 512</w:t>
            </w:r>
          </w:p>
        </w:tc>
      </w:tr>
      <w:tr>
        <w:trPr>
          <w:trHeight w:val="179"/>
        </w:trPr>
        <w:tc>
          <w:tcPr>
            <w:tcW w:w="51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(a)(1)(B)................................</w:t>
            </w:r>
          </w:p>
        </w:tc>
        <w:tc>
          <w:tcPr>
            <w:tcW w:w="920" w:type="dxa"/>
            <w:vAlign w:val="bottom"/>
          </w:tcPr>
          <w:p>
            <w:pPr>
              <w:ind w:left="540"/>
              <w:spacing w:after="0" w:line="179" w:lineRule="exact"/>
              <w:rPr>
                <w:sz w:val="20"/>
                <w:szCs w:val="20"/>
                <w:color w:val="auto"/>
              </w:rPr>
            </w:pPr>
            <w:r>
              <w:rPr>
                <w:rFonts w:ascii="Courier New" w:cs="Courier New" w:eastAsia="Courier New" w:hAnsi="Courier New"/>
                <w:sz w:val="16"/>
                <w:szCs w:val="16"/>
                <w:color w:val="auto"/>
              </w:rPr>
              <w:t>513</w:t>
            </w:r>
          </w:p>
        </w:tc>
        <w:tc>
          <w:tcPr>
            <w:tcW w:w="1400" w:type="dxa"/>
            <w:vAlign w:val="bottom"/>
          </w:tcPr>
          <w:p>
            <w:pPr>
              <w:spacing w:after="0"/>
              <w:rPr>
                <w:sz w:val="15"/>
                <w:szCs w:val="15"/>
                <w:color w:val="auto"/>
              </w:rPr>
            </w:pPr>
          </w:p>
        </w:tc>
      </w:tr>
      <w:tr>
        <w:trPr>
          <w:trHeight w:val="179"/>
        </w:trPr>
        <w:tc>
          <w:tcPr>
            <w:tcW w:w="51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(b)......................................</w:t>
            </w:r>
          </w:p>
        </w:tc>
        <w:tc>
          <w:tcPr>
            <w:tcW w:w="920" w:type="dxa"/>
            <w:vAlign w:val="bottom"/>
          </w:tcPr>
          <w:p>
            <w:pPr>
              <w:ind w:left="540"/>
              <w:spacing w:after="0" w:line="179" w:lineRule="exact"/>
              <w:rPr>
                <w:sz w:val="20"/>
                <w:szCs w:val="20"/>
                <w:color w:val="auto"/>
              </w:rPr>
            </w:pPr>
            <w:r>
              <w:rPr>
                <w:rFonts w:ascii="Courier New" w:cs="Courier New" w:eastAsia="Courier New" w:hAnsi="Courier New"/>
                <w:sz w:val="16"/>
                <w:szCs w:val="16"/>
                <w:color w:val="auto"/>
              </w:rPr>
              <w:t>508</w:t>
            </w:r>
          </w:p>
        </w:tc>
        <w:tc>
          <w:tcPr>
            <w:tcW w:w="1400" w:type="dxa"/>
            <w:vAlign w:val="bottom"/>
          </w:tcPr>
          <w:p>
            <w:pPr>
              <w:spacing w:after="0"/>
              <w:rPr>
                <w:sz w:val="15"/>
                <w:szCs w:val="15"/>
                <w:color w:val="auto"/>
              </w:rPr>
            </w:pPr>
          </w:p>
        </w:tc>
      </w:tr>
      <w:tr>
        <w:trPr>
          <w:trHeight w:val="179"/>
        </w:trPr>
        <w:tc>
          <w:tcPr>
            <w:tcW w:w="512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Section 317(a)(1)...................................</w:t>
            </w:r>
          </w:p>
        </w:tc>
        <w:tc>
          <w:tcPr>
            <w:tcW w:w="920" w:type="dxa"/>
            <w:vAlign w:val="bottom"/>
          </w:tcPr>
          <w:p>
            <w:pPr>
              <w:ind w:left="540"/>
              <w:spacing w:after="0" w:line="179" w:lineRule="exact"/>
              <w:rPr>
                <w:sz w:val="20"/>
                <w:szCs w:val="20"/>
                <w:color w:val="auto"/>
              </w:rPr>
            </w:pPr>
            <w:r>
              <w:rPr>
                <w:rFonts w:ascii="Courier New" w:cs="Courier New" w:eastAsia="Courier New" w:hAnsi="Courier New"/>
                <w:sz w:val="16"/>
                <w:szCs w:val="16"/>
                <w:color w:val="auto"/>
              </w:rPr>
              <w:t>503</w:t>
            </w:r>
          </w:p>
        </w:tc>
        <w:tc>
          <w:tcPr>
            <w:tcW w:w="1400" w:type="dxa"/>
            <w:vAlign w:val="bottom"/>
          </w:tcPr>
          <w:p>
            <w:pPr>
              <w:spacing w:after="0"/>
              <w:rPr>
                <w:sz w:val="15"/>
                <w:szCs w:val="15"/>
                <w:color w:val="auto"/>
              </w:rPr>
            </w:pPr>
          </w:p>
        </w:tc>
      </w:tr>
      <w:tr>
        <w:trPr>
          <w:trHeight w:val="179"/>
        </w:trPr>
        <w:tc>
          <w:tcPr>
            <w:tcW w:w="51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(a)(2)...................................</w:t>
            </w:r>
          </w:p>
        </w:tc>
        <w:tc>
          <w:tcPr>
            <w:tcW w:w="920" w:type="dxa"/>
            <w:vAlign w:val="bottom"/>
          </w:tcPr>
          <w:p>
            <w:pPr>
              <w:ind w:left="540"/>
              <w:spacing w:after="0" w:line="179" w:lineRule="exact"/>
              <w:rPr>
                <w:sz w:val="20"/>
                <w:szCs w:val="20"/>
                <w:color w:val="auto"/>
              </w:rPr>
            </w:pPr>
            <w:r>
              <w:rPr>
                <w:rFonts w:ascii="Courier New" w:cs="Courier New" w:eastAsia="Courier New" w:hAnsi="Courier New"/>
                <w:sz w:val="16"/>
                <w:szCs w:val="16"/>
                <w:color w:val="auto"/>
              </w:rPr>
              <w:t>504</w:t>
            </w:r>
          </w:p>
        </w:tc>
        <w:tc>
          <w:tcPr>
            <w:tcW w:w="1400" w:type="dxa"/>
            <w:vAlign w:val="bottom"/>
          </w:tcPr>
          <w:p>
            <w:pPr>
              <w:spacing w:after="0"/>
              <w:rPr>
                <w:sz w:val="15"/>
                <w:szCs w:val="15"/>
                <w:color w:val="auto"/>
              </w:rPr>
            </w:pPr>
          </w:p>
        </w:tc>
      </w:tr>
      <w:tr>
        <w:trPr>
          <w:trHeight w:val="179"/>
        </w:trPr>
        <w:tc>
          <w:tcPr>
            <w:tcW w:w="1400" w:type="dxa"/>
            <w:vAlign w:val="bottom"/>
          </w:tcPr>
          <w:p>
            <w:pPr>
              <w:spacing w:after="0" w:line="179" w:lineRule="exact"/>
              <w:rPr>
                <w:sz w:val="20"/>
                <w:szCs w:val="20"/>
                <w:color w:val="auto"/>
              </w:rPr>
            </w:pPr>
            <w:r>
              <w:rPr>
                <w:rFonts w:ascii="Courier New" w:cs="Courier New" w:eastAsia="Courier New" w:hAnsi="Courier New"/>
                <w:sz w:val="16"/>
                <w:szCs w:val="16"/>
                <w:color w:val="auto"/>
              </w:rPr>
              <w:t>Section 318(a)</w:t>
            </w:r>
          </w:p>
        </w:tc>
        <w:tc>
          <w:tcPr>
            <w:tcW w:w="37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6"/>
              </w:rPr>
              <w:t>.....................................</w:t>
            </w:r>
          </w:p>
        </w:tc>
        <w:tc>
          <w:tcPr>
            <w:tcW w:w="920" w:type="dxa"/>
            <w:vAlign w:val="bottom"/>
          </w:tcPr>
          <w:p>
            <w:pPr>
              <w:ind w:left="540"/>
              <w:spacing w:after="0" w:line="179" w:lineRule="exact"/>
              <w:rPr>
                <w:sz w:val="20"/>
                <w:szCs w:val="20"/>
                <w:color w:val="auto"/>
              </w:rPr>
            </w:pPr>
            <w:r>
              <w:rPr>
                <w:rFonts w:ascii="Courier New" w:cs="Courier New" w:eastAsia="Courier New" w:hAnsi="Courier New"/>
                <w:sz w:val="16"/>
                <w:szCs w:val="16"/>
                <w:color w:val="auto"/>
              </w:rPr>
              <w:t>111</w:t>
            </w:r>
          </w:p>
        </w:tc>
        <w:tc>
          <w:tcPr>
            <w:tcW w:w="1400" w:type="dxa"/>
            <w:vAlign w:val="bottom"/>
          </w:tcPr>
          <w:p>
            <w:pPr>
              <w:spacing w:after="0"/>
              <w:rPr>
                <w:sz w:val="15"/>
                <w:szCs w:val="15"/>
                <w:color w:val="auto"/>
              </w:rPr>
            </w:pPr>
          </w:p>
        </w:tc>
      </w:tr>
      <w:tr>
        <w:trPr>
          <w:trHeight w:val="179"/>
        </w:trPr>
        <w:tc>
          <w:tcPr>
            <w:tcW w:w="51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(c)......................................</w:t>
            </w:r>
          </w:p>
        </w:tc>
        <w:tc>
          <w:tcPr>
            <w:tcW w:w="920" w:type="dxa"/>
            <w:vAlign w:val="bottom"/>
          </w:tcPr>
          <w:p>
            <w:pPr>
              <w:ind w:left="540"/>
              <w:spacing w:after="0" w:line="179" w:lineRule="exact"/>
              <w:rPr>
                <w:sz w:val="20"/>
                <w:szCs w:val="20"/>
                <w:color w:val="auto"/>
              </w:rPr>
            </w:pPr>
            <w:r>
              <w:rPr>
                <w:rFonts w:ascii="Courier New" w:cs="Courier New" w:eastAsia="Courier New" w:hAnsi="Courier New"/>
                <w:sz w:val="16"/>
                <w:szCs w:val="16"/>
                <w:color w:val="auto"/>
              </w:rPr>
              <w:t>111</w:t>
            </w:r>
          </w:p>
        </w:tc>
        <w:tc>
          <w:tcPr>
            <w:tcW w:w="1400" w:type="dxa"/>
            <w:vAlign w:val="bottom"/>
          </w:tcPr>
          <w:p>
            <w:pPr>
              <w:spacing w:after="0"/>
              <w:rPr>
                <w:sz w:val="15"/>
                <w:szCs w:val="15"/>
                <w:color w:val="auto"/>
              </w:rPr>
            </w:pPr>
          </w:p>
        </w:tc>
      </w:tr>
      <w:tr>
        <w:trPr>
          <w:trHeight w:val="179"/>
        </w:trPr>
        <w:tc>
          <w:tcPr>
            <w:tcW w:w="512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 ---------------</w:t>
            </w:r>
          </w:p>
        </w:tc>
        <w:tc>
          <w:tcPr>
            <w:tcW w:w="920" w:type="dxa"/>
            <w:vAlign w:val="bottom"/>
          </w:tcPr>
          <w:p>
            <w:pPr>
              <w:spacing w:after="0"/>
              <w:rPr>
                <w:sz w:val="15"/>
                <w:szCs w:val="15"/>
                <w:color w:val="auto"/>
              </w:rPr>
            </w:pPr>
          </w:p>
        </w:tc>
        <w:tc>
          <w:tcPr>
            <w:tcW w:w="1400" w:type="dxa"/>
            <w:vAlign w:val="bottom"/>
          </w:tcPr>
          <w:p>
            <w:pPr>
              <w:spacing w:after="0"/>
              <w:rPr>
                <w:sz w:val="15"/>
                <w:szCs w:val="15"/>
                <w:color w:val="auto"/>
              </w:rPr>
            </w:pPr>
          </w:p>
        </w:tc>
      </w:tr>
    </w:tbl>
    <w:p>
      <w:pPr>
        <w:spacing w:after="0" w:line="183" w:lineRule="exact"/>
        <w:rPr>
          <w:sz w:val="20"/>
          <w:szCs w:val="20"/>
          <w:color w:val="auto"/>
        </w:rPr>
      </w:pPr>
    </w:p>
    <w:p>
      <w:pPr>
        <w:ind w:right="2879"/>
        <w:spacing w:after="0" w:line="234" w:lineRule="auto"/>
        <w:rPr>
          <w:sz w:val="20"/>
          <w:szCs w:val="20"/>
          <w:color w:val="auto"/>
        </w:rPr>
      </w:pPr>
      <w:r>
        <w:rPr>
          <w:rFonts w:ascii="Courier New" w:cs="Courier New" w:eastAsia="Courier New" w:hAnsi="Courier New"/>
          <w:sz w:val="16"/>
          <w:szCs w:val="16"/>
          <w:color w:val="auto"/>
        </w:rPr>
        <w:t>NOTE: This reconciliation and tie shall not, for any purpose, be deemed to be a part of the Indenture.</w:t>
      </w:r>
    </w:p>
    <w:p>
      <w:pPr>
        <w:sectPr>
          <w:pgSz w:w="11900" w:h="16838" w:orient="portrait"/>
          <w:cols w:equalWidth="0" w:num="1">
            <w:col w:w="10219"/>
          </w:cols>
          <w:pgMar w:left="240" w:top="136" w:right="1440" w:bottom="1440" w:gutter="0" w:footer="0" w:header="0"/>
        </w:sectPr>
      </w:pPr>
    </w:p>
    <w:bookmarkStart w:id="174" w:name="page175"/>
    <w:bookmarkEnd w:id="174"/>
    <w:p>
      <w:pPr>
        <w:ind w:left="2980"/>
        <w:spacing w:after="0"/>
        <w:rPr>
          <w:sz w:val="20"/>
          <w:szCs w:val="20"/>
          <w:color w:val="auto"/>
        </w:rPr>
      </w:pPr>
      <w:r>
        <w:rPr>
          <w:rFonts w:ascii="Courier New" w:cs="Courier New" w:eastAsia="Courier New" w:hAnsi="Courier New"/>
          <w:sz w:val="16"/>
          <w:szCs w:val="16"/>
          <w:color w:val="auto"/>
        </w:rPr>
        <w:t>TABLE OF CONTENTS</w:t>
      </w:r>
    </w:p>
    <w:p>
      <w:pPr>
        <w:spacing w:after="0" w:line="177"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Page</w:t>
      </w:r>
    </w:p>
    <w:p>
      <w:pPr>
        <w:jc w:val="right"/>
        <w:ind w:right="2779"/>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Article One</w:t>
      </w:r>
    </w:p>
    <w:p>
      <w:pPr>
        <w:ind w:left="1200"/>
        <w:spacing w:after="0" w:line="236" w:lineRule="auto"/>
        <w:rPr>
          <w:sz w:val="20"/>
          <w:szCs w:val="20"/>
          <w:color w:val="auto"/>
        </w:rPr>
      </w:pPr>
      <w:r>
        <w:rPr>
          <w:rFonts w:ascii="Courier New" w:cs="Courier New" w:eastAsia="Courier New" w:hAnsi="Courier New"/>
          <w:sz w:val="16"/>
          <w:szCs w:val="16"/>
          <w:color w:val="auto"/>
        </w:rPr>
        <w:t>DEFINITIONS AND OTHER PROVISIONS OF GENERAL APPLICATION</w:t>
      </w:r>
    </w:p>
    <w:p>
      <w:pPr>
        <w:spacing w:after="0" w:line="177" w:lineRule="exact"/>
        <w:rPr>
          <w:sz w:val="20"/>
          <w:szCs w:val="20"/>
          <w:color w:val="auto"/>
        </w:rPr>
      </w:pPr>
    </w:p>
    <w:p>
      <w:pPr>
        <w:spacing w:after="0"/>
        <w:tabs>
          <w:tab w:leader="none" w:pos="1280" w:val="left"/>
          <w:tab w:leader="dot" w:pos="7320" w:val="left"/>
        </w:tabs>
        <w:rPr>
          <w:sz w:val="20"/>
          <w:szCs w:val="20"/>
          <w:color w:val="auto"/>
        </w:rPr>
      </w:pPr>
      <w:r>
        <w:rPr>
          <w:rFonts w:ascii="Courier New" w:cs="Courier New" w:eastAsia="Courier New" w:hAnsi="Courier New"/>
          <w:sz w:val="16"/>
          <w:szCs w:val="16"/>
          <w:color w:val="auto"/>
        </w:rPr>
        <w:t>Section 101.</w:t>
        <w:tab/>
        <w:t>Definitions</w:t>
      </w:r>
      <w:r>
        <w:rPr>
          <w:sz w:val="20"/>
          <w:szCs w:val="20"/>
          <w:color w:val="auto"/>
        </w:rPr>
        <w:tab/>
      </w:r>
      <w:r>
        <w:rPr>
          <w:rFonts w:ascii="Courier New" w:cs="Courier New" w:eastAsia="Courier New" w:hAnsi="Courier New"/>
          <w:sz w:val="16"/>
          <w:szCs w:val="16"/>
          <w:color w:val="auto"/>
        </w:rPr>
        <w:t>1</w:t>
      </w:r>
    </w:p>
    <w:p>
      <w:pPr>
        <w:spacing w:after="0"/>
        <w:tabs>
          <w:tab w:leader="none" w:pos="1280" w:val="left"/>
          <w:tab w:leader="dot" w:pos="7240" w:val="left"/>
        </w:tabs>
        <w:rPr>
          <w:sz w:val="20"/>
          <w:szCs w:val="20"/>
          <w:color w:val="auto"/>
        </w:rPr>
      </w:pPr>
      <w:r>
        <w:rPr>
          <w:rFonts w:ascii="Courier New" w:cs="Courier New" w:eastAsia="Courier New" w:hAnsi="Courier New"/>
          <w:sz w:val="16"/>
          <w:szCs w:val="16"/>
          <w:color w:val="auto"/>
        </w:rPr>
        <w:t>Section 102.</w:t>
        <w:tab/>
        <w:t>Compliance Certificates and Opinions</w:t>
      </w:r>
      <w:r>
        <w:rPr>
          <w:sz w:val="20"/>
          <w:szCs w:val="20"/>
          <w:color w:val="auto"/>
        </w:rPr>
        <w:tab/>
      </w:r>
      <w:r>
        <w:rPr>
          <w:rFonts w:ascii="Courier New" w:cs="Courier New" w:eastAsia="Courier New" w:hAnsi="Courier New"/>
          <w:sz w:val="14"/>
          <w:szCs w:val="14"/>
          <w:color w:val="auto"/>
        </w:rPr>
        <w:t>12</w:t>
      </w:r>
    </w:p>
    <w:p>
      <w:pPr>
        <w:spacing w:after="0"/>
        <w:tabs>
          <w:tab w:leader="none" w:pos="1280" w:val="left"/>
          <w:tab w:leader="dot" w:pos="7240" w:val="left"/>
        </w:tabs>
        <w:rPr>
          <w:sz w:val="20"/>
          <w:szCs w:val="20"/>
          <w:color w:val="auto"/>
        </w:rPr>
      </w:pPr>
      <w:r>
        <w:rPr>
          <w:rFonts w:ascii="Courier New" w:cs="Courier New" w:eastAsia="Courier New" w:hAnsi="Courier New"/>
          <w:sz w:val="16"/>
          <w:szCs w:val="16"/>
          <w:color w:val="auto"/>
        </w:rPr>
        <w:t>Section 103.</w:t>
        <w:tab/>
        <w:t>Form of Documents Delivered to Trustee</w:t>
      </w:r>
      <w:r>
        <w:rPr>
          <w:sz w:val="20"/>
          <w:szCs w:val="20"/>
          <w:color w:val="auto"/>
        </w:rPr>
        <w:tab/>
      </w:r>
      <w:r>
        <w:rPr>
          <w:rFonts w:ascii="Courier New" w:cs="Courier New" w:eastAsia="Courier New" w:hAnsi="Courier New"/>
          <w:sz w:val="14"/>
          <w:szCs w:val="14"/>
          <w:color w:val="auto"/>
        </w:rPr>
        <w:t>12</w:t>
      </w:r>
    </w:p>
    <w:p>
      <w:pPr>
        <w:spacing w:after="0"/>
        <w:tabs>
          <w:tab w:leader="none" w:pos="1280" w:val="left"/>
          <w:tab w:leader="dot" w:pos="7240" w:val="left"/>
        </w:tabs>
        <w:rPr>
          <w:sz w:val="20"/>
          <w:szCs w:val="20"/>
          <w:color w:val="auto"/>
        </w:rPr>
      </w:pPr>
      <w:r>
        <w:rPr>
          <w:rFonts w:ascii="Courier New" w:cs="Courier New" w:eastAsia="Courier New" w:hAnsi="Courier New"/>
          <w:sz w:val="16"/>
          <w:szCs w:val="16"/>
          <w:color w:val="auto"/>
        </w:rPr>
        <w:t>Section 104.</w:t>
        <w:tab/>
        <w:t>Acts of Holders</w:t>
      </w:r>
      <w:r>
        <w:rPr>
          <w:sz w:val="20"/>
          <w:szCs w:val="20"/>
          <w:color w:val="auto"/>
        </w:rPr>
        <w:tab/>
      </w:r>
      <w:r>
        <w:rPr>
          <w:rFonts w:ascii="Courier New" w:cs="Courier New" w:eastAsia="Courier New" w:hAnsi="Courier New"/>
          <w:sz w:val="14"/>
          <w:szCs w:val="14"/>
          <w:color w:val="auto"/>
        </w:rPr>
        <w:t>13</w:t>
      </w:r>
    </w:p>
    <w:p>
      <w:pPr>
        <w:spacing w:after="0"/>
        <w:tabs>
          <w:tab w:leader="none" w:pos="1280" w:val="left"/>
          <w:tab w:leader="dot" w:pos="7240" w:val="left"/>
        </w:tabs>
        <w:rPr>
          <w:sz w:val="20"/>
          <w:szCs w:val="20"/>
          <w:color w:val="auto"/>
        </w:rPr>
      </w:pPr>
      <w:r>
        <w:rPr>
          <w:rFonts w:ascii="Courier New" w:cs="Courier New" w:eastAsia="Courier New" w:hAnsi="Courier New"/>
          <w:sz w:val="16"/>
          <w:szCs w:val="16"/>
          <w:color w:val="auto"/>
        </w:rPr>
        <w:t>Section 105.</w:t>
        <w:tab/>
        <w:t>Notices, Etc., to Trustee and Company</w:t>
      </w:r>
      <w:r>
        <w:rPr>
          <w:sz w:val="20"/>
          <w:szCs w:val="20"/>
          <w:color w:val="auto"/>
        </w:rPr>
        <w:tab/>
      </w:r>
      <w:r>
        <w:rPr>
          <w:rFonts w:ascii="Courier New" w:cs="Courier New" w:eastAsia="Courier New" w:hAnsi="Courier New"/>
          <w:sz w:val="14"/>
          <w:szCs w:val="14"/>
          <w:color w:val="auto"/>
        </w:rPr>
        <w:t>15</w:t>
      </w:r>
    </w:p>
    <w:p>
      <w:pPr>
        <w:spacing w:after="0"/>
        <w:tabs>
          <w:tab w:leader="none" w:pos="1280" w:val="left"/>
          <w:tab w:leader="dot" w:pos="7240" w:val="left"/>
        </w:tabs>
        <w:rPr>
          <w:sz w:val="20"/>
          <w:szCs w:val="20"/>
          <w:color w:val="auto"/>
        </w:rPr>
      </w:pPr>
      <w:r>
        <w:rPr>
          <w:rFonts w:ascii="Courier New" w:cs="Courier New" w:eastAsia="Courier New" w:hAnsi="Courier New"/>
          <w:sz w:val="16"/>
          <w:szCs w:val="16"/>
          <w:color w:val="auto"/>
        </w:rPr>
        <w:t>Section 106.</w:t>
        <w:tab/>
        <w:t>Notice to Holders; Waiver</w:t>
      </w:r>
      <w:r>
        <w:rPr>
          <w:sz w:val="20"/>
          <w:szCs w:val="20"/>
          <w:color w:val="auto"/>
        </w:rPr>
        <w:tab/>
      </w:r>
      <w:r>
        <w:rPr>
          <w:rFonts w:ascii="Courier New" w:cs="Courier New" w:eastAsia="Courier New" w:hAnsi="Courier New"/>
          <w:sz w:val="14"/>
          <w:szCs w:val="14"/>
          <w:color w:val="auto"/>
        </w:rPr>
        <w:t>15</w:t>
      </w:r>
    </w:p>
    <w:p>
      <w:pPr>
        <w:spacing w:after="0"/>
        <w:tabs>
          <w:tab w:leader="none" w:pos="1280" w:val="left"/>
          <w:tab w:leader="dot" w:pos="7240" w:val="left"/>
        </w:tabs>
        <w:rPr>
          <w:sz w:val="20"/>
          <w:szCs w:val="20"/>
          <w:color w:val="auto"/>
        </w:rPr>
      </w:pPr>
      <w:r>
        <w:rPr>
          <w:rFonts w:ascii="Courier New" w:cs="Courier New" w:eastAsia="Courier New" w:hAnsi="Courier New"/>
          <w:sz w:val="16"/>
          <w:szCs w:val="16"/>
          <w:color w:val="auto"/>
        </w:rPr>
        <w:t>Section 107.</w:t>
        <w:tab/>
        <w:t>Effect of Headings and Table of Contents</w:t>
      </w:r>
      <w:r>
        <w:rPr>
          <w:sz w:val="20"/>
          <w:szCs w:val="20"/>
          <w:color w:val="auto"/>
        </w:rPr>
        <w:tab/>
      </w:r>
      <w:r>
        <w:rPr>
          <w:rFonts w:ascii="Courier New" w:cs="Courier New" w:eastAsia="Courier New" w:hAnsi="Courier New"/>
          <w:sz w:val="14"/>
          <w:szCs w:val="14"/>
          <w:color w:val="auto"/>
        </w:rPr>
        <w:t>16</w:t>
      </w:r>
    </w:p>
    <w:p>
      <w:pPr>
        <w:spacing w:after="0"/>
        <w:tabs>
          <w:tab w:leader="none" w:pos="1280" w:val="left"/>
          <w:tab w:leader="dot" w:pos="7240" w:val="left"/>
        </w:tabs>
        <w:rPr>
          <w:sz w:val="20"/>
          <w:szCs w:val="20"/>
          <w:color w:val="auto"/>
        </w:rPr>
      </w:pPr>
      <w:r>
        <w:rPr>
          <w:rFonts w:ascii="Courier New" w:cs="Courier New" w:eastAsia="Courier New" w:hAnsi="Courier New"/>
          <w:sz w:val="16"/>
          <w:szCs w:val="16"/>
          <w:color w:val="auto"/>
        </w:rPr>
        <w:t>Section 108.</w:t>
        <w:tab/>
        <w:t>Successors and Assigns</w:t>
      </w:r>
      <w:r>
        <w:rPr>
          <w:sz w:val="20"/>
          <w:szCs w:val="20"/>
          <w:color w:val="auto"/>
        </w:rPr>
        <w:tab/>
      </w:r>
      <w:r>
        <w:rPr>
          <w:rFonts w:ascii="Courier New" w:cs="Courier New" w:eastAsia="Courier New" w:hAnsi="Courier New"/>
          <w:sz w:val="14"/>
          <w:szCs w:val="14"/>
          <w:color w:val="auto"/>
        </w:rPr>
        <w:t>16</w:t>
      </w:r>
    </w:p>
    <w:p>
      <w:pPr>
        <w:spacing w:after="0"/>
        <w:tabs>
          <w:tab w:leader="none" w:pos="1280" w:val="left"/>
          <w:tab w:leader="dot" w:pos="7240" w:val="left"/>
        </w:tabs>
        <w:rPr>
          <w:sz w:val="20"/>
          <w:szCs w:val="20"/>
          <w:color w:val="auto"/>
        </w:rPr>
      </w:pPr>
      <w:r>
        <w:rPr>
          <w:rFonts w:ascii="Courier New" w:cs="Courier New" w:eastAsia="Courier New" w:hAnsi="Courier New"/>
          <w:sz w:val="16"/>
          <w:szCs w:val="16"/>
          <w:color w:val="auto"/>
        </w:rPr>
        <w:t>Section 109.</w:t>
        <w:tab/>
        <w:t>Separability Clause</w:t>
      </w:r>
      <w:r>
        <w:rPr>
          <w:sz w:val="20"/>
          <w:szCs w:val="20"/>
          <w:color w:val="auto"/>
        </w:rPr>
        <w:tab/>
      </w:r>
      <w:r>
        <w:rPr>
          <w:rFonts w:ascii="Courier New" w:cs="Courier New" w:eastAsia="Courier New" w:hAnsi="Courier New"/>
          <w:sz w:val="14"/>
          <w:szCs w:val="14"/>
          <w:color w:val="auto"/>
        </w:rPr>
        <w:t>16</w:t>
      </w:r>
    </w:p>
    <w:p>
      <w:pPr>
        <w:spacing w:after="0"/>
        <w:tabs>
          <w:tab w:leader="none" w:pos="1280" w:val="left"/>
          <w:tab w:leader="dot" w:pos="7240" w:val="left"/>
        </w:tabs>
        <w:rPr>
          <w:sz w:val="20"/>
          <w:szCs w:val="20"/>
          <w:color w:val="auto"/>
        </w:rPr>
      </w:pPr>
      <w:r>
        <w:rPr>
          <w:rFonts w:ascii="Courier New" w:cs="Courier New" w:eastAsia="Courier New" w:hAnsi="Courier New"/>
          <w:sz w:val="16"/>
          <w:szCs w:val="16"/>
          <w:color w:val="auto"/>
        </w:rPr>
        <w:t>Section 110.</w:t>
        <w:tab/>
        <w:t>Benefits of Indenture</w:t>
      </w:r>
      <w:r>
        <w:rPr>
          <w:sz w:val="20"/>
          <w:szCs w:val="20"/>
          <w:color w:val="auto"/>
        </w:rPr>
        <w:tab/>
      </w:r>
      <w:r>
        <w:rPr>
          <w:rFonts w:ascii="Courier New" w:cs="Courier New" w:eastAsia="Courier New" w:hAnsi="Courier New"/>
          <w:sz w:val="14"/>
          <w:szCs w:val="14"/>
          <w:color w:val="auto"/>
        </w:rPr>
        <w:t>17</w:t>
      </w:r>
    </w:p>
    <w:p>
      <w:pPr>
        <w:spacing w:after="0"/>
        <w:tabs>
          <w:tab w:leader="none" w:pos="1280" w:val="left"/>
          <w:tab w:leader="dot" w:pos="7240" w:val="left"/>
        </w:tabs>
        <w:rPr>
          <w:sz w:val="20"/>
          <w:szCs w:val="20"/>
          <w:color w:val="auto"/>
        </w:rPr>
      </w:pPr>
      <w:r>
        <w:rPr>
          <w:rFonts w:ascii="Courier New" w:cs="Courier New" w:eastAsia="Courier New" w:hAnsi="Courier New"/>
          <w:sz w:val="16"/>
          <w:szCs w:val="16"/>
          <w:color w:val="auto"/>
        </w:rPr>
        <w:t>Section 111.</w:t>
        <w:tab/>
        <w:t>Governing Law</w:t>
      </w:r>
      <w:r>
        <w:rPr>
          <w:sz w:val="20"/>
          <w:szCs w:val="20"/>
          <w:color w:val="auto"/>
        </w:rPr>
        <w:tab/>
      </w:r>
      <w:r>
        <w:rPr>
          <w:rFonts w:ascii="Courier New" w:cs="Courier New" w:eastAsia="Courier New" w:hAnsi="Courier New"/>
          <w:sz w:val="14"/>
          <w:szCs w:val="14"/>
          <w:color w:val="auto"/>
        </w:rPr>
        <w:t>17</w:t>
      </w:r>
    </w:p>
    <w:p>
      <w:pPr>
        <w:spacing w:after="0"/>
        <w:tabs>
          <w:tab w:leader="none" w:pos="1280" w:val="left"/>
          <w:tab w:leader="dot" w:pos="7240" w:val="left"/>
        </w:tabs>
        <w:rPr>
          <w:sz w:val="20"/>
          <w:szCs w:val="20"/>
          <w:color w:val="auto"/>
        </w:rPr>
      </w:pPr>
      <w:r>
        <w:rPr>
          <w:rFonts w:ascii="Courier New" w:cs="Courier New" w:eastAsia="Courier New" w:hAnsi="Courier New"/>
          <w:sz w:val="16"/>
          <w:szCs w:val="16"/>
          <w:color w:val="auto"/>
        </w:rPr>
        <w:t>Section 112.</w:t>
        <w:tab/>
        <w:t>Legal Holidays</w:t>
      </w:r>
      <w:r>
        <w:rPr>
          <w:sz w:val="20"/>
          <w:szCs w:val="20"/>
          <w:color w:val="auto"/>
        </w:rPr>
        <w:tab/>
      </w:r>
      <w:r>
        <w:rPr>
          <w:rFonts w:ascii="Courier New" w:cs="Courier New" w:eastAsia="Courier New" w:hAnsi="Courier New"/>
          <w:sz w:val="14"/>
          <w:szCs w:val="14"/>
          <w:color w:val="auto"/>
        </w:rPr>
        <w:t>17</w:t>
      </w:r>
    </w:p>
    <w:p>
      <w:pPr>
        <w:spacing w:after="0"/>
        <w:tabs>
          <w:tab w:leader="none" w:pos="1280" w:val="left"/>
        </w:tabs>
        <w:rPr>
          <w:sz w:val="20"/>
          <w:szCs w:val="20"/>
          <w:color w:val="auto"/>
        </w:rPr>
      </w:pPr>
      <w:r>
        <w:rPr>
          <w:rFonts w:ascii="Courier New" w:cs="Courier New" w:eastAsia="Courier New" w:hAnsi="Courier New"/>
          <w:sz w:val="16"/>
          <w:szCs w:val="16"/>
          <w:color w:val="auto"/>
        </w:rPr>
        <w:t>Section 113.</w:t>
      </w:r>
      <w:r>
        <w:rPr>
          <w:sz w:val="20"/>
          <w:szCs w:val="20"/>
          <w:color w:val="auto"/>
        </w:rPr>
        <w:tab/>
      </w:r>
      <w:r>
        <w:rPr>
          <w:rFonts w:ascii="Courier New" w:cs="Courier New" w:eastAsia="Courier New" w:hAnsi="Courier New"/>
          <w:sz w:val="14"/>
          <w:szCs w:val="14"/>
          <w:color w:val="auto"/>
        </w:rPr>
        <w:t>Conflict of Any Provision of Indenture with Trust</w:t>
      </w:r>
    </w:p>
    <w:p>
      <w:pPr>
        <w:jc w:val="right"/>
        <w:ind w:right="2779"/>
        <w:spacing w:after="0"/>
        <w:tabs>
          <w:tab w:leader="dot" w:pos="160" w:val="left"/>
        </w:tabs>
        <w:rPr>
          <w:sz w:val="20"/>
          <w:szCs w:val="20"/>
          <w:color w:val="auto"/>
        </w:rPr>
      </w:pPr>
      <w:r>
        <w:rPr>
          <w:rFonts w:ascii="Courier New" w:cs="Courier New" w:eastAsia="Courier New" w:hAnsi="Courier New"/>
          <w:sz w:val="16"/>
          <w:szCs w:val="16"/>
          <w:color w:val="auto"/>
        </w:rPr>
        <w:t>Indenture Act</w:t>
      </w:r>
      <w:r>
        <w:rPr>
          <w:sz w:val="20"/>
          <w:szCs w:val="20"/>
          <w:color w:val="auto"/>
        </w:rPr>
        <w:tab/>
      </w:r>
      <w:r>
        <w:rPr>
          <w:rFonts w:ascii="Courier New" w:cs="Courier New" w:eastAsia="Courier New" w:hAnsi="Courier New"/>
          <w:sz w:val="14"/>
          <w:szCs w:val="14"/>
          <w:color w:val="auto"/>
        </w:rPr>
        <w:t>17</w:t>
      </w:r>
    </w:p>
    <w:p>
      <w:pPr>
        <w:spacing w:after="0"/>
        <w:tabs>
          <w:tab w:leader="none" w:pos="1280" w:val="left"/>
          <w:tab w:leader="dot" w:pos="7240" w:val="left"/>
        </w:tabs>
        <w:rPr>
          <w:sz w:val="20"/>
          <w:szCs w:val="20"/>
          <w:color w:val="auto"/>
        </w:rPr>
      </w:pPr>
      <w:r>
        <w:rPr>
          <w:rFonts w:ascii="Courier New" w:cs="Courier New" w:eastAsia="Courier New" w:hAnsi="Courier New"/>
          <w:sz w:val="16"/>
          <w:szCs w:val="16"/>
          <w:color w:val="auto"/>
        </w:rPr>
        <w:t>Section 114.</w:t>
        <w:tab/>
        <w:t>No Recourse against Others</w:t>
      </w:r>
      <w:r>
        <w:rPr>
          <w:sz w:val="20"/>
          <w:szCs w:val="20"/>
          <w:color w:val="auto"/>
        </w:rPr>
        <w:tab/>
      </w:r>
      <w:r>
        <w:rPr>
          <w:rFonts w:ascii="Courier New" w:cs="Courier New" w:eastAsia="Courier New" w:hAnsi="Courier New"/>
          <w:sz w:val="14"/>
          <w:szCs w:val="14"/>
          <w:color w:val="auto"/>
        </w:rPr>
        <w:t>17</w:t>
      </w:r>
    </w:p>
    <w:p>
      <w:pPr>
        <w:spacing w:after="0"/>
        <w:tabs>
          <w:tab w:leader="none" w:pos="1280" w:val="left"/>
          <w:tab w:leader="dot" w:pos="7240" w:val="left"/>
        </w:tabs>
        <w:rPr>
          <w:sz w:val="20"/>
          <w:szCs w:val="20"/>
          <w:color w:val="auto"/>
        </w:rPr>
      </w:pPr>
      <w:r>
        <w:rPr>
          <w:rFonts w:ascii="Courier New" w:cs="Courier New" w:eastAsia="Courier New" w:hAnsi="Courier New"/>
          <w:sz w:val="16"/>
          <w:szCs w:val="16"/>
          <w:color w:val="auto"/>
        </w:rPr>
        <w:t>Section 115.</w:t>
        <w:tab/>
        <w:t>Waiver of Trial by Jury</w:t>
      </w:r>
      <w:r>
        <w:rPr>
          <w:sz w:val="20"/>
          <w:szCs w:val="20"/>
          <w:color w:val="auto"/>
        </w:rPr>
        <w:tab/>
      </w:r>
      <w:r>
        <w:rPr>
          <w:rFonts w:ascii="Courier New" w:cs="Courier New" w:eastAsia="Courier New" w:hAnsi="Courier New"/>
          <w:sz w:val="14"/>
          <w:szCs w:val="14"/>
          <w:color w:val="auto"/>
        </w:rPr>
        <w:t>18</w:t>
      </w:r>
    </w:p>
    <w:p>
      <w:pPr>
        <w:spacing w:after="0" w:line="17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Article Two</w:t>
      </w:r>
    </w:p>
    <w:p>
      <w:pPr>
        <w:ind w:left="2980"/>
        <w:spacing w:after="0" w:line="236" w:lineRule="auto"/>
        <w:rPr>
          <w:sz w:val="20"/>
          <w:szCs w:val="20"/>
          <w:color w:val="auto"/>
        </w:rPr>
      </w:pPr>
      <w:r>
        <w:rPr>
          <w:rFonts w:ascii="Courier New" w:cs="Courier New" w:eastAsia="Courier New" w:hAnsi="Courier New"/>
          <w:sz w:val="16"/>
          <w:szCs w:val="16"/>
          <w:color w:val="auto"/>
        </w:rPr>
        <w:t>SECURITIES FORMS</w:t>
      </w:r>
    </w:p>
    <w:p>
      <w:pPr>
        <w:spacing w:after="0" w:line="177" w:lineRule="exact"/>
        <w:rPr>
          <w:sz w:val="20"/>
          <w:szCs w:val="20"/>
          <w:color w:val="auto"/>
        </w:rPr>
      </w:pPr>
    </w:p>
    <w:p>
      <w:pPr>
        <w:spacing w:after="0"/>
        <w:tabs>
          <w:tab w:leader="none" w:pos="1280" w:val="left"/>
          <w:tab w:leader="dot" w:pos="7240" w:val="left"/>
        </w:tabs>
        <w:rPr>
          <w:sz w:val="20"/>
          <w:szCs w:val="20"/>
          <w:color w:val="auto"/>
        </w:rPr>
      </w:pPr>
      <w:r>
        <w:rPr>
          <w:rFonts w:ascii="Courier New" w:cs="Courier New" w:eastAsia="Courier New" w:hAnsi="Courier New"/>
          <w:sz w:val="16"/>
          <w:szCs w:val="16"/>
          <w:color w:val="auto"/>
        </w:rPr>
        <w:t>Section 201.</w:t>
        <w:tab/>
        <w:t>Forms of Securities</w:t>
      </w:r>
      <w:r>
        <w:rPr>
          <w:sz w:val="20"/>
          <w:szCs w:val="20"/>
          <w:color w:val="auto"/>
        </w:rPr>
        <w:tab/>
      </w:r>
      <w:r>
        <w:rPr>
          <w:rFonts w:ascii="Courier New" w:cs="Courier New" w:eastAsia="Courier New" w:hAnsi="Courier New"/>
          <w:sz w:val="14"/>
          <w:szCs w:val="14"/>
          <w:color w:val="auto"/>
        </w:rPr>
        <w:t>18</w:t>
      </w:r>
    </w:p>
    <w:p>
      <w:pPr>
        <w:spacing w:after="0"/>
        <w:tabs>
          <w:tab w:leader="none" w:pos="1280" w:val="left"/>
          <w:tab w:leader="dot" w:pos="7240" w:val="left"/>
        </w:tabs>
        <w:rPr>
          <w:sz w:val="20"/>
          <w:szCs w:val="20"/>
          <w:color w:val="auto"/>
        </w:rPr>
      </w:pPr>
      <w:r>
        <w:rPr>
          <w:rFonts w:ascii="Courier New" w:cs="Courier New" w:eastAsia="Courier New" w:hAnsi="Courier New"/>
          <w:sz w:val="16"/>
          <w:szCs w:val="16"/>
          <w:color w:val="auto"/>
        </w:rPr>
        <w:t>Section 202.</w:t>
        <w:tab/>
        <w:t>Form of Trustee's Certificate of Authentication</w:t>
      </w:r>
      <w:r>
        <w:rPr>
          <w:sz w:val="20"/>
          <w:szCs w:val="20"/>
          <w:color w:val="auto"/>
        </w:rPr>
        <w:tab/>
      </w:r>
      <w:r>
        <w:rPr>
          <w:rFonts w:ascii="Courier New" w:cs="Courier New" w:eastAsia="Courier New" w:hAnsi="Courier New"/>
          <w:sz w:val="14"/>
          <w:szCs w:val="14"/>
          <w:color w:val="auto"/>
        </w:rPr>
        <w:t>18</w:t>
      </w:r>
    </w:p>
    <w:p>
      <w:pPr>
        <w:spacing w:after="0"/>
        <w:tabs>
          <w:tab w:leader="none" w:pos="1280" w:val="left"/>
          <w:tab w:leader="dot" w:pos="7240" w:val="left"/>
        </w:tabs>
        <w:rPr>
          <w:sz w:val="20"/>
          <w:szCs w:val="20"/>
          <w:color w:val="auto"/>
        </w:rPr>
      </w:pPr>
      <w:r>
        <w:rPr>
          <w:rFonts w:ascii="Courier New" w:cs="Courier New" w:eastAsia="Courier New" w:hAnsi="Courier New"/>
          <w:sz w:val="16"/>
          <w:szCs w:val="16"/>
          <w:color w:val="auto"/>
        </w:rPr>
        <w:t>Section 203.</w:t>
        <w:tab/>
        <w:t>Securities Issuable in Global Form</w:t>
      </w:r>
      <w:r>
        <w:rPr>
          <w:sz w:val="20"/>
          <w:szCs w:val="20"/>
          <w:color w:val="auto"/>
        </w:rPr>
        <w:tab/>
      </w:r>
      <w:r>
        <w:rPr>
          <w:rFonts w:ascii="Courier New" w:cs="Courier New" w:eastAsia="Courier New" w:hAnsi="Courier New"/>
          <w:sz w:val="14"/>
          <w:szCs w:val="14"/>
          <w:color w:val="auto"/>
        </w:rPr>
        <w:t>19</w:t>
      </w:r>
    </w:p>
    <w:p>
      <w:pPr>
        <w:spacing w:after="0"/>
        <w:tabs>
          <w:tab w:leader="none" w:pos="1280" w:val="left"/>
          <w:tab w:leader="dot" w:pos="7240" w:val="left"/>
        </w:tabs>
        <w:rPr>
          <w:sz w:val="20"/>
          <w:szCs w:val="20"/>
          <w:color w:val="auto"/>
        </w:rPr>
      </w:pPr>
      <w:r>
        <w:rPr>
          <w:rFonts w:ascii="Courier New" w:cs="Courier New" w:eastAsia="Courier New" w:hAnsi="Courier New"/>
          <w:sz w:val="16"/>
          <w:szCs w:val="16"/>
          <w:color w:val="auto"/>
        </w:rPr>
        <w:t>Section 204.</w:t>
        <w:tab/>
        <w:t>Form of Legend for Book-Entry Securities</w:t>
      </w:r>
      <w:r>
        <w:rPr>
          <w:sz w:val="20"/>
          <w:szCs w:val="20"/>
          <w:color w:val="auto"/>
        </w:rPr>
        <w:tab/>
      </w:r>
      <w:r>
        <w:rPr>
          <w:rFonts w:ascii="Courier New" w:cs="Courier New" w:eastAsia="Courier New" w:hAnsi="Courier New"/>
          <w:sz w:val="14"/>
          <w:szCs w:val="14"/>
          <w:color w:val="auto"/>
        </w:rPr>
        <w:t>20</w:t>
      </w:r>
    </w:p>
    <w:p>
      <w:pPr>
        <w:spacing w:after="0" w:line="17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Article Three</w:t>
      </w:r>
    </w:p>
    <w:p>
      <w:pPr>
        <w:ind w:left="3060"/>
        <w:spacing w:after="0" w:line="236" w:lineRule="auto"/>
        <w:rPr>
          <w:sz w:val="20"/>
          <w:szCs w:val="20"/>
          <w:color w:val="auto"/>
        </w:rPr>
      </w:pPr>
      <w:r>
        <w:rPr>
          <w:rFonts w:ascii="Courier New" w:cs="Courier New" w:eastAsia="Courier New" w:hAnsi="Courier New"/>
          <w:sz w:val="16"/>
          <w:szCs w:val="16"/>
          <w:color w:val="auto"/>
        </w:rPr>
        <w:t>THE SECURITIES</w:t>
      </w:r>
    </w:p>
    <w:p>
      <w:pPr>
        <w:spacing w:after="0" w:line="177" w:lineRule="exact"/>
        <w:rPr>
          <w:sz w:val="20"/>
          <w:szCs w:val="20"/>
          <w:color w:val="auto"/>
        </w:rPr>
      </w:pPr>
    </w:p>
    <w:p>
      <w:pPr>
        <w:spacing w:after="0"/>
        <w:tabs>
          <w:tab w:leader="none" w:pos="1280" w:val="left"/>
          <w:tab w:leader="dot" w:pos="7240" w:val="left"/>
        </w:tabs>
        <w:rPr>
          <w:sz w:val="20"/>
          <w:szCs w:val="20"/>
          <w:color w:val="auto"/>
        </w:rPr>
      </w:pPr>
      <w:r>
        <w:rPr>
          <w:rFonts w:ascii="Courier New" w:cs="Courier New" w:eastAsia="Courier New" w:hAnsi="Courier New"/>
          <w:sz w:val="16"/>
          <w:szCs w:val="16"/>
          <w:color w:val="auto"/>
        </w:rPr>
        <w:t>Section 301.</w:t>
        <w:tab/>
        <w:t>Amount Unlimited; Issuable in Series</w:t>
      </w:r>
      <w:r>
        <w:rPr>
          <w:sz w:val="20"/>
          <w:szCs w:val="20"/>
          <w:color w:val="auto"/>
        </w:rPr>
        <w:tab/>
      </w:r>
      <w:r>
        <w:rPr>
          <w:rFonts w:ascii="Courier New" w:cs="Courier New" w:eastAsia="Courier New" w:hAnsi="Courier New"/>
          <w:sz w:val="14"/>
          <w:szCs w:val="14"/>
          <w:color w:val="auto"/>
        </w:rPr>
        <w:t>20</w:t>
      </w:r>
    </w:p>
    <w:p>
      <w:pPr>
        <w:spacing w:after="0"/>
        <w:tabs>
          <w:tab w:leader="none" w:pos="1280" w:val="left"/>
          <w:tab w:leader="dot" w:pos="7240" w:val="left"/>
        </w:tabs>
        <w:rPr>
          <w:sz w:val="20"/>
          <w:szCs w:val="20"/>
          <w:color w:val="auto"/>
        </w:rPr>
      </w:pPr>
      <w:r>
        <w:rPr>
          <w:rFonts w:ascii="Courier New" w:cs="Courier New" w:eastAsia="Courier New" w:hAnsi="Courier New"/>
          <w:sz w:val="16"/>
          <w:szCs w:val="16"/>
          <w:color w:val="auto"/>
        </w:rPr>
        <w:t>Section 302.</w:t>
        <w:tab/>
        <w:t>Denominations</w:t>
      </w:r>
      <w:r>
        <w:rPr>
          <w:sz w:val="20"/>
          <w:szCs w:val="20"/>
          <w:color w:val="auto"/>
        </w:rPr>
        <w:tab/>
      </w:r>
      <w:r>
        <w:rPr>
          <w:rFonts w:ascii="Courier New" w:cs="Courier New" w:eastAsia="Courier New" w:hAnsi="Courier New"/>
          <w:sz w:val="14"/>
          <w:szCs w:val="14"/>
          <w:color w:val="auto"/>
        </w:rPr>
        <w:t>25</w:t>
      </w:r>
    </w:p>
    <w:p>
      <w:pPr>
        <w:spacing w:after="0"/>
        <w:tabs>
          <w:tab w:leader="none" w:pos="1280" w:val="left"/>
          <w:tab w:leader="dot" w:pos="7240" w:val="left"/>
        </w:tabs>
        <w:rPr>
          <w:sz w:val="20"/>
          <w:szCs w:val="20"/>
          <w:color w:val="auto"/>
        </w:rPr>
      </w:pPr>
      <w:r>
        <w:rPr>
          <w:rFonts w:ascii="Courier New" w:cs="Courier New" w:eastAsia="Courier New" w:hAnsi="Courier New"/>
          <w:sz w:val="16"/>
          <w:szCs w:val="16"/>
          <w:color w:val="auto"/>
        </w:rPr>
        <w:t>Section 303.</w:t>
        <w:tab/>
        <w:t>Execution, Authentication, Delivery and Dating</w:t>
      </w:r>
      <w:r>
        <w:rPr>
          <w:sz w:val="20"/>
          <w:szCs w:val="20"/>
          <w:color w:val="auto"/>
        </w:rPr>
        <w:tab/>
      </w:r>
      <w:r>
        <w:rPr>
          <w:rFonts w:ascii="Courier New" w:cs="Courier New" w:eastAsia="Courier New" w:hAnsi="Courier New"/>
          <w:sz w:val="14"/>
          <w:szCs w:val="14"/>
          <w:color w:val="auto"/>
        </w:rPr>
        <w:t>25</w:t>
      </w:r>
    </w:p>
    <w:p>
      <w:pPr>
        <w:spacing w:after="0"/>
        <w:tabs>
          <w:tab w:leader="none" w:pos="1280" w:val="left"/>
          <w:tab w:leader="dot" w:pos="7240" w:val="left"/>
        </w:tabs>
        <w:rPr>
          <w:sz w:val="20"/>
          <w:szCs w:val="20"/>
          <w:color w:val="auto"/>
        </w:rPr>
      </w:pPr>
      <w:r>
        <w:rPr>
          <w:rFonts w:ascii="Courier New" w:cs="Courier New" w:eastAsia="Courier New" w:hAnsi="Courier New"/>
          <w:sz w:val="16"/>
          <w:szCs w:val="16"/>
          <w:color w:val="auto"/>
        </w:rPr>
        <w:t>Section 304.</w:t>
        <w:tab/>
        <w:t>Temporary Securities</w:t>
      </w:r>
      <w:r>
        <w:rPr>
          <w:sz w:val="20"/>
          <w:szCs w:val="20"/>
          <w:color w:val="auto"/>
        </w:rPr>
        <w:tab/>
      </w:r>
      <w:r>
        <w:rPr>
          <w:rFonts w:ascii="Courier New" w:cs="Courier New" w:eastAsia="Courier New" w:hAnsi="Courier New"/>
          <w:sz w:val="14"/>
          <w:szCs w:val="14"/>
          <w:color w:val="auto"/>
        </w:rPr>
        <w:t>28</w:t>
      </w:r>
    </w:p>
    <w:p>
      <w:pPr>
        <w:spacing w:after="0"/>
        <w:tabs>
          <w:tab w:leader="none" w:pos="1280" w:val="left"/>
          <w:tab w:leader="dot" w:pos="7240" w:val="left"/>
        </w:tabs>
        <w:rPr>
          <w:sz w:val="20"/>
          <w:szCs w:val="20"/>
          <w:color w:val="auto"/>
        </w:rPr>
      </w:pPr>
      <w:r>
        <w:rPr>
          <w:rFonts w:ascii="Courier New" w:cs="Courier New" w:eastAsia="Courier New" w:hAnsi="Courier New"/>
          <w:sz w:val="16"/>
          <w:szCs w:val="16"/>
          <w:color w:val="auto"/>
        </w:rPr>
        <w:t>Section 305.</w:t>
        <w:tab/>
        <w:t>Registration, Registration of Transfer and Exchange</w:t>
      </w:r>
      <w:r>
        <w:rPr>
          <w:sz w:val="20"/>
          <w:szCs w:val="20"/>
          <w:color w:val="auto"/>
        </w:rPr>
        <w:tab/>
      </w:r>
      <w:r>
        <w:rPr>
          <w:rFonts w:ascii="Courier New" w:cs="Courier New" w:eastAsia="Courier New" w:hAnsi="Courier New"/>
          <w:sz w:val="14"/>
          <w:szCs w:val="14"/>
          <w:color w:val="auto"/>
        </w:rPr>
        <w:t>30</w:t>
      </w:r>
    </w:p>
    <w:p>
      <w:pPr>
        <w:spacing w:after="0"/>
        <w:tabs>
          <w:tab w:leader="none" w:pos="1280" w:val="left"/>
          <w:tab w:leader="dot" w:pos="7240" w:val="left"/>
        </w:tabs>
        <w:rPr>
          <w:sz w:val="20"/>
          <w:szCs w:val="20"/>
          <w:color w:val="auto"/>
        </w:rPr>
      </w:pPr>
      <w:r>
        <w:rPr>
          <w:rFonts w:ascii="Courier New" w:cs="Courier New" w:eastAsia="Courier New" w:hAnsi="Courier New"/>
          <w:sz w:val="16"/>
          <w:szCs w:val="16"/>
          <w:color w:val="auto"/>
        </w:rPr>
        <w:t>Section 306.</w:t>
        <w:tab/>
        <w:t>Mutilated, Destroyed, Lost and Stolen Securities</w:t>
      </w:r>
      <w:r>
        <w:rPr>
          <w:sz w:val="20"/>
          <w:szCs w:val="20"/>
          <w:color w:val="auto"/>
        </w:rPr>
        <w:tab/>
      </w:r>
      <w:r>
        <w:rPr>
          <w:rFonts w:ascii="Courier New" w:cs="Courier New" w:eastAsia="Courier New" w:hAnsi="Courier New"/>
          <w:sz w:val="14"/>
          <w:szCs w:val="14"/>
          <w:color w:val="auto"/>
        </w:rPr>
        <w:t>34</w:t>
      </w:r>
    </w:p>
    <w:p>
      <w:pPr>
        <w:spacing w:after="0"/>
        <w:tabs>
          <w:tab w:leader="none" w:pos="1280" w:val="left"/>
        </w:tabs>
        <w:rPr>
          <w:sz w:val="20"/>
          <w:szCs w:val="20"/>
          <w:color w:val="auto"/>
        </w:rPr>
      </w:pPr>
      <w:r>
        <w:rPr>
          <w:rFonts w:ascii="Courier New" w:cs="Courier New" w:eastAsia="Courier New" w:hAnsi="Courier New"/>
          <w:sz w:val="16"/>
          <w:szCs w:val="16"/>
          <w:color w:val="auto"/>
        </w:rPr>
        <w:t>Section 307.</w:t>
      </w:r>
      <w:r>
        <w:rPr>
          <w:sz w:val="20"/>
          <w:szCs w:val="20"/>
          <w:color w:val="auto"/>
        </w:rPr>
        <w:tab/>
      </w:r>
      <w:r>
        <w:rPr>
          <w:rFonts w:ascii="Courier New" w:cs="Courier New" w:eastAsia="Courier New" w:hAnsi="Courier New"/>
          <w:sz w:val="14"/>
          <w:szCs w:val="14"/>
          <w:color w:val="auto"/>
        </w:rPr>
        <w:t>Payment of Interest; Interest Rights Preserved;</w:t>
      </w:r>
    </w:p>
    <w:p>
      <w:pPr>
        <w:jc w:val="right"/>
        <w:ind w:right="2779"/>
        <w:spacing w:after="0"/>
        <w:tabs>
          <w:tab w:leader="dot" w:pos="160" w:val="left"/>
        </w:tabs>
        <w:rPr>
          <w:sz w:val="20"/>
          <w:szCs w:val="20"/>
          <w:color w:val="auto"/>
        </w:rPr>
      </w:pPr>
      <w:r>
        <w:rPr>
          <w:rFonts w:ascii="Courier New" w:cs="Courier New" w:eastAsia="Courier New" w:hAnsi="Courier New"/>
          <w:sz w:val="16"/>
          <w:szCs w:val="16"/>
          <w:color w:val="auto"/>
        </w:rPr>
        <w:t>Optional Interest Reset</w:t>
      </w:r>
      <w:r>
        <w:rPr>
          <w:sz w:val="20"/>
          <w:szCs w:val="20"/>
          <w:color w:val="auto"/>
        </w:rPr>
        <w:tab/>
      </w:r>
      <w:r>
        <w:rPr>
          <w:rFonts w:ascii="Courier New" w:cs="Courier New" w:eastAsia="Courier New" w:hAnsi="Courier New"/>
          <w:sz w:val="14"/>
          <w:szCs w:val="14"/>
          <w:color w:val="auto"/>
        </w:rPr>
        <w:t>35</w:t>
      </w:r>
    </w:p>
    <w:p>
      <w:pPr>
        <w:spacing w:after="0"/>
        <w:tabs>
          <w:tab w:leader="none" w:pos="1280" w:val="left"/>
          <w:tab w:leader="dot" w:pos="7240" w:val="left"/>
        </w:tabs>
        <w:rPr>
          <w:sz w:val="20"/>
          <w:szCs w:val="20"/>
          <w:color w:val="auto"/>
        </w:rPr>
      </w:pPr>
      <w:r>
        <w:rPr>
          <w:rFonts w:ascii="Courier New" w:cs="Courier New" w:eastAsia="Courier New" w:hAnsi="Courier New"/>
          <w:sz w:val="16"/>
          <w:szCs w:val="16"/>
          <w:color w:val="auto"/>
        </w:rPr>
        <w:t>Section 308.</w:t>
        <w:tab/>
        <w:t>Optional Extension of Maturity</w:t>
      </w:r>
      <w:r>
        <w:rPr>
          <w:sz w:val="20"/>
          <w:szCs w:val="20"/>
          <w:color w:val="auto"/>
        </w:rPr>
        <w:tab/>
      </w:r>
      <w:r>
        <w:rPr>
          <w:rFonts w:ascii="Courier New" w:cs="Courier New" w:eastAsia="Courier New" w:hAnsi="Courier New"/>
          <w:sz w:val="14"/>
          <w:szCs w:val="14"/>
          <w:color w:val="auto"/>
        </w:rPr>
        <w:t>38</w:t>
      </w:r>
    </w:p>
    <w:p>
      <w:pPr>
        <w:spacing w:after="0"/>
        <w:tabs>
          <w:tab w:leader="none" w:pos="1280" w:val="left"/>
          <w:tab w:leader="dot" w:pos="7240" w:val="left"/>
        </w:tabs>
        <w:rPr>
          <w:sz w:val="20"/>
          <w:szCs w:val="20"/>
          <w:color w:val="auto"/>
        </w:rPr>
      </w:pPr>
      <w:r>
        <w:rPr>
          <w:rFonts w:ascii="Courier New" w:cs="Courier New" w:eastAsia="Courier New" w:hAnsi="Courier New"/>
          <w:sz w:val="16"/>
          <w:szCs w:val="16"/>
          <w:color w:val="auto"/>
        </w:rPr>
        <w:t>Section 309.</w:t>
        <w:tab/>
        <w:t>Persons Deemed Owners</w:t>
      </w:r>
      <w:r>
        <w:rPr>
          <w:sz w:val="20"/>
          <w:szCs w:val="20"/>
          <w:color w:val="auto"/>
        </w:rPr>
        <w:tab/>
      </w:r>
      <w:r>
        <w:rPr>
          <w:rFonts w:ascii="Courier New" w:cs="Courier New" w:eastAsia="Courier New" w:hAnsi="Courier New"/>
          <w:sz w:val="14"/>
          <w:szCs w:val="14"/>
          <w:color w:val="auto"/>
        </w:rPr>
        <w:t>39</w:t>
      </w:r>
    </w:p>
    <w:p>
      <w:pPr>
        <w:spacing w:after="0"/>
        <w:tabs>
          <w:tab w:leader="none" w:pos="1280" w:val="left"/>
          <w:tab w:leader="dot" w:pos="7240" w:val="left"/>
        </w:tabs>
        <w:rPr>
          <w:sz w:val="20"/>
          <w:szCs w:val="20"/>
          <w:color w:val="auto"/>
        </w:rPr>
      </w:pPr>
      <w:r>
        <w:rPr>
          <w:rFonts w:ascii="Courier New" w:cs="Courier New" w:eastAsia="Courier New" w:hAnsi="Courier New"/>
          <w:sz w:val="16"/>
          <w:szCs w:val="16"/>
          <w:color w:val="auto"/>
        </w:rPr>
        <w:t>Section 310.</w:t>
        <w:tab/>
        <w:t>Cancellation</w:t>
      </w:r>
      <w:r>
        <w:rPr>
          <w:sz w:val="20"/>
          <w:szCs w:val="20"/>
          <w:color w:val="auto"/>
        </w:rPr>
        <w:tab/>
      </w:r>
      <w:r>
        <w:rPr>
          <w:rFonts w:ascii="Courier New" w:cs="Courier New" w:eastAsia="Courier New" w:hAnsi="Courier New"/>
          <w:sz w:val="14"/>
          <w:szCs w:val="14"/>
          <w:color w:val="auto"/>
        </w:rPr>
        <w:t>40</w:t>
      </w:r>
    </w:p>
    <w:p>
      <w:pPr>
        <w:spacing w:after="0"/>
        <w:tabs>
          <w:tab w:leader="none" w:pos="1280" w:val="left"/>
          <w:tab w:leader="dot" w:pos="7240" w:val="left"/>
        </w:tabs>
        <w:rPr>
          <w:sz w:val="20"/>
          <w:szCs w:val="20"/>
          <w:color w:val="auto"/>
        </w:rPr>
      </w:pPr>
      <w:r>
        <w:rPr>
          <w:rFonts w:ascii="Courier New" w:cs="Courier New" w:eastAsia="Courier New" w:hAnsi="Courier New"/>
          <w:sz w:val="16"/>
          <w:szCs w:val="16"/>
          <w:color w:val="auto"/>
        </w:rPr>
        <w:t>Section 311.</w:t>
        <w:tab/>
        <w:t>Computation of Interest</w:t>
      </w:r>
      <w:r>
        <w:rPr>
          <w:sz w:val="20"/>
          <w:szCs w:val="20"/>
          <w:color w:val="auto"/>
        </w:rPr>
        <w:tab/>
      </w:r>
      <w:r>
        <w:rPr>
          <w:rFonts w:ascii="Courier New" w:cs="Courier New" w:eastAsia="Courier New" w:hAnsi="Courier New"/>
          <w:sz w:val="14"/>
          <w:szCs w:val="14"/>
          <w:color w:val="auto"/>
        </w:rPr>
        <w:t>40</w:t>
      </w:r>
    </w:p>
    <w:p>
      <w:pPr>
        <w:spacing w:after="0"/>
        <w:tabs>
          <w:tab w:leader="none" w:pos="1280" w:val="left"/>
        </w:tabs>
        <w:rPr>
          <w:sz w:val="20"/>
          <w:szCs w:val="20"/>
          <w:color w:val="auto"/>
        </w:rPr>
      </w:pPr>
      <w:r>
        <w:rPr>
          <w:rFonts w:ascii="Courier New" w:cs="Courier New" w:eastAsia="Courier New" w:hAnsi="Courier New"/>
          <w:sz w:val="16"/>
          <w:szCs w:val="16"/>
          <w:color w:val="auto"/>
        </w:rPr>
        <w:t>Section 312.</w:t>
      </w:r>
      <w:r>
        <w:rPr>
          <w:sz w:val="20"/>
          <w:szCs w:val="20"/>
          <w:color w:val="auto"/>
        </w:rPr>
        <w:tab/>
      </w:r>
      <w:r>
        <w:rPr>
          <w:rFonts w:ascii="Courier New" w:cs="Courier New" w:eastAsia="Courier New" w:hAnsi="Courier New"/>
          <w:sz w:val="14"/>
          <w:szCs w:val="14"/>
          <w:color w:val="auto"/>
        </w:rPr>
        <w:t>Currency and Manner of Payments in Respect</w:t>
      </w:r>
    </w:p>
    <w:p>
      <w:pPr>
        <w:jc w:val="right"/>
        <w:ind w:right="2779"/>
        <w:spacing w:after="0"/>
        <w:tabs>
          <w:tab w:leader="dot" w:pos="160" w:val="left"/>
        </w:tabs>
        <w:rPr>
          <w:sz w:val="20"/>
          <w:szCs w:val="20"/>
          <w:color w:val="auto"/>
        </w:rPr>
      </w:pPr>
      <w:r>
        <w:rPr>
          <w:rFonts w:ascii="Courier New" w:cs="Courier New" w:eastAsia="Courier New" w:hAnsi="Courier New"/>
          <w:sz w:val="16"/>
          <w:szCs w:val="16"/>
          <w:color w:val="auto"/>
        </w:rPr>
        <w:t>of Securities</w:t>
      </w:r>
      <w:r>
        <w:rPr>
          <w:sz w:val="20"/>
          <w:szCs w:val="20"/>
          <w:color w:val="auto"/>
        </w:rPr>
        <w:tab/>
      </w:r>
      <w:r>
        <w:rPr>
          <w:rFonts w:ascii="Courier New" w:cs="Courier New" w:eastAsia="Courier New" w:hAnsi="Courier New"/>
          <w:sz w:val="14"/>
          <w:szCs w:val="14"/>
          <w:color w:val="auto"/>
        </w:rPr>
        <w:t>40</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219"/>
          </w:cols>
          <w:pgMar w:left="240" w:top="649" w:right="1440" w:bottom="1440" w:gutter="0" w:footer="0" w:header="0"/>
        </w:sectPr>
      </w:pPr>
    </w:p>
    <w:bookmarkStart w:id="175" w:name="page176"/>
    <w:bookmarkEnd w:id="175"/>
    <w:p>
      <w:pPr>
        <w:spacing w:after="0"/>
        <w:tabs>
          <w:tab w:leader="none" w:pos="1280" w:val="left"/>
        </w:tabs>
        <w:rPr>
          <w:sz w:val="20"/>
          <w:szCs w:val="20"/>
          <w:color w:val="auto"/>
        </w:rPr>
      </w:pPr>
      <w:r>
        <w:rPr>
          <w:rFonts w:ascii="Courier New" w:cs="Courier New" w:eastAsia="Courier New" w:hAnsi="Courier New"/>
          <w:sz w:val="16"/>
          <w:szCs w:val="16"/>
          <w:color w:val="auto"/>
        </w:rPr>
        <w:t>Section 313.</w:t>
      </w:r>
      <w:r>
        <w:rPr>
          <w:sz w:val="20"/>
          <w:szCs w:val="20"/>
          <w:color w:val="auto"/>
        </w:rPr>
        <w:tab/>
      </w:r>
      <w:r>
        <w:rPr>
          <w:rFonts w:ascii="Courier New" w:cs="Courier New" w:eastAsia="Courier New" w:hAnsi="Courier New"/>
          <w:sz w:val="14"/>
          <w:szCs w:val="14"/>
          <w:color w:val="auto"/>
        </w:rPr>
        <w:t>Appointment and Resignation of Successor Exchange</w:t>
      </w:r>
    </w:p>
    <w:p>
      <w:pPr>
        <w:jc w:val="right"/>
        <w:ind w:right="2779"/>
        <w:spacing w:after="0"/>
        <w:tabs>
          <w:tab w:leader="dot" w:pos="160" w:val="left"/>
        </w:tabs>
        <w:rPr>
          <w:sz w:val="20"/>
          <w:szCs w:val="20"/>
          <w:color w:val="auto"/>
        </w:rPr>
      </w:pPr>
      <w:r>
        <w:rPr>
          <w:rFonts w:ascii="Courier New" w:cs="Courier New" w:eastAsia="Courier New" w:hAnsi="Courier New"/>
          <w:sz w:val="16"/>
          <w:szCs w:val="16"/>
          <w:color w:val="auto"/>
        </w:rPr>
        <w:t>Rate Agent</w:t>
      </w:r>
      <w:r>
        <w:rPr>
          <w:sz w:val="20"/>
          <w:szCs w:val="20"/>
          <w:color w:val="auto"/>
        </w:rPr>
        <w:tab/>
      </w:r>
      <w:r>
        <w:rPr>
          <w:rFonts w:ascii="Courier New" w:cs="Courier New" w:eastAsia="Courier New" w:hAnsi="Courier New"/>
          <w:sz w:val="14"/>
          <w:szCs w:val="14"/>
          <w:color w:val="auto"/>
        </w:rPr>
        <w:t>44</w:t>
      </w:r>
    </w:p>
    <w:p>
      <w:pPr>
        <w:spacing w:after="0"/>
        <w:tabs>
          <w:tab w:leader="none" w:pos="1280" w:val="left"/>
          <w:tab w:leader="dot" w:pos="7240" w:val="left"/>
        </w:tabs>
        <w:rPr>
          <w:sz w:val="20"/>
          <w:szCs w:val="20"/>
          <w:color w:val="auto"/>
        </w:rPr>
      </w:pPr>
      <w:r>
        <w:rPr>
          <w:rFonts w:ascii="Courier New" w:cs="Courier New" w:eastAsia="Courier New" w:hAnsi="Courier New"/>
          <w:sz w:val="16"/>
          <w:szCs w:val="16"/>
          <w:color w:val="auto"/>
        </w:rPr>
        <w:t>Section 314.</w:t>
        <w:tab/>
        <w:t>CUSIP Numbers</w:t>
      </w:r>
      <w:r>
        <w:rPr>
          <w:sz w:val="20"/>
          <w:szCs w:val="20"/>
          <w:color w:val="auto"/>
        </w:rPr>
        <w:tab/>
      </w:r>
      <w:r>
        <w:rPr>
          <w:rFonts w:ascii="Courier New" w:cs="Courier New" w:eastAsia="Courier New" w:hAnsi="Courier New"/>
          <w:sz w:val="14"/>
          <w:szCs w:val="14"/>
          <w:color w:val="auto"/>
        </w:rPr>
        <w:t>45</w:t>
      </w:r>
    </w:p>
    <w:p>
      <w:pPr>
        <w:spacing w:after="0" w:line="17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Article Four</w:t>
      </w:r>
    </w:p>
    <w:p>
      <w:pPr>
        <w:ind w:left="2500"/>
        <w:spacing w:after="0" w:line="236" w:lineRule="auto"/>
        <w:rPr>
          <w:sz w:val="20"/>
          <w:szCs w:val="20"/>
          <w:color w:val="auto"/>
        </w:rPr>
      </w:pPr>
      <w:r>
        <w:rPr>
          <w:rFonts w:ascii="Courier New" w:cs="Courier New" w:eastAsia="Courier New" w:hAnsi="Courier New"/>
          <w:sz w:val="16"/>
          <w:szCs w:val="16"/>
          <w:color w:val="auto"/>
        </w:rPr>
        <w:t>SATISFACTION AND DISCHARGE</w:t>
      </w:r>
    </w:p>
    <w:p>
      <w:pPr>
        <w:spacing w:after="0" w:line="177" w:lineRule="exact"/>
        <w:rPr>
          <w:sz w:val="20"/>
          <w:szCs w:val="20"/>
          <w:color w:val="auto"/>
        </w:rPr>
      </w:pPr>
    </w:p>
    <w:p>
      <w:pPr>
        <w:spacing w:after="0"/>
        <w:tabs>
          <w:tab w:leader="none" w:pos="1280" w:val="left"/>
          <w:tab w:leader="dot" w:pos="7240" w:val="left"/>
        </w:tabs>
        <w:rPr>
          <w:sz w:val="20"/>
          <w:szCs w:val="20"/>
          <w:color w:val="auto"/>
        </w:rPr>
      </w:pPr>
      <w:r>
        <w:rPr>
          <w:rFonts w:ascii="Courier New" w:cs="Courier New" w:eastAsia="Courier New" w:hAnsi="Courier New"/>
          <w:sz w:val="16"/>
          <w:szCs w:val="16"/>
          <w:color w:val="auto"/>
        </w:rPr>
        <w:t>Section 401.</w:t>
        <w:tab/>
        <w:t>Satisfaction and Discharge of Indenture</w:t>
      </w:r>
      <w:r>
        <w:rPr>
          <w:sz w:val="20"/>
          <w:szCs w:val="20"/>
          <w:color w:val="auto"/>
        </w:rPr>
        <w:tab/>
      </w:r>
      <w:r>
        <w:rPr>
          <w:rFonts w:ascii="Courier New" w:cs="Courier New" w:eastAsia="Courier New" w:hAnsi="Courier New"/>
          <w:sz w:val="14"/>
          <w:szCs w:val="14"/>
          <w:color w:val="auto"/>
        </w:rPr>
        <w:t>45</w:t>
      </w:r>
    </w:p>
    <w:p>
      <w:pPr>
        <w:spacing w:after="0"/>
        <w:tabs>
          <w:tab w:leader="none" w:pos="1280" w:val="left"/>
          <w:tab w:leader="dot" w:pos="7240" w:val="left"/>
        </w:tabs>
        <w:rPr>
          <w:sz w:val="20"/>
          <w:szCs w:val="20"/>
          <w:color w:val="auto"/>
        </w:rPr>
      </w:pPr>
      <w:r>
        <w:rPr>
          <w:rFonts w:ascii="Courier New" w:cs="Courier New" w:eastAsia="Courier New" w:hAnsi="Courier New"/>
          <w:sz w:val="16"/>
          <w:szCs w:val="16"/>
          <w:color w:val="auto"/>
        </w:rPr>
        <w:t>Section 402.</w:t>
        <w:tab/>
        <w:t>Application of Trust Funds</w:t>
      </w:r>
      <w:r>
        <w:rPr>
          <w:sz w:val="20"/>
          <w:szCs w:val="20"/>
          <w:color w:val="auto"/>
        </w:rPr>
        <w:tab/>
      </w:r>
      <w:r>
        <w:rPr>
          <w:rFonts w:ascii="Courier New" w:cs="Courier New" w:eastAsia="Courier New" w:hAnsi="Courier New"/>
          <w:sz w:val="14"/>
          <w:szCs w:val="14"/>
          <w:color w:val="auto"/>
        </w:rPr>
        <w:t>47</w:t>
      </w:r>
    </w:p>
    <w:p>
      <w:pPr>
        <w:spacing w:after="0" w:line="17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Article Five</w:t>
      </w:r>
    </w:p>
    <w:p>
      <w:pPr>
        <w:ind w:left="3340"/>
        <w:spacing w:after="0" w:line="236" w:lineRule="auto"/>
        <w:rPr>
          <w:sz w:val="20"/>
          <w:szCs w:val="20"/>
          <w:color w:val="auto"/>
        </w:rPr>
      </w:pPr>
      <w:r>
        <w:rPr>
          <w:rFonts w:ascii="Courier New" w:cs="Courier New" w:eastAsia="Courier New" w:hAnsi="Courier New"/>
          <w:sz w:val="16"/>
          <w:szCs w:val="16"/>
          <w:color w:val="auto"/>
        </w:rPr>
        <w:t>REMEDIES</w:t>
      </w:r>
    </w:p>
    <w:p>
      <w:pPr>
        <w:spacing w:after="0" w:line="177" w:lineRule="exact"/>
        <w:rPr>
          <w:sz w:val="20"/>
          <w:szCs w:val="20"/>
          <w:color w:val="auto"/>
        </w:rPr>
      </w:pPr>
    </w:p>
    <w:p>
      <w:pPr>
        <w:spacing w:after="0"/>
        <w:tabs>
          <w:tab w:leader="none" w:pos="1280" w:val="left"/>
          <w:tab w:leader="dot" w:pos="7240" w:val="left"/>
        </w:tabs>
        <w:rPr>
          <w:sz w:val="20"/>
          <w:szCs w:val="20"/>
          <w:color w:val="auto"/>
        </w:rPr>
      </w:pPr>
      <w:r>
        <w:rPr>
          <w:rFonts w:ascii="Courier New" w:cs="Courier New" w:eastAsia="Courier New" w:hAnsi="Courier New"/>
          <w:sz w:val="16"/>
          <w:szCs w:val="16"/>
          <w:color w:val="auto"/>
        </w:rPr>
        <w:t>Section 501.</w:t>
        <w:tab/>
        <w:t>Events of Default</w:t>
      </w:r>
      <w:r>
        <w:rPr>
          <w:sz w:val="20"/>
          <w:szCs w:val="20"/>
          <w:color w:val="auto"/>
        </w:rPr>
        <w:tab/>
      </w:r>
      <w:r>
        <w:rPr>
          <w:rFonts w:ascii="Courier New" w:cs="Courier New" w:eastAsia="Courier New" w:hAnsi="Courier New"/>
          <w:sz w:val="14"/>
          <w:szCs w:val="14"/>
          <w:color w:val="auto"/>
        </w:rPr>
        <w:t>47</w:t>
      </w:r>
    </w:p>
    <w:p>
      <w:pPr>
        <w:spacing w:after="0"/>
        <w:tabs>
          <w:tab w:leader="none" w:pos="1280" w:val="left"/>
          <w:tab w:leader="dot" w:pos="7240" w:val="left"/>
        </w:tabs>
        <w:rPr>
          <w:sz w:val="20"/>
          <w:szCs w:val="20"/>
          <w:color w:val="auto"/>
        </w:rPr>
      </w:pPr>
      <w:r>
        <w:rPr>
          <w:rFonts w:ascii="Courier New" w:cs="Courier New" w:eastAsia="Courier New" w:hAnsi="Courier New"/>
          <w:sz w:val="16"/>
          <w:szCs w:val="16"/>
          <w:color w:val="auto"/>
        </w:rPr>
        <w:t>Section 502.</w:t>
        <w:tab/>
        <w:t>Acceleration of Maturity; Rescission and Annulment</w:t>
      </w:r>
      <w:r>
        <w:rPr>
          <w:sz w:val="20"/>
          <w:szCs w:val="20"/>
          <w:color w:val="auto"/>
        </w:rPr>
        <w:tab/>
      </w:r>
      <w:r>
        <w:rPr>
          <w:rFonts w:ascii="Courier New" w:cs="Courier New" w:eastAsia="Courier New" w:hAnsi="Courier New"/>
          <w:sz w:val="14"/>
          <w:szCs w:val="14"/>
          <w:color w:val="auto"/>
        </w:rPr>
        <w:t>48</w:t>
      </w:r>
    </w:p>
    <w:p>
      <w:pPr>
        <w:spacing w:after="0"/>
        <w:tabs>
          <w:tab w:leader="none" w:pos="1280" w:val="left"/>
        </w:tabs>
        <w:rPr>
          <w:sz w:val="20"/>
          <w:szCs w:val="20"/>
          <w:color w:val="auto"/>
        </w:rPr>
      </w:pPr>
      <w:r>
        <w:rPr>
          <w:rFonts w:ascii="Courier New" w:cs="Courier New" w:eastAsia="Courier New" w:hAnsi="Courier New"/>
          <w:sz w:val="16"/>
          <w:szCs w:val="16"/>
          <w:color w:val="auto"/>
        </w:rPr>
        <w:t>Section 503.</w:t>
      </w:r>
      <w:r>
        <w:rPr>
          <w:sz w:val="20"/>
          <w:szCs w:val="20"/>
          <w:color w:val="auto"/>
        </w:rPr>
        <w:tab/>
      </w:r>
      <w:r>
        <w:rPr>
          <w:rFonts w:ascii="Courier New" w:cs="Courier New" w:eastAsia="Courier New" w:hAnsi="Courier New"/>
          <w:sz w:val="14"/>
          <w:szCs w:val="14"/>
          <w:color w:val="auto"/>
        </w:rPr>
        <w:t>Collection of Indebtedness and Suits for Enforcement</w:t>
      </w:r>
    </w:p>
    <w:p>
      <w:pPr>
        <w:jc w:val="right"/>
        <w:ind w:right="2779"/>
        <w:spacing w:after="0"/>
        <w:tabs>
          <w:tab w:leader="dot" w:pos="160" w:val="left"/>
        </w:tabs>
        <w:rPr>
          <w:sz w:val="20"/>
          <w:szCs w:val="20"/>
          <w:color w:val="auto"/>
        </w:rPr>
      </w:pPr>
      <w:r>
        <w:rPr>
          <w:rFonts w:ascii="Courier New" w:cs="Courier New" w:eastAsia="Courier New" w:hAnsi="Courier New"/>
          <w:sz w:val="16"/>
          <w:szCs w:val="16"/>
          <w:color w:val="auto"/>
        </w:rPr>
        <w:t>by Trustee</w:t>
      </w:r>
      <w:r>
        <w:rPr>
          <w:sz w:val="20"/>
          <w:szCs w:val="20"/>
          <w:color w:val="auto"/>
        </w:rPr>
        <w:tab/>
      </w:r>
      <w:r>
        <w:rPr>
          <w:rFonts w:ascii="Courier New" w:cs="Courier New" w:eastAsia="Courier New" w:hAnsi="Courier New"/>
          <w:sz w:val="14"/>
          <w:szCs w:val="14"/>
          <w:color w:val="auto"/>
        </w:rPr>
        <w:t>49</w:t>
      </w:r>
    </w:p>
    <w:p>
      <w:pPr>
        <w:spacing w:after="0"/>
        <w:tabs>
          <w:tab w:leader="none" w:pos="1280" w:val="left"/>
          <w:tab w:leader="dot" w:pos="7240" w:val="left"/>
        </w:tabs>
        <w:rPr>
          <w:sz w:val="20"/>
          <w:szCs w:val="20"/>
          <w:color w:val="auto"/>
        </w:rPr>
      </w:pPr>
      <w:r>
        <w:rPr>
          <w:rFonts w:ascii="Courier New" w:cs="Courier New" w:eastAsia="Courier New" w:hAnsi="Courier New"/>
          <w:sz w:val="16"/>
          <w:szCs w:val="16"/>
          <w:color w:val="auto"/>
        </w:rPr>
        <w:t>Section 504.</w:t>
        <w:tab/>
        <w:t>Trustee May File Proofs of Claim</w:t>
      </w:r>
      <w:r>
        <w:rPr>
          <w:sz w:val="20"/>
          <w:szCs w:val="20"/>
          <w:color w:val="auto"/>
        </w:rPr>
        <w:tab/>
      </w:r>
      <w:r>
        <w:rPr>
          <w:rFonts w:ascii="Courier New" w:cs="Courier New" w:eastAsia="Courier New" w:hAnsi="Courier New"/>
          <w:sz w:val="14"/>
          <w:szCs w:val="14"/>
          <w:color w:val="auto"/>
        </w:rPr>
        <w:t>50</w:t>
      </w:r>
    </w:p>
    <w:p>
      <w:pPr>
        <w:spacing w:after="0"/>
        <w:tabs>
          <w:tab w:leader="none" w:pos="1280" w:val="left"/>
        </w:tabs>
        <w:rPr>
          <w:sz w:val="20"/>
          <w:szCs w:val="20"/>
          <w:color w:val="auto"/>
        </w:rPr>
      </w:pPr>
      <w:r>
        <w:rPr>
          <w:rFonts w:ascii="Courier New" w:cs="Courier New" w:eastAsia="Courier New" w:hAnsi="Courier New"/>
          <w:sz w:val="16"/>
          <w:szCs w:val="16"/>
          <w:color w:val="auto"/>
        </w:rPr>
        <w:t>Section 505.</w:t>
      </w:r>
      <w:r>
        <w:rPr>
          <w:sz w:val="20"/>
          <w:szCs w:val="20"/>
          <w:color w:val="auto"/>
        </w:rPr>
        <w:tab/>
      </w:r>
      <w:r>
        <w:rPr>
          <w:rFonts w:ascii="Courier New" w:cs="Courier New" w:eastAsia="Courier New" w:hAnsi="Courier New"/>
          <w:sz w:val="14"/>
          <w:szCs w:val="14"/>
          <w:color w:val="auto"/>
        </w:rPr>
        <w:t>Trustee May Enforce Claims Without Possession of</w:t>
      </w:r>
    </w:p>
    <w:p>
      <w:pPr>
        <w:jc w:val="right"/>
        <w:ind w:right="2779"/>
        <w:spacing w:after="0"/>
        <w:tabs>
          <w:tab w:leader="dot" w:pos="160" w:val="left"/>
        </w:tabs>
        <w:rPr>
          <w:sz w:val="20"/>
          <w:szCs w:val="20"/>
          <w:color w:val="auto"/>
        </w:rPr>
      </w:pPr>
      <w:r>
        <w:rPr>
          <w:rFonts w:ascii="Courier New" w:cs="Courier New" w:eastAsia="Courier New" w:hAnsi="Courier New"/>
          <w:sz w:val="16"/>
          <w:szCs w:val="16"/>
          <w:color w:val="auto"/>
        </w:rPr>
        <w:t>Securities or Coupons</w:t>
      </w:r>
      <w:r>
        <w:rPr>
          <w:sz w:val="20"/>
          <w:szCs w:val="20"/>
          <w:color w:val="auto"/>
        </w:rPr>
        <w:tab/>
      </w:r>
      <w:r>
        <w:rPr>
          <w:rFonts w:ascii="Courier New" w:cs="Courier New" w:eastAsia="Courier New" w:hAnsi="Courier New"/>
          <w:sz w:val="14"/>
          <w:szCs w:val="14"/>
          <w:color w:val="auto"/>
        </w:rPr>
        <w:t>51</w:t>
      </w:r>
    </w:p>
    <w:p>
      <w:pPr>
        <w:spacing w:after="0"/>
        <w:tabs>
          <w:tab w:leader="none" w:pos="1280" w:val="left"/>
          <w:tab w:leader="dot" w:pos="7240" w:val="left"/>
        </w:tabs>
        <w:rPr>
          <w:sz w:val="20"/>
          <w:szCs w:val="20"/>
          <w:color w:val="auto"/>
        </w:rPr>
      </w:pPr>
      <w:r>
        <w:rPr>
          <w:rFonts w:ascii="Courier New" w:cs="Courier New" w:eastAsia="Courier New" w:hAnsi="Courier New"/>
          <w:sz w:val="16"/>
          <w:szCs w:val="16"/>
          <w:color w:val="auto"/>
        </w:rPr>
        <w:t>Section 506.</w:t>
        <w:tab/>
        <w:t>Application of Money Collected</w:t>
      </w:r>
      <w:r>
        <w:rPr>
          <w:sz w:val="20"/>
          <w:szCs w:val="20"/>
          <w:color w:val="auto"/>
        </w:rPr>
        <w:tab/>
      </w:r>
      <w:r>
        <w:rPr>
          <w:rFonts w:ascii="Courier New" w:cs="Courier New" w:eastAsia="Courier New" w:hAnsi="Courier New"/>
          <w:sz w:val="14"/>
          <w:szCs w:val="14"/>
          <w:color w:val="auto"/>
        </w:rPr>
        <w:t>51</w:t>
      </w:r>
    </w:p>
    <w:p>
      <w:pPr>
        <w:spacing w:after="0"/>
        <w:tabs>
          <w:tab w:leader="none" w:pos="1280" w:val="left"/>
          <w:tab w:leader="dot" w:pos="7240" w:val="left"/>
        </w:tabs>
        <w:rPr>
          <w:sz w:val="20"/>
          <w:szCs w:val="20"/>
          <w:color w:val="auto"/>
        </w:rPr>
      </w:pPr>
      <w:r>
        <w:rPr>
          <w:rFonts w:ascii="Courier New" w:cs="Courier New" w:eastAsia="Courier New" w:hAnsi="Courier New"/>
          <w:sz w:val="16"/>
          <w:szCs w:val="16"/>
          <w:color w:val="auto"/>
        </w:rPr>
        <w:t>Section 507.</w:t>
        <w:tab/>
        <w:t>Limitation on Suits</w:t>
      </w:r>
      <w:r>
        <w:rPr>
          <w:sz w:val="20"/>
          <w:szCs w:val="20"/>
          <w:color w:val="auto"/>
        </w:rPr>
        <w:tab/>
      </w:r>
      <w:r>
        <w:rPr>
          <w:rFonts w:ascii="Courier New" w:cs="Courier New" w:eastAsia="Courier New" w:hAnsi="Courier New"/>
          <w:sz w:val="14"/>
          <w:szCs w:val="14"/>
          <w:color w:val="auto"/>
        </w:rPr>
        <w:t>52</w:t>
      </w:r>
    </w:p>
    <w:p>
      <w:pPr>
        <w:spacing w:after="0"/>
        <w:tabs>
          <w:tab w:leader="none" w:pos="1280" w:val="left"/>
        </w:tabs>
        <w:rPr>
          <w:sz w:val="20"/>
          <w:szCs w:val="20"/>
          <w:color w:val="auto"/>
        </w:rPr>
      </w:pPr>
      <w:r>
        <w:rPr>
          <w:rFonts w:ascii="Courier New" w:cs="Courier New" w:eastAsia="Courier New" w:hAnsi="Courier New"/>
          <w:sz w:val="16"/>
          <w:szCs w:val="16"/>
          <w:color w:val="auto"/>
        </w:rPr>
        <w:t>Section 508.</w:t>
      </w:r>
      <w:r>
        <w:rPr>
          <w:sz w:val="20"/>
          <w:szCs w:val="20"/>
          <w:color w:val="auto"/>
        </w:rPr>
        <w:tab/>
      </w:r>
      <w:r>
        <w:rPr>
          <w:rFonts w:ascii="Courier New" w:cs="Courier New" w:eastAsia="Courier New" w:hAnsi="Courier New"/>
          <w:sz w:val="14"/>
          <w:szCs w:val="14"/>
          <w:color w:val="auto"/>
        </w:rPr>
        <w:t>Unconditional Right of Holders to Receive Principal,</w:t>
      </w:r>
    </w:p>
    <w:p>
      <w:pPr>
        <w:jc w:val="right"/>
        <w:ind w:right="2779"/>
        <w:spacing w:after="0"/>
        <w:tabs>
          <w:tab w:leader="dot" w:pos="160" w:val="left"/>
        </w:tabs>
        <w:rPr>
          <w:sz w:val="20"/>
          <w:szCs w:val="20"/>
          <w:color w:val="auto"/>
        </w:rPr>
      </w:pPr>
      <w:r>
        <w:rPr>
          <w:rFonts w:ascii="Courier New" w:cs="Courier New" w:eastAsia="Courier New" w:hAnsi="Courier New"/>
          <w:sz w:val="16"/>
          <w:szCs w:val="16"/>
          <w:color w:val="auto"/>
        </w:rPr>
        <w:t>Premium and Interest and Additional Amounts, if Any</w:t>
      </w:r>
      <w:r>
        <w:rPr>
          <w:sz w:val="20"/>
          <w:szCs w:val="20"/>
          <w:color w:val="auto"/>
        </w:rPr>
        <w:tab/>
      </w:r>
      <w:r>
        <w:rPr>
          <w:rFonts w:ascii="Courier New" w:cs="Courier New" w:eastAsia="Courier New" w:hAnsi="Courier New"/>
          <w:sz w:val="14"/>
          <w:szCs w:val="14"/>
          <w:color w:val="auto"/>
        </w:rPr>
        <w:t>52</w:t>
      </w:r>
    </w:p>
    <w:p>
      <w:pPr>
        <w:spacing w:after="0"/>
        <w:tabs>
          <w:tab w:leader="none" w:pos="1280" w:val="left"/>
          <w:tab w:leader="dot" w:pos="7240" w:val="left"/>
        </w:tabs>
        <w:rPr>
          <w:sz w:val="20"/>
          <w:szCs w:val="20"/>
          <w:color w:val="auto"/>
        </w:rPr>
      </w:pPr>
      <w:r>
        <w:rPr>
          <w:rFonts w:ascii="Courier New" w:cs="Courier New" w:eastAsia="Courier New" w:hAnsi="Courier New"/>
          <w:sz w:val="16"/>
          <w:szCs w:val="16"/>
          <w:color w:val="auto"/>
        </w:rPr>
        <w:t>Section 509.</w:t>
        <w:tab/>
        <w:t>Restoration of Rights and Remedies</w:t>
      </w:r>
      <w:r>
        <w:rPr>
          <w:sz w:val="20"/>
          <w:szCs w:val="20"/>
          <w:color w:val="auto"/>
        </w:rPr>
        <w:tab/>
      </w:r>
      <w:r>
        <w:rPr>
          <w:rFonts w:ascii="Courier New" w:cs="Courier New" w:eastAsia="Courier New" w:hAnsi="Courier New"/>
          <w:sz w:val="14"/>
          <w:szCs w:val="14"/>
          <w:color w:val="auto"/>
        </w:rPr>
        <w:t>53</w:t>
      </w:r>
    </w:p>
    <w:p>
      <w:pPr>
        <w:spacing w:after="0"/>
        <w:tabs>
          <w:tab w:leader="none" w:pos="1280" w:val="left"/>
          <w:tab w:leader="dot" w:pos="7240" w:val="left"/>
        </w:tabs>
        <w:rPr>
          <w:sz w:val="20"/>
          <w:szCs w:val="20"/>
          <w:color w:val="auto"/>
        </w:rPr>
      </w:pPr>
      <w:r>
        <w:rPr>
          <w:rFonts w:ascii="Courier New" w:cs="Courier New" w:eastAsia="Courier New" w:hAnsi="Courier New"/>
          <w:sz w:val="16"/>
          <w:szCs w:val="16"/>
          <w:color w:val="auto"/>
        </w:rPr>
        <w:t>Section 510.</w:t>
        <w:tab/>
        <w:t>Rights and Remedies Cumulative</w:t>
      </w:r>
      <w:r>
        <w:rPr>
          <w:sz w:val="20"/>
          <w:szCs w:val="20"/>
          <w:color w:val="auto"/>
        </w:rPr>
        <w:tab/>
      </w:r>
      <w:r>
        <w:rPr>
          <w:rFonts w:ascii="Courier New" w:cs="Courier New" w:eastAsia="Courier New" w:hAnsi="Courier New"/>
          <w:sz w:val="14"/>
          <w:szCs w:val="14"/>
          <w:color w:val="auto"/>
        </w:rPr>
        <w:t>53</w:t>
      </w:r>
    </w:p>
    <w:p>
      <w:pPr>
        <w:spacing w:after="0"/>
        <w:tabs>
          <w:tab w:leader="none" w:pos="1280" w:val="left"/>
          <w:tab w:leader="dot" w:pos="7240" w:val="left"/>
        </w:tabs>
        <w:rPr>
          <w:sz w:val="20"/>
          <w:szCs w:val="20"/>
          <w:color w:val="auto"/>
        </w:rPr>
      </w:pPr>
      <w:r>
        <w:rPr>
          <w:rFonts w:ascii="Courier New" w:cs="Courier New" w:eastAsia="Courier New" w:hAnsi="Courier New"/>
          <w:sz w:val="16"/>
          <w:szCs w:val="16"/>
          <w:color w:val="auto"/>
        </w:rPr>
        <w:t>Section 511.</w:t>
        <w:tab/>
        <w:t>Delay or Omission Not Waiver</w:t>
      </w:r>
      <w:r>
        <w:rPr>
          <w:sz w:val="20"/>
          <w:szCs w:val="20"/>
          <w:color w:val="auto"/>
        </w:rPr>
        <w:tab/>
      </w:r>
      <w:r>
        <w:rPr>
          <w:rFonts w:ascii="Courier New" w:cs="Courier New" w:eastAsia="Courier New" w:hAnsi="Courier New"/>
          <w:sz w:val="14"/>
          <w:szCs w:val="14"/>
          <w:color w:val="auto"/>
        </w:rPr>
        <w:t>53</w:t>
      </w:r>
    </w:p>
    <w:p>
      <w:pPr>
        <w:spacing w:after="0"/>
        <w:tabs>
          <w:tab w:leader="none" w:pos="1280" w:val="left"/>
          <w:tab w:leader="dot" w:pos="7240" w:val="left"/>
        </w:tabs>
        <w:rPr>
          <w:sz w:val="20"/>
          <w:szCs w:val="20"/>
          <w:color w:val="auto"/>
        </w:rPr>
      </w:pPr>
      <w:r>
        <w:rPr>
          <w:rFonts w:ascii="Courier New" w:cs="Courier New" w:eastAsia="Courier New" w:hAnsi="Courier New"/>
          <w:sz w:val="16"/>
          <w:szCs w:val="16"/>
          <w:color w:val="auto"/>
        </w:rPr>
        <w:t>Section 512.</w:t>
        <w:tab/>
        <w:t>Control by Holders of Securities</w:t>
      </w:r>
      <w:r>
        <w:rPr>
          <w:sz w:val="20"/>
          <w:szCs w:val="20"/>
          <w:color w:val="auto"/>
        </w:rPr>
        <w:tab/>
      </w:r>
      <w:r>
        <w:rPr>
          <w:rFonts w:ascii="Courier New" w:cs="Courier New" w:eastAsia="Courier New" w:hAnsi="Courier New"/>
          <w:sz w:val="14"/>
          <w:szCs w:val="14"/>
          <w:color w:val="auto"/>
        </w:rPr>
        <w:t>53</w:t>
      </w:r>
    </w:p>
    <w:p>
      <w:pPr>
        <w:spacing w:after="0"/>
        <w:tabs>
          <w:tab w:leader="none" w:pos="1280" w:val="left"/>
          <w:tab w:leader="dot" w:pos="7240" w:val="left"/>
        </w:tabs>
        <w:rPr>
          <w:sz w:val="20"/>
          <w:szCs w:val="20"/>
          <w:color w:val="auto"/>
        </w:rPr>
      </w:pPr>
      <w:r>
        <w:rPr>
          <w:rFonts w:ascii="Courier New" w:cs="Courier New" w:eastAsia="Courier New" w:hAnsi="Courier New"/>
          <w:sz w:val="16"/>
          <w:szCs w:val="16"/>
          <w:color w:val="auto"/>
        </w:rPr>
        <w:t>Section 513.</w:t>
        <w:tab/>
        <w:t>Undertaking for Costs</w:t>
      </w:r>
      <w:r>
        <w:rPr>
          <w:sz w:val="20"/>
          <w:szCs w:val="20"/>
          <w:color w:val="auto"/>
        </w:rPr>
        <w:tab/>
      </w:r>
      <w:r>
        <w:rPr>
          <w:rFonts w:ascii="Courier New" w:cs="Courier New" w:eastAsia="Courier New" w:hAnsi="Courier New"/>
          <w:sz w:val="14"/>
          <w:szCs w:val="14"/>
          <w:color w:val="auto"/>
        </w:rPr>
        <w:t>54</w:t>
      </w:r>
    </w:p>
    <w:p>
      <w:pPr>
        <w:spacing w:after="0"/>
        <w:tabs>
          <w:tab w:leader="none" w:pos="1280" w:val="left"/>
          <w:tab w:leader="dot" w:pos="7240" w:val="left"/>
        </w:tabs>
        <w:rPr>
          <w:sz w:val="20"/>
          <w:szCs w:val="20"/>
          <w:color w:val="auto"/>
        </w:rPr>
      </w:pPr>
      <w:r>
        <w:rPr>
          <w:rFonts w:ascii="Courier New" w:cs="Courier New" w:eastAsia="Courier New" w:hAnsi="Courier New"/>
          <w:sz w:val="16"/>
          <w:szCs w:val="16"/>
          <w:color w:val="auto"/>
        </w:rPr>
        <w:t>Section 514.</w:t>
        <w:tab/>
        <w:t>Waiver of Past Defaults</w:t>
      </w:r>
      <w:r>
        <w:rPr>
          <w:sz w:val="20"/>
          <w:szCs w:val="20"/>
          <w:color w:val="auto"/>
        </w:rPr>
        <w:tab/>
      </w:r>
      <w:r>
        <w:rPr>
          <w:rFonts w:ascii="Courier New" w:cs="Courier New" w:eastAsia="Courier New" w:hAnsi="Courier New"/>
          <w:sz w:val="14"/>
          <w:szCs w:val="14"/>
          <w:color w:val="auto"/>
        </w:rPr>
        <w:t>54</w:t>
      </w:r>
    </w:p>
    <w:p>
      <w:pPr>
        <w:spacing w:after="0"/>
        <w:tabs>
          <w:tab w:leader="none" w:pos="1280" w:val="left"/>
          <w:tab w:leader="dot" w:pos="7240" w:val="left"/>
        </w:tabs>
        <w:rPr>
          <w:sz w:val="20"/>
          <w:szCs w:val="20"/>
          <w:color w:val="auto"/>
        </w:rPr>
      </w:pPr>
      <w:r>
        <w:rPr>
          <w:rFonts w:ascii="Courier New" w:cs="Courier New" w:eastAsia="Courier New" w:hAnsi="Courier New"/>
          <w:sz w:val="16"/>
          <w:szCs w:val="16"/>
          <w:color w:val="auto"/>
        </w:rPr>
        <w:t>Section 515.</w:t>
        <w:tab/>
        <w:t>Waiver of Usury, Stay or Extension Laws</w:t>
      </w:r>
      <w:r>
        <w:rPr>
          <w:sz w:val="20"/>
          <w:szCs w:val="20"/>
          <w:color w:val="auto"/>
        </w:rPr>
        <w:tab/>
      </w:r>
      <w:r>
        <w:rPr>
          <w:rFonts w:ascii="Courier New" w:cs="Courier New" w:eastAsia="Courier New" w:hAnsi="Courier New"/>
          <w:sz w:val="14"/>
          <w:szCs w:val="14"/>
          <w:color w:val="auto"/>
        </w:rPr>
        <w:t>54</w:t>
      </w:r>
    </w:p>
    <w:p>
      <w:pPr>
        <w:spacing w:after="0" w:line="17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Article Six</w:t>
      </w:r>
    </w:p>
    <w:p>
      <w:pPr>
        <w:ind w:left="3260"/>
        <w:spacing w:after="0" w:line="236" w:lineRule="auto"/>
        <w:rPr>
          <w:sz w:val="20"/>
          <w:szCs w:val="20"/>
          <w:color w:val="auto"/>
        </w:rPr>
      </w:pPr>
      <w:r>
        <w:rPr>
          <w:rFonts w:ascii="Courier New" w:cs="Courier New" w:eastAsia="Courier New" w:hAnsi="Courier New"/>
          <w:sz w:val="16"/>
          <w:szCs w:val="16"/>
          <w:color w:val="auto"/>
        </w:rPr>
        <w:t>THE TRUSTEE</w:t>
      </w:r>
    </w:p>
    <w:p>
      <w:pPr>
        <w:spacing w:after="0" w:line="177" w:lineRule="exact"/>
        <w:rPr>
          <w:sz w:val="20"/>
          <w:szCs w:val="20"/>
          <w:color w:val="auto"/>
        </w:rPr>
      </w:pPr>
    </w:p>
    <w:p>
      <w:pPr>
        <w:spacing w:after="0"/>
        <w:tabs>
          <w:tab w:leader="none" w:pos="1280" w:val="left"/>
          <w:tab w:leader="dot" w:pos="7240" w:val="left"/>
        </w:tabs>
        <w:rPr>
          <w:sz w:val="20"/>
          <w:szCs w:val="20"/>
          <w:color w:val="auto"/>
        </w:rPr>
      </w:pPr>
      <w:r>
        <w:rPr>
          <w:rFonts w:ascii="Courier New" w:cs="Courier New" w:eastAsia="Courier New" w:hAnsi="Courier New"/>
          <w:sz w:val="16"/>
          <w:szCs w:val="16"/>
          <w:color w:val="auto"/>
        </w:rPr>
        <w:t>Section 601.</w:t>
        <w:tab/>
        <w:t>Notice of Defaults</w:t>
      </w:r>
      <w:r>
        <w:rPr>
          <w:sz w:val="20"/>
          <w:szCs w:val="20"/>
          <w:color w:val="auto"/>
        </w:rPr>
        <w:tab/>
      </w:r>
      <w:r>
        <w:rPr>
          <w:rFonts w:ascii="Courier New" w:cs="Courier New" w:eastAsia="Courier New" w:hAnsi="Courier New"/>
          <w:sz w:val="14"/>
          <w:szCs w:val="14"/>
          <w:color w:val="auto"/>
        </w:rPr>
        <w:t>55</w:t>
      </w:r>
    </w:p>
    <w:p>
      <w:pPr>
        <w:spacing w:after="0"/>
        <w:tabs>
          <w:tab w:leader="none" w:pos="1280" w:val="left"/>
          <w:tab w:leader="dot" w:pos="7240" w:val="left"/>
        </w:tabs>
        <w:rPr>
          <w:sz w:val="20"/>
          <w:szCs w:val="20"/>
          <w:color w:val="auto"/>
        </w:rPr>
      </w:pPr>
      <w:r>
        <w:rPr>
          <w:rFonts w:ascii="Courier New" w:cs="Courier New" w:eastAsia="Courier New" w:hAnsi="Courier New"/>
          <w:sz w:val="16"/>
          <w:szCs w:val="16"/>
          <w:color w:val="auto"/>
        </w:rPr>
        <w:t>Section 602.</w:t>
        <w:tab/>
        <w:t>Certain Rights of Trustee</w:t>
      </w:r>
      <w:r>
        <w:rPr>
          <w:sz w:val="20"/>
          <w:szCs w:val="20"/>
          <w:color w:val="auto"/>
        </w:rPr>
        <w:tab/>
      </w:r>
      <w:r>
        <w:rPr>
          <w:rFonts w:ascii="Courier New" w:cs="Courier New" w:eastAsia="Courier New" w:hAnsi="Courier New"/>
          <w:sz w:val="14"/>
          <w:szCs w:val="14"/>
          <w:color w:val="auto"/>
        </w:rPr>
        <w:t>55</w:t>
      </w:r>
    </w:p>
    <w:p>
      <w:pPr>
        <w:spacing w:after="0"/>
        <w:tabs>
          <w:tab w:leader="none" w:pos="1280" w:val="left"/>
          <w:tab w:leader="dot" w:pos="7240" w:val="left"/>
        </w:tabs>
        <w:rPr>
          <w:sz w:val="20"/>
          <w:szCs w:val="20"/>
          <w:color w:val="auto"/>
        </w:rPr>
      </w:pPr>
      <w:r>
        <w:rPr>
          <w:rFonts w:ascii="Courier New" w:cs="Courier New" w:eastAsia="Courier New" w:hAnsi="Courier New"/>
          <w:sz w:val="16"/>
          <w:szCs w:val="16"/>
          <w:color w:val="auto"/>
        </w:rPr>
        <w:t>Section 603.</w:t>
        <w:tab/>
        <w:t>Not Responsible for Recitals or Issuance of Securities</w:t>
      </w:r>
      <w:r>
        <w:rPr>
          <w:sz w:val="20"/>
          <w:szCs w:val="20"/>
          <w:color w:val="auto"/>
        </w:rPr>
        <w:tab/>
      </w:r>
      <w:r>
        <w:rPr>
          <w:rFonts w:ascii="Courier New" w:cs="Courier New" w:eastAsia="Courier New" w:hAnsi="Courier New"/>
          <w:sz w:val="14"/>
          <w:szCs w:val="14"/>
          <w:color w:val="auto"/>
        </w:rPr>
        <w:t>57</w:t>
      </w:r>
    </w:p>
    <w:p>
      <w:pPr>
        <w:spacing w:after="0"/>
        <w:tabs>
          <w:tab w:leader="none" w:pos="1280" w:val="left"/>
          <w:tab w:leader="dot" w:pos="7240" w:val="left"/>
        </w:tabs>
        <w:rPr>
          <w:sz w:val="20"/>
          <w:szCs w:val="20"/>
          <w:color w:val="auto"/>
        </w:rPr>
      </w:pPr>
      <w:r>
        <w:rPr>
          <w:rFonts w:ascii="Courier New" w:cs="Courier New" w:eastAsia="Courier New" w:hAnsi="Courier New"/>
          <w:sz w:val="16"/>
          <w:szCs w:val="16"/>
          <w:color w:val="auto"/>
        </w:rPr>
        <w:t>Section 604.</w:t>
        <w:tab/>
        <w:t>May Hold Securities</w:t>
      </w:r>
      <w:r>
        <w:rPr>
          <w:sz w:val="20"/>
          <w:szCs w:val="20"/>
          <w:color w:val="auto"/>
        </w:rPr>
        <w:tab/>
      </w:r>
      <w:r>
        <w:rPr>
          <w:rFonts w:ascii="Courier New" w:cs="Courier New" w:eastAsia="Courier New" w:hAnsi="Courier New"/>
          <w:sz w:val="14"/>
          <w:szCs w:val="14"/>
          <w:color w:val="auto"/>
        </w:rPr>
        <w:t>57</w:t>
      </w:r>
    </w:p>
    <w:p>
      <w:pPr>
        <w:spacing w:after="0"/>
        <w:tabs>
          <w:tab w:leader="none" w:pos="1280" w:val="left"/>
          <w:tab w:leader="dot" w:pos="7240" w:val="left"/>
        </w:tabs>
        <w:rPr>
          <w:sz w:val="20"/>
          <w:szCs w:val="20"/>
          <w:color w:val="auto"/>
        </w:rPr>
      </w:pPr>
      <w:r>
        <w:rPr>
          <w:rFonts w:ascii="Courier New" w:cs="Courier New" w:eastAsia="Courier New" w:hAnsi="Courier New"/>
          <w:sz w:val="16"/>
          <w:szCs w:val="16"/>
          <w:color w:val="auto"/>
        </w:rPr>
        <w:t>Section 605.</w:t>
        <w:tab/>
        <w:t>Money Held in Trust</w:t>
      </w:r>
      <w:r>
        <w:rPr>
          <w:sz w:val="20"/>
          <w:szCs w:val="20"/>
          <w:color w:val="auto"/>
        </w:rPr>
        <w:tab/>
      </w:r>
      <w:r>
        <w:rPr>
          <w:rFonts w:ascii="Courier New" w:cs="Courier New" w:eastAsia="Courier New" w:hAnsi="Courier New"/>
          <w:sz w:val="14"/>
          <w:szCs w:val="14"/>
          <w:color w:val="auto"/>
        </w:rPr>
        <w:t>58</w:t>
      </w:r>
    </w:p>
    <w:p>
      <w:pPr>
        <w:spacing w:after="0"/>
        <w:tabs>
          <w:tab w:leader="none" w:pos="1280" w:val="left"/>
          <w:tab w:leader="dot" w:pos="7240" w:val="left"/>
        </w:tabs>
        <w:rPr>
          <w:sz w:val="20"/>
          <w:szCs w:val="20"/>
          <w:color w:val="auto"/>
        </w:rPr>
      </w:pPr>
      <w:r>
        <w:rPr>
          <w:rFonts w:ascii="Courier New" w:cs="Courier New" w:eastAsia="Courier New" w:hAnsi="Courier New"/>
          <w:sz w:val="16"/>
          <w:szCs w:val="16"/>
          <w:color w:val="auto"/>
        </w:rPr>
        <w:t>Section 606.</w:t>
        <w:tab/>
        <w:t>Compensation and Reimbursement</w:t>
      </w:r>
      <w:r>
        <w:rPr>
          <w:sz w:val="20"/>
          <w:szCs w:val="20"/>
          <w:color w:val="auto"/>
        </w:rPr>
        <w:tab/>
      </w:r>
      <w:r>
        <w:rPr>
          <w:rFonts w:ascii="Courier New" w:cs="Courier New" w:eastAsia="Courier New" w:hAnsi="Courier New"/>
          <w:sz w:val="14"/>
          <w:szCs w:val="14"/>
          <w:color w:val="auto"/>
        </w:rPr>
        <w:t>58</w:t>
      </w:r>
    </w:p>
    <w:p>
      <w:pPr>
        <w:spacing w:after="0"/>
        <w:tabs>
          <w:tab w:leader="none" w:pos="1280" w:val="left"/>
          <w:tab w:leader="dot" w:pos="7240" w:val="left"/>
        </w:tabs>
        <w:rPr>
          <w:sz w:val="20"/>
          <w:szCs w:val="20"/>
          <w:color w:val="auto"/>
        </w:rPr>
      </w:pPr>
      <w:r>
        <w:rPr>
          <w:rFonts w:ascii="Courier New" w:cs="Courier New" w:eastAsia="Courier New" w:hAnsi="Courier New"/>
          <w:sz w:val="16"/>
          <w:szCs w:val="16"/>
          <w:color w:val="auto"/>
        </w:rPr>
        <w:t>Section 607.</w:t>
        <w:tab/>
        <w:t>Corporate Trustee Required; Eligibility</w:t>
      </w:r>
      <w:r>
        <w:rPr>
          <w:sz w:val="20"/>
          <w:szCs w:val="20"/>
          <w:color w:val="auto"/>
        </w:rPr>
        <w:tab/>
      </w:r>
      <w:r>
        <w:rPr>
          <w:rFonts w:ascii="Courier New" w:cs="Courier New" w:eastAsia="Courier New" w:hAnsi="Courier New"/>
          <w:sz w:val="14"/>
          <w:szCs w:val="14"/>
          <w:color w:val="auto"/>
        </w:rPr>
        <w:t>59</w:t>
      </w:r>
    </w:p>
    <w:p>
      <w:pPr>
        <w:spacing w:after="0"/>
        <w:tabs>
          <w:tab w:leader="none" w:pos="1280" w:val="left"/>
          <w:tab w:leader="dot" w:pos="7240" w:val="left"/>
        </w:tabs>
        <w:rPr>
          <w:sz w:val="20"/>
          <w:szCs w:val="20"/>
          <w:color w:val="auto"/>
        </w:rPr>
      </w:pPr>
      <w:r>
        <w:rPr>
          <w:rFonts w:ascii="Courier New" w:cs="Courier New" w:eastAsia="Courier New" w:hAnsi="Courier New"/>
          <w:sz w:val="16"/>
          <w:szCs w:val="16"/>
          <w:color w:val="auto"/>
        </w:rPr>
        <w:t>Section 608.</w:t>
        <w:tab/>
        <w:t>Resignation and Removal; Appointment of Successor</w:t>
      </w:r>
      <w:r>
        <w:rPr>
          <w:sz w:val="20"/>
          <w:szCs w:val="20"/>
          <w:color w:val="auto"/>
        </w:rPr>
        <w:tab/>
      </w:r>
      <w:r>
        <w:rPr>
          <w:rFonts w:ascii="Courier New" w:cs="Courier New" w:eastAsia="Courier New" w:hAnsi="Courier New"/>
          <w:sz w:val="14"/>
          <w:szCs w:val="14"/>
          <w:color w:val="auto"/>
        </w:rPr>
        <w:t>59</w:t>
      </w:r>
    </w:p>
    <w:p>
      <w:pPr>
        <w:spacing w:after="0"/>
        <w:tabs>
          <w:tab w:leader="none" w:pos="1280" w:val="left"/>
          <w:tab w:leader="dot" w:pos="7240" w:val="left"/>
        </w:tabs>
        <w:rPr>
          <w:sz w:val="20"/>
          <w:szCs w:val="20"/>
          <w:color w:val="auto"/>
        </w:rPr>
      </w:pPr>
      <w:r>
        <w:rPr>
          <w:rFonts w:ascii="Courier New" w:cs="Courier New" w:eastAsia="Courier New" w:hAnsi="Courier New"/>
          <w:sz w:val="16"/>
          <w:szCs w:val="16"/>
          <w:color w:val="auto"/>
        </w:rPr>
        <w:t>Section 609.</w:t>
        <w:tab/>
        <w:t>Acceptance of Appointment by Successor</w:t>
      </w:r>
      <w:r>
        <w:rPr>
          <w:sz w:val="20"/>
          <w:szCs w:val="20"/>
          <w:color w:val="auto"/>
        </w:rPr>
        <w:tab/>
      </w:r>
      <w:r>
        <w:rPr>
          <w:rFonts w:ascii="Courier New" w:cs="Courier New" w:eastAsia="Courier New" w:hAnsi="Courier New"/>
          <w:sz w:val="14"/>
          <w:szCs w:val="14"/>
          <w:color w:val="auto"/>
        </w:rPr>
        <w:t>60</w:t>
      </w:r>
    </w:p>
    <w:p>
      <w:pPr>
        <w:spacing w:after="0"/>
        <w:tabs>
          <w:tab w:leader="none" w:pos="1280" w:val="left"/>
          <w:tab w:leader="dot" w:pos="7240" w:val="left"/>
        </w:tabs>
        <w:rPr>
          <w:sz w:val="20"/>
          <w:szCs w:val="20"/>
          <w:color w:val="auto"/>
        </w:rPr>
      </w:pPr>
      <w:r>
        <w:rPr>
          <w:rFonts w:ascii="Courier New" w:cs="Courier New" w:eastAsia="Courier New" w:hAnsi="Courier New"/>
          <w:sz w:val="16"/>
          <w:szCs w:val="16"/>
          <w:color w:val="auto"/>
        </w:rPr>
        <w:t>Section 610.</w:t>
        <w:tab/>
        <w:t>Merger, Conversion, Consolidation or Succession to Business</w:t>
      </w:r>
      <w:r>
        <w:rPr>
          <w:sz w:val="20"/>
          <w:szCs w:val="20"/>
          <w:color w:val="auto"/>
        </w:rPr>
        <w:tab/>
      </w:r>
      <w:r>
        <w:rPr>
          <w:rFonts w:ascii="Courier New" w:cs="Courier New" w:eastAsia="Courier New" w:hAnsi="Courier New"/>
          <w:sz w:val="14"/>
          <w:szCs w:val="14"/>
          <w:color w:val="auto"/>
        </w:rPr>
        <w:t>62</w:t>
      </w:r>
    </w:p>
    <w:p>
      <w:pPr>
        <w:spacing w:after="0"/>
        <w:tabs>
          <w:tab w:leader="none" w:pos="1280" w:val="left"/>
          <w:tab w:leader="dot" w:pos="7240" w:val="left"/>
        </w:tabs>
        <w:rPr>
          <w:sz w:val="20"/>
          <w:szCs w:val="20"/>
          <w:color w:val="auto"/>
        </w:rPr>
      </w:pPr>
      <w:r>
        <w:rPr>
          <w:rFonts w:ascii="Courier New" w:cs="Courier New" w:eastAsia="Courier New" w:hAnsi="Courier New"/>
          <w:sz w:val="16"/>
          <w:szCs w:val="16"/>
          <w:color w:val="auto"/>
        </w:rPr>
        <w:t>Section 611.</w:t>
        <w:tab/>
        <w:t>Appointment of Authenticating Agent</w:t>
      </w:r>
      <w:r>
        <w:rPr>
          <w:sz w:val="20"/>
          <w:szCs w:val="20"/>
          <w:color w:val="auto"/>
        </w:rPr>
        <w:tab/>
      </w:r>
      <w:r>
        <w:rPr>
          <w:rFonts w:ascii="Courier New" w:cs="Courier New" w:eastAsia="Courier New" w:hAnsi="Courier New"/>
          <w:sz w:val="14"/>
          <w:szCs w:val="14"/>
          <w:color w:val="auto"/>
        </w:rPr>
        <w:t>62</w:t>
      </w:r>
    </w:p>
    <w:p>
      <w:pPr>
        <w:spacing w:after="0"/>
        <w:tabs>
          <w:tab w:leader="none" w:pos="1280" w:val="left"/>
          <w:tab w:leader="dot" w:pos="7240" w:val="left"/>
        </w:tabs>
        <w:rPr>
          <w:sz w:val="20"/>
          <w:szCs w:val="20"/>
          <w:color w:val="auto"/>
        </w:rPr>
      </w:pPr>
      <w:r>
        <w:rPr>
          <w:rFonts w:ascii="Courier New" w:cs="Courier New" w:eastAsia="Courier New" w:hAnsi="Courier New"/>
          <w:sz w:val="16"/>
          <w:szCs w:val="16"/>
          <w:color w:val="auto"/>
        </w:rPr>
        <w:t>Section 612.</w:t>
        <w:tab/>
        <w:t>Conflicting Interests</w:t>
      </w:r>
      <w:r>
        <w:rPr>
          <w:sz w:val="20"/>
          <w:szCs w:val="20"/>
          <w:color w:val="auto"/>
        </w:rPr>
        <w:tab/>
      </w:r>
      <w:r>
        <w:rPr>
          <w:rFonts w:ascii="Courier New" w:cs="Courier New" w:eastAsia="Courier New" w:hAnsi="Courier New"/>
          <w:sz w:val="14"/>
          <w:szCs w:val="14"/>
          <w:color w:val="auto"/>
        </w:rPr>
        <w:t>64</w:t>
      </w:r>
    </w:p>
    <w:p>
      <w:pPr>
        <w:spacing w:after="0"/>
        <w:tabs>
          <w:tab w:leader="none" w:pos="1280" w:val="left"/>
          <w:tab w:leader="dot" w:pos="7240" w:val="left"/>
        </w:tabs>
        <w:rPr>
          <w:sz w:val="20"/>
          <w:szCs w:val="20"/>
          <w:color w:val="auto"/>
        </w:rPr>
      </w:pPr>
      <w:r>
        <w:rPr>
          <w:rFonts w:ascii="Courier New" w:cs="Courier New" w:eastAsia="Courier New" w:hAnsi="Courier New"/>
          <w:sz w:val="16"/>
          <w:szCs w:val="16"/>
          <w:color w:val="auto"/>
        </w:rPr>
        <w:t>Section 613.</w:t>
        <w:tab/>
        <w:t>Appointment of Co-Trustee</w:t>
      </w:r>
      <w:r>
        <w:rPr>
          <w:sz w:val="20"/>
          <w:szCs w:val="20"/>
          <w:color w:val="auto"/>
        </w:rPr>
        <w:tab/>
      </w:r>
      <w:r>
        <w:rPr>
          <w:rFonts w:ascii="Courier New" w:cs="Courier New" w:eastAsia="Courier New" w:hAnsi="Courier New"/>
          <w:sz w:val="14"/>
          <w:szCs w:val="14"/>
          <w:color w:val="auto"/>
        </w:rPr>
        <w:t>64</w:t>
      </w:r>
    </w:p>
    <w:p>
      <w:pPr>
        <w:spacing w:after="0"/>
        <w:tabs>
          <w:tab w:leader="none" w:pos="1280" w:val="left"/>
          <w:tab w:leader="dot" w:pos="7240" w:val="left"/>
        </w:tabs>
        <w:rPr>
          <w:sz w:val="20"/>
          <w:szCs w:val="20"/>
          <w:color w:val="auto"/>
        </w:rPr>
      </w:pPr>
      <w:r>
        <w:rPr>
          <w:rFonts w:ascii="Courier New" w:cs="Courier New" w:eastAsia="Courier New" w:hAnsi="Courier New"/>
          <w:sz w:val="16"/>
          <w:szCs w:val="16"/>
          <w:color w:val="auto"/>
        </w:rPr>
        <w:t>Section 614.</w:t>
        <w:tab/>
        <w:t>Trustee's Application for Instructions from the Company</w:t>
      </w:r>
      <w:r>
        <w:rPr>
          <w:sz w:val="20"/>
          <w:szCs w:val="20"/>
          <w:color w:val="auto"/>
        </w:rPr>
        <w:tab/>
      </w:r>
      <w:r>
        <w:rPr>
          <w:rFonts w:ascii="Courier New" w:cs="Courier New" w:eastAsia="Courier New" w:hAnsi="Courier New"/>
          <w:sz w:val="14"/>
          <w:szCs w:val="14"/>
          <w:color w:val="auto"/>
        </w:rPr>
        <w:t>65</w:t>
      </w:r>
    </w:p>
    <w:p>
      <w:pPr>
        <w:spacing w:after="0" w:line="200" w:lineRule="exact"/>
        <w:rPr>
          <w:sz w:val="20"/>
          <w:szCs w:val="20"/>
          <w:color w:val="auto"/>
        </w:rPr>
      </w:pPr>
    </w:p>
    <w:p>
      <w:pPr>
        <w:spacing w:after="0" w:line="33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0219"/>
          </w:cols>
          <w:pgMar w:left="240" w:top="648" w:right="1440" w:bottom="1440" w:gutter="0" w:footer="0" w:header="0"/>
        </w:sectPr>
      </w:pPr>
    </w:p>
    <w:bookmarkStart w:id="176" w:name="page177"/>
    <w:bookmarkEnd w:id="176"/>
    <w:p>
      <w:pPr>
        <w:ind w:left="3160"/>
        <w:spacing w:after="0"/>
        <w:rPr>
          <w:sz w:val="20"/>
          <w:szCs w:val="20"/>
          <w:color w:val="auto"/>
        </w:rPr>
      </w:pPr>
      <w:r>
        <w:rPr>
          <w:rFonts w:ascii="Courier New" w:cs="Courier New" w:eastAsia="Courier New" w:hAnsi="Courier New"/>
          <w:sz w:val="16"/>
          <w:szCs w:val="16"/>
          <w:color w:val="auto"/>
        </w:rPr>
        <w:t>Article Seven</w:t>
      </w:r>
    </w:p>
    <w:p>
      <w:pPr>
        <w:ind w:left="1480"/>
        <w:spacing w:after="0" w:line="236" w:lineRule="auto"/>
        <w:rPr>
          <w:sz w:val="20"/>
          <w:szCs w:val="20"/>
          <w:color w:val="auto"/>
        </w:rPr>
      </w:pPr>
      <w:r>
        <w:rPr>
          <w:rFonts w:ascii="Courier New" w:cs="Courier New" w:eastAsia="Courier New" w:hAnsi="Courier New"/>
          <w:sz w:val="16"/>
          <w:szCs w:val="16"/>
          <w:color w:val="auto"/>
        </w:rPr>
        <w:t>HOLDERS' LISTS AND REPORTS BY TRUSTEE AND COMPANY</w:t>
      </w:r>
    </w:p>
    <w:p>
      <w:pPr>
        <w:spacing w:after="0" w:line="177" w:lineRule="exact"/>
        <w:rPr>
          <w:sz w:val="20"/>
          <w:szCs w:val="20"/>
          <w:color w:val="auto"/>
        </w:rPr>
      </w:pPr>
    </w:p>
    <w:p>
      <w:pPr>
        <w:spacing w:after="0"/>
        <w:tabs>
          <w:tab w:leader="none" w:pos="1280" w:val="left"/>
          <w:tab w:leader="dot" w:pos="7240" w:val="left"/>
        </w:tabs>
        <w:rPr>
          <w:sz w:val="20"/>
          <w:szCs w:val="20"/>
          <w:color w:val="auto"/>
        </w:rPr>
      </w:pPr>
      <w:r>
        <w:rPr>
          <w:rFonts w:ascii="Courier New" w:cs="Courier New" w:eastAsia="Courier New" w:hAnsi="Courier New"/>
          <w:sz w:val="16"/>
          <w:szCs w:val="16"/>
          <w:color w:val="auto"/>
        </w:rPr>
        <w:t>Section 701.</w:t>
        <w:tab/>
        <w:t>Disclosure of Names and Addresses of Holders</w:t>
      </w:r>
      <w:r>
        <w:rPr>
          <w:sz w:val="20"/>
          <w:szCs w:val="20"/>
          <w:color w:val="auto"/>
        </w:rPr>
        <w:tab/>
      </w:r>
      <w:r>
        <w:rPr>
          <w:rFonts w:ascii="Courier New" w:cs="Courier New" w:eastAsia="Courier New" w:hAnsi="Courier New"/>
          <w:sz w:val="14"/>
          <w:szCs w:val="14"/>
          <w:color w:val="auto"/>
        </w:rPr>
        <w:t>65</w:t>
      </w:r>
    </w:p>
    <w:p>
      <w:pPr>
        <w:spacing w:after="0"/>
        <w:tabs>
          <w:tab w:leader="none" w:pos="1280" w:val="left"/>
          <w:tab w:leader="dot" w:pos="7240" w:val="left"/>
        </w:tabs>
        <w:rPr>
          <w:sz w:val="20"/>
          <w:szCs w:val="20"/>
          <w:color w:val="auto"/>
        </w:rPr>
      </w:pPr>
      <w:r>
        <w:rPr>
          <w:rFonts w:ascii="Courier New" w:cs="Courier New" w:eastAsia="Courier New" w:hAnsi="Courier New"/>
          <w:sz w:val="16"/>
          <w:szCs w:val="16"/>
          <w:color w:val="auto"/>
        </w:rPr>
        <w:t>Section 702.</w:t>
        <w:tab/>
        <w:t>Reports by Trustee</w:t>
      </w:r>
      <w:r>
        <w:rPr>
          <w:sz w:val="20"/>
          <w:szCs w:val="20"/>
          <w:color w:val="auto"/>
        </w:rPr>
        <w:tab/>
      </w:r>
      <w:r>
        <w:rPr>
          <w:rFonts w:ascii="Courier New" w:cs="Courier New" w:eastAsia="Courier New" w:hAnsi="Courier New"/>
          <w:sz w:val="14"/>
          <w:szCs w:val="14"/>
          <w:color w:val="auto"/>
        </w:rPr>
        <w:t>66</w:t>
      </w:r>
    </w:p>
    <w:p>
      <w:pPr>
        <w:spacing w:after="0"/>
        <w:tabs>
          <w:tab w:leader="none" w:pos="1280" w:val="left"/>
          <w:tab w:leader="dot" w:pos="7240" w:val="left"/>
        </w:tabs>
        <w:rPr>
          <w:sz w:val="20"/>
          <w:szCs w:val="20"/>
          <w:color w:val="auto"/>
        </w:rPr>
      </w:pPr>
      <w:r>
        <w:rPr>
          <w:rFonts w:ascii="Courier New" w:cs="Courier New" w:eastAsia="Courier New" w:hAnsi="Courier New"/>
          <w:sz w:val="16"/>
          <w:szCs w:val="16"/>
          <w:color w:val="auto"/>
        </w:rPr>
        <w:t>Section 703.</w:t>
        <w:tab/>
        <w:t>Reports by Company</w:t>
      </w:r>
      <w:r>
        <w:rPr>
          <w:sz w:val="20"/>
          <w:szCs w:val="20"/>
          <w:color w:val="auto"/>
        </w:rPr>
        <w:tab/>
      </w:r>
      <w:r>
        <w:rPr>
          <w:rFonts w:ascii="Courier New" w:cs="Courier New" w:eastAsia="Courier New" w:hAnsi="Courier New"/>
          <w:sz w:val="14"/>
          <w:szCs w:val="14"/>
          <w:color w:val="auto"/>
        </w:rPr>
        <w:t>67</w:t>
      </w:r>
    </w:p>
    <w:p>
      <w:pPr>
        <w:spacing w:after="0"/>
        <w:tabs>
          <w:tab w:leader="none" w:pos="1280" w:val="left"/>
          <w:tab w:leader="dot" w:pos="7240" w:val="left"/>
        </w:tabs>
        <w:rPr>
          <w:sz w:val="20"/>
          <w:szCs w:val="20"/>
          <w:color w:val="auto"/>
        </w:rPr>
      </w:pPr>
      <w:r>
        <w:rPr>
          <w:rFonts w:ascii="Courier New" w:cs="Courier New" w:eastAsia="Courier New" w:hAnsi="Courier New"/>
          <w:sz w:val="16"/>
          <w:szCs w:val="16"/>
          <w:color w:val="auto"/>
        </w:rPr>
        <w:t>Section 704.</w:t>
        <w:tab/>
        <w:t>Calculation of Original Issue Discount</w:t>
      </w:r>
      <w:r>
        <w:rPr>
          <w:sz w:val="20"/>
          <w:szCs w:val="20"/>
          <w:color w:val="auto"/>
        </w:rPr>
        <w:tab/>
      </w:r>
      <w:r>
        <w:rPr>
          <w:rFonts w:ascii="Courier New" w:cs="Courier New" w:eastAsia="Courier New" w:hAnsi="Courier New"/>
          <w:sz w:val="14"/>
          <w:szCs w:val="14"/>
          <w:color w:val="auto"/>
        </w:rPr>
        <w:t>68</w:t>
      </w:r>
    </w:p>
    <w:p>
      <w:pPr>
        <w:spacing w:after="0" w:line="17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Article Eight</w:t>
      </w:r>
    </w:p>
    <w:p>
      <w:pPr>
        <w:ind w:left="1660"/>
        <w:spacing w:after="0" w:line="236" w:lineRule="auto"/>
        <w:rPr>
          <w:sz w:val="20"/>
          <w:szCs w:val="20"/>
          <w:color w:val="auto"/>
        </w:rPr>
      </w:pPr>
      <w:r>
        <w:rPr>
          <w:rFonts w:ascii="Courier New" w:cs="Courier New" w:eastAsia="Courier New" w:hAnsi="Courier New"/>
          <w:sz w:val="16"/>
          <w:szCs w:val="16"/>
          <w:color w:val="auto"/>
        </w:rPr>
        <w:t>CONSOLIDATION, MERGER, CONVEYANCE OR TRANSFER</w:t>
      </w:r>
    </w:p>
    <w:p>
      <w:pPr>
        <w:spacing w:after="0" w:line="177" w:lineRule="exact"/>
        <w:rPr>
          <w:sz w:val="20"/>
          <w:szCs w:val="20"/>
          <w:color w:val="auto"/>
        </w:rPr>
      </w:pPr>
    </w:p>
    <w:p>
      <w:pPr>
        <w:spacing w:after="0"/>
        <w:tabs>
          <w:tab w:leader="none" w:pos="1280" w:val="left"/>
          <w:tab w:leader="dot" w:pos="7240" w:val="left"/>
        </w:tabs>
        <w:rPr>
          <w:sz w:val="20"/>
          <w:szCs w:val="20"/>
          <w:color w:val="auto"/>
        </w:rPr>
      </w:pPr>
      <w:r>
        <w:rPr>
          <w:rFonts w:ascii="Courier New" w:cs="Courier New" w:eastAsia="Courier New" w:hAnsi="Courier New"/>
          <w:sz w:val="16"/>
          <w:szCs w:val="16"/>
          <w:color w:val="auto"/>
        </w:rPr>
        <w:t>Section 801.</w:t>
        <w:tab/>
        <w:t>Company May Consolidate, Etc., Only on Certain Terms</w:t>
      </w:r>
      <w:r>
        <w:rPr>
          <w:sz w:val="20"/>
          <w:szCs w:val="20"/>
          <w:color w:val="auto"/>
        </w:rPr>
        <w:tab/>
      </w:r>
      <w:r>
        <w:rPr>
          <w:rFonts w:ascii="Courier New" w:cs="Courier New" w:eastAsia="Courier New" w:hAnsi="Courier New"/>
          <w:sz w:val="14"/>
          <w:szCs w:val="14"/>
          <w:color w:val="auto"/>
        </w:rPr>
        <w:t>68</w:t>
      </w:r>
    </w:p>
    <w:p>
      <w:pPr>
        <w:spacing w:after="0"/>
        <w:tabs>
          <w:tab w:leader="none" w:pos="1280" w:val="left"/>
          <w:tab w:leader="dot" w:pos="7240" w:val="left"/>
        </w:tabs>
        <w:rPr>
          <w:sz w:val="20"/>
          <w:szCs w:val="20"/>
          <w:color w:val="auto"/>
        </w:rPr>
      </w:pPr>
      <w:r>
        <w:rPr>
          <w:rFonts w:ascii="Courier New" w:cs="Courier New" w:eastAsia="Courier New" w:hAnsi="Courier New"/>
          <w:sz w:val="16"/>
          <w:szCs w:val="16"/>
          <w:color w:val="auto"/>
        </w:rPr>
        <w:t>Section 802.</w:t>
        <w:tab/>
        <w:t>Successor Person Substituted</w:t>
      </w:r>
      <w:r>
        <w:rPr>
          <w:sz w:val="20"/>
          <w:szCs w:val="20"/>
          <w:color w:val="auto"/>
        </w:rPr>
        <w:tab/>
      </w:r>
      <w:r>
        <w:rPr>
          <w:rFonts w:ascii="Courier New" w:cs="Courier New" w:eastAsia="Courier New" w:hAnsi="Courier New"/>
          <w:sz w:val="14"/>
          <w:szCs w:val="14"/>
          <w:color w:val="auto"/>
        </w:rPr>
        <w:t>68</w:t>
      </w:r>
    </w:p>
    <w:p>
      <w:pPr>
        <w:spacing w:after="0"/>
        <w:tabs>
          <w:tab w:leader="none" w:pos="1280" w:val="left"/>
          <w:tab w:leader="dot" w:pos="7240" w:val="left"/>
        </w:tabs>
        <w:rPr>
          <w:sz w:val="20"/>
          <w:szCs w:val="20"/>
          <w:color w:val="auto"/>
        </w:rPr>
      </w:pPr>
      <w:r>
        <w:rPr>
          <w:rFonts w:ascii="Courier New" w:cs="Courier New" w:eastAsia="Courier New" w:hAnsi="Courier New"/>
          <w:sz w:val="16"/>
          <w:szCs w:val="16"/>
          <w:color w:val="auto"/>
        </w:rPr>
        <w:t>Section 803.</w:t>
        <w:tab/>
        <w:t>Officers' Certificate and Opinion of Counsel</w:t>
      </w:r>
      <w:r>
        <w:rPr>
          <w:sz w:val="20"/>
          <w:szCs w:val="20"/>
          <w:color w:val="auto"/>
        </w:rPr>
        <w:tab/>
      </w:r>
      <w:r>
        <w:rPr>
          <w:rFonts w:ascii="Courier New" w:cs="Courier New" w:eastAsia="Courier New" w:hAnsi="Courier New"/>
          <w:sz w:val="14"/>
          <w:szCs w:val="14"/>
          <w:color w:val="auto"/>
        </w:rPr>
        <w:t>69</w:t>
      </w:r>
    </w:p>
    <w:p>
      <w:pPr>
        <w:spacing w:after="0" w:line="17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Article Nine</w:t>
      </w:r>
    </w:p>
    <w:p>
      <w:pPr>
        <w:ind w:left="2700"/>
        <w:spacing w:after="0" w:line="236" w:lineRule="auto"/>
        <w:rPr>
          <w:sz w:val="20"/>
          <w:szCs w:val="20"/>
          <w:color w:val="auto"/>
        </w:rPr>
      </w:pPr>
      <w:r>
        <w:rPr>
          <w:rFonts w:ascii="Courier New" w:cs="Courier New" w:eastAsia="Courier New" w:hAnsi="Courier New"/>
          <w:sz w:val="16"/>
          <w:szCs w:val="16"/>
          <w:color w:val="auto"/>
        </w:rPr>
        <w:t>SUPPLEMENTAL INDENTURES</w:t>
      </w:r>
    </w:p>
    <w:p>
      <w:pPr>
        <w:spacing w:after="0" w:line="177" w:lineRule="exact"/>
        <w:rPr>
          <w:sz w:val="20"/>
          <w:szCs w:val="20"/>
          <w:color w:val="auto"/>
        </w:rPr>
      </w:pPr>
    </w:p>
    <w:p>
      <w:pPr>
        <w:spacing w:after="0"/>
        <w:tabs>
          <w:tab w:leader="none" w:pos="1280" w:val="left"/>
          <w:tab w:leader="dot" w:pos="7240" w:val="left"/>
        </w:tabs>
        <w:rPr>
          <w:sz w:val="20"/>
          <w:szCs w:val="20"/>
          <w:color w:val="auto"/>
        </w:rPr>
      </w:pPr>
      <w:r>
        <w:rPr>
          <w:rFonts w:ascii="Courier New" w:cs="Courier New" w:eastAsia="Courier New" w:hAnsi="Courier New"/>
          <w:sz w:val="16"/>
          <w:szCs w:val="16"/>
          <w:color w:val="auto"/>
        </w:rPr>
        <w:t>Section 901.</w:t>
        <w:tab/>
        <w:t>Supplemental Indentures Without Consent of Holders</w:t>
      </w:r>
      <w:r>
        <w:rPr>
          <w:sz w:val="20"/>
          <w:szCs w:val="20"/>
          <w:color w:val="auto"/>
        </w:rPr>
        <w:tab/>
      </w:r>
      <w:r>
        <w:rPr>
          <w:rFonts w:ascii="Courier New" w:cs="Courier New" w:eastAsia="Courier New" w:hAnsi="Courier New"/>
          <w:sz w:val="14"/>
          <w:szCs w:val="14"/>
          <w:color w:val="auto"/>
        </w:rPr>
        <w:t>69</w:t>
      </w:r>
    </w:p>
    <w:p>
      <w:pPr>
        <w:spacing w:after="0"/>
        <w:tabs>
          <w:tab w:leader="none" w:pos="1280" w:val="left"/>
          <w:tab w:leader="dot" w:pos="7240" w:val="left"/>
        </w:tabs>
        <w:rPr>
          <w:sz w:val="20"/>
          <w:szCs w:val="20"/>
          <w:color w:val="auto"/>
        </w:rPr>
      </w:pPr>
      <w:r>
        <w:rPr>
          <w:rFonts w:ascii="Courier New" w:cs="Courier New" w:eastAsia="Courier New" w:hAnsi="Courier New"/>
          <w:sz w:val="16"/>
          <w:szCs w:val="16"/>
          <w:color w:val="auto"/>
        </w:rPr>
        <w:t>Section 902.</w:t>
        <w:tab/>
        <w:t>Supplemental Indentures with Consent of Holders</w:t>
      </w:r>
      <w:r>
        <w:rPr>
          <w:sz w:val="20"/>
          <w:szCs w:val="20"/>
          <w:color w:val="auto"/>
        </w:rPr>
        <w:tab/>
      </w:r>
      <w:r>
        <w:rPr>
          <w:rFonts w:ascii="Courier New" w:cs="Courier New" w:eastAsia="Courier New" w:hAnsi="Courier New"/>
          <w:sz w:val="14"/>
          <w:szCs w:val="14"/>
          <w:color w:val="auto"/>
        </w:rPr>
        <w:t>71</w:t>
      </w:r>
    </w:p>
    <w:p>
      <w:pPr>
        <w:spacing w:after="0"/>
        <w:tabs>
          <w:tab w:leader="none" w:pos="1280" w:val="left"/>
          <w:tab w:leader="dot" w:pos="7240" w:val="left"/>
        </w:tabs>
        <w:rPr>
          <w:sz w:val="20"/>
          <w:szCs w:val="20"/>
          <w:color w:val="auto"/>
        </w:rPr>
      </w:pPr>
      <w:r>
        <w:rPr>
          <w:rFonts w:ascii="Courier New" w:cs="Courier New" w:eastAsia="Courier New" w:hAnsi="Courier New"/>
          <w:sz w:val="16"/>
          <w:szCs w:val="16"/>
          <w:color w:val="auto"/>
        </w:rPr>
        <w:t>Section 903.</w:t>
        <w:tab/>
        <w:t>Execution of Supplemental Indentures</w:t>
      </w:r>
      <w:r>
        <w:rPr>
          <w:sz w:val="20"/>
          <w:szCs w:val="20"/>
          <w:color w:val="auto"/>
        </w:rPr>
        <w:tab/>
      </w:r>
      <w:r>
        <w:rPr>
          <w:rFonts w:ascii="Courier New" w:cs="Courier New" w:eastAsia="Courier New" w:hAnsi="Courier New"/>
          <w:sz w:val="14"/>
          <w:szCs w:val="14"/>
          <w:color w:val="auto"/>
        </w:rPr>
        <w:t>73</w:t>
      </w:r>
    </w:p>
    <w:p>
      <w:pPr>
        <w:spacing w:after="0"/>
        <w:tabs>
          <w:tab w:leader="none" w:pos="1280" w:val="left"/>
          <w:tab w:leader="dot" w:pos="7240" w:val="left"/>
        </w:tabs>
        <w:rPr>
          <w:sz w:val="20"/>
          <w:szCs w:val="20"/>
          <w:color w:val="auto"/>
        </w:rPr>
      </w:pPr>
      <w:r>
        <w:rPr>
          <w:rFonts w:ascii="Courier New" w:cs="Courier New" w:eastAsia="Courier New" w:hAnsi="Courier New"/>
          <w:sz w:val="16"/>
          <w:szCs w:val="16"/>
          <w:color w:val="auto"/>
        </w:rPr>
        <w:t>Section 904.</w:t>
        <w:tab/>
        <w:t>Effect of Supplemental Indentures</w:t>
      </w:r>
      <w:r>
        <w:rPr>
          <w:sz w:val="20"/>
          <w:szCs w:val="20"/>
          <w:color w:val="auto"/>
        </w:rPr>
        <w:tab/>
      </w:r>
      <w:r>
        <w:rPr>
          <w:rFonts w:ascii="Courier New" w:cs="Courier New" w:eastAsia="Courier New" w:hAnsi="Courier New"/>
          <w:sz w:val="14"/>
          <w:szCs w:val="14"/>
          <w:color w:val="auto"/>
        </w:rPr>
        <w:t>73</w:t>
      </w:r>
    </w:p>
    <w:p>
      <w:pPr>
        <w:spacing w:after="0"/>
        <w:tabs>
          <w:tab w:leader="none" w:pos="1280" w:val="left"/>
          <w:tab w:leader="dot" w:pos="7240" w:val="left"/>
        </w:tabs>
        <w:rPr>
          <w:sz w:val="20"/>
          <w:szCs w:val="20"/>
          <w:color w:val="auto"/>
        </w:rPr>
      </w:pPr>
      <w:r>
        <w:rPr>
          <w:rFonts w:ascii="Courier New" w:cs="Courier New" w:eastAsia="Courier New" w:hAnsi="Courier New"/>
          <w:sz w:val="16"/>
          <w:szCs w:val="16"/>
          <w:color w:val="auto"/>
        </w:rPr>
        <w:t>Section 905.</w:t>
        <w:tab/>
        <w:t>Conformity with Trust Indenture Act</w:t>
      </w:r>
      <w:r>
        <w:rPr>
          <w:sz w:val="20"/>
          <w:szCs w:val="20"/>
          <w:color w:val="auto"/>
        </w:rPr>
        <w:tab/>
      </w:r>
      <w:r>
        <w:rPr>
          <w:rFonts w:ascii="Courier New" w:cs="Courier New" w:eastAsia="Courier New" w:hAnsi="Courier New"/>
          <w:sz w:val="14"/>
          <w:szCs w:val="14"/>
          <w:color w:val="auto"/>
        </w:rPr>
        <w:t>73</w:t>
      </w:r>
    </w:p>
    <w:p>
      <w:pPr>
        <w:spacing w:after="0"/>
        <w:tabs>
          <w:tab w:leader="none" w:pos="1280" w:val="left"/>
          <w:tab w:leader="dot" w:pos="7240" w:val="left"/>
        </w:tabs>
        <w:rPr>
          <w:sz w:val="20"/>
          <w:szCs w:val="20"/>
          <w:color w:val="auto"/>
        </w:rPr>
      </w:pPr>
      <w:r>
        <w:rPr>
          <w:rFonts w:ascii="Courier New" w:cs="Courier New" w:eastAsia="Courier New" w:hAnsi="Courier New"/>
          <w:sz w:val="16"/>
          <w:szCs w:val="16"/>
          <w:color w:val="auto"/>
        </w:rPr>
        <w:t>Section 906.</w:t>
        <w:tab/>
        <w:t>Reference in Securities to Supplemental Indentures</w:t>
      </w:r>
      <w:r>
        <w:rPr>
          <w:sz w:val="20"/>
          <w:szCs w:val="20"/>
          <w:color w:val="auto"/>
        </w:rPr>
        <w:tab/>
      </w:r>
      <w:r>
        <w:rPr>
          <w:rFonts w:ascii="Courier New" w:cs="Courier New" w:eastAsia="Courier New" w:hAnsi="Courier New"/>
          <w:sz w:val="14"/>
          <w:szCs w:val="14"/>
          <w:color w:val="auto"/>
        </w:rPr>
        <w:t>73</w:t>
      </w:r>
    </w:p>
    <w:p>
      <w:pPr>
        <w:spacing w:after="0"/>
        <w:tabs>
          <w:tab w:leader="none" w:pos="1280" w:val="left"/>
          <w:tab w:leader="dot" w:pos="7240" w:val="left"/>
        </w:tabs>
        <w:rPr>
          <w:sz w:val="20"/>
          <w:szCs w:val="20"/>
          <w:color w:val="auto"/>
        </w:rPr>
      </w:pPr>
      <w:r>
        <w:rPr>
          <w:rFonts w:ascii="Courier New" w:cs="Courier New" w:eastAsia="Courier New" w:hAnsi="Courier New"/>
          <w:sz w:val="16"/>
          <w:szCs w:val="16"/>
          <w:color w:val="auto"/>
        </w:rPr>
        <w:t>Section 907.</w:t>
        <w:tab/>
        <w:t>Effect on Senior Indebtedness</w:t>
      </w:r>
      <w:r>
        <w:rPr>
          <w:sz w:val="20"/>
          <w:szCs w:val="20"/>
          <w:color w:val="auto"/>
        </w:rPr>
        <w:tab/>
      </w:r>
      <w:r>
        <w:rPr>
          <w:rFonts w:ascii="Courier New" w:cs="Courier New" w:eastAsia="Courier New" w:hAnsi="Courier New"/>
          <w:sz w:val="14"/>
          <w:szCs w:val="14"/>
          <w:color w:val="auto"/>
        </w:rPr>
        <w:t>73</w:t>
      </w:r>
    </w:p>
    <w:p>
      <w:pPr>
        <w:spacing w:after="0" w:line="17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Article Ten</w:t>
      </w:r>
    </w:p>
    <w:p>
      <w:pPr>
        <w:ind w:left="3340"/>
        <w:spacing w:after="0" w:line="236" w:lineRule="auto"/>
        <w:rPr>
          <w:sz w:val="20"/>
          <w:szCs w:val="20"/>
          <w:color w:val="auto"/>
        </w:rPr>
      </w:pPr>
      <w:r>
        <w:rPr>
          <w:rFonts w:ascii="Courier New" w:cs="Courier New" w:eastAsia="Courier New" w:hAnsi="Courier New"/>
          <w:sz w:val="16"/>
          <w:szCs w:val="16"/>
          <w:color w:val="auto"/>
        </w:rPr>
        <w:t>COVENANTS</w:t>
      </w:r>
    </w:p>
    <w:p>
      <w:pPr>
        <w:spacing w:after="0" w:line="177" w:lineRule="exact"/>
        <w:rPr>
          <w:sz w:val="20"/>
          <w:szCs w:val="20"/>
          <w:color w:val="auto"/>
        </w:rPr>
      </w:pPr>
    </w:p>
    <w:p>
      <w:pPr>
        <w:spacing w:after="0"/>
        <w:tabs>
          <w:tab w:leader="dot" w:pos="7240" w:val="left"/>
        </w:tabs>
        <w:rPr>
          <w:sz w:val="20"/>
          <w:szCs w:val="20"/>
          <w:color w:val="auto"/>
        </w:rPr>
      </w:pPr>
      <w:r>
        <w:rPr>
          <w:rFonts w:ascii="Courier New" w:cs="Courier New" w:eastAsia="Courier New" w:hAnsi="Courier New"/>
          <w:sz w:val="16"/>
          <w:szCs w:val="16"/>
          <w:color w:val="auto"/>
        </w:rPr>
        <w:t>Section 1001. Payment of Principal, Premium, if any, and Interest</w:t>
      </w:r>
      <w:r>
        <w:rPr>
          <w:sz w:val="20"/>
          <w:szCs w:val="20"/>
          <w:color w:val="auto"/>
        </w:rPr>
        <w:tab/>
      </w:r>
      <w:r>
        <w:rPr>
          <w:rFonts w:ascii="Courier New" w:cs="Courier New" w:eastAsia="Courier New" w:hAnsi="Courier New"/>
          <w:sz w:val="14"/>
          <w:szCs w:val="14"/>
          <w:color w:val="auto"/>
        </w:rPr>
        <w:t>73</w:t>
      </w:r>
    </w:p>
    <w:p>
      <w:pPr>
        <w:spacing w:after="0"/>
        <w:tabs>
          <w:tab w:leader="dot" w:pos="7240" w:val="left"/>
        </w:tabs>
        <w:rPr>
          <w:sz w:val="20"/>
          <w:szCs w:val="20"/>
          <w:color w:val="auto"/>
        </w:rPr>
      </w:pPr>
      <w:r>
        <w:rPr>
          <w:rFonts w:ascii="Courier New" w:cs="Courier New" w:eastAsia="Courier New" w:hAnsi="Courier New"/>
          <w:sz w:val="16"/>
          <w:szCs w:val="16"/>
          <w:color w:val="auto"/>
        </w:rPr>
        <w:t>Section 1002. Maintenance of Office or Agency</w:t>
      </w:r>
      <w:r>
        <w:rPr>
          <w:sz w:val="20"/>
          <w:szCs w:val="20"/>
          <w:color w:val="auto"/>
        </w:rPr>
        <w:tab/>
      </w:r>
      <w:r>
        <w:rPr>
          <w:rFonts w:ascii="Courier New" w:cs="Courier New" w:eastAsia="Courier New" w:hAnsi="Courier New"/>
          <w:sz w:val="14"/>
          <w:szCs w:val="14"/>
          <w:color w:val="auto"/>
        </w:rPr>
        <w:t>74</w:t>
      </w:r>
    </w:p>
    <w:p>
      <w:pPr>
        <w:spacing w:after="0"/>
        <w:tabs>
          <w:tab w:leader="dot" w:pos="7240" w:val="left"/>
        </w:tabs>
        <w:rPr>
          <w:sz w:val="20"/>
          <w:szCs w:val="20"/>
          <w:color w:val="auto"/>
        </w:rPr>
      </w:pPr>
      <w:r>
        <w:rPr>
          <w:rFonts w:ascii="Courier New" w:cs="Courier New" w:eastAsia="Courier New" w:hAnsi="Courier New"/>
          <w:sz w:val="16"/>
          <w:szCs w:val="16"/>
          <w:color w:val="auto"/>
        </w:rPr>
        <w:t>Section 1003. Money for Securities Payments to be Held in Trust</w:t>
      </w:r>
      <w:r>
        <w:rPr>
          <w:sz w:val="20"/>
          <w:szCs w:val="20"/>
          <w:color w:val="auto"/>
        </w:rPr>
        <w:tab/>
      </w:r>
      <w:r>
        <w:rPr>
          <w:rFonts w:ascii="Courier New" w:cs="Courier New" w:eastAsia="Courier New" w:hAnsi="Courier New"/>
          <w:sz w:val="14"/>
          <w:szCs w:val="14"/>
          <w:color w:val="auto"/>
        </w:rPr>
        <w:t>76</w:t>
      </w:r>
    </w:p>
    <w:p>
      <w:pPr>
        <w:spacing w:after="0"/>
        <w:tabs>
          <w:tab w:leader="dot" w:pos="7240" w:val="left"/>
        </w:tabs>
        <w:rPr>
          <w:sz w:val="20"/>
          <w:szCs w:val="20"/>
          <w:color w:val="auto"/>
        </w:rPr>
      </w:pPr>
      <w:r>
        <w:rPr>
          <w:rFonts w:ascii="Courier New" w:cs="Courier New" w:eastAsia="Courier New" w:hAnsi="Courier New"/>
          <w:sz w:val="16"/>
          <w:szCs w:val="16"/>
          <w:color w:val="auto"/>
        </w:rPr>
        <w:t>Section 1004. Corporate Existence</w:t>
      </w:r>
      <w:r>
        <w:rPr>
          <w:sz w:val="20"/>
          <w:szCs w:val="20"/>
          <w:color w:val="auto"/>
        </w:rPr>
        <w:tab/>
      </w:r>
      <w:r>
        <w:rPr>
          <w:rFonts w:ascii="Courier New" w:cs="Courier New" w:eastAsia="Courier New" w:hAnsi="Courier New"/>
          <w:sz w:val="14"/>
          <w:szCs w:val="14"/>
          <w:color w:val="auto"/>
        </w:rPr>
        <w:t>77</w:t>
      </w:r>
    </w:p>
    <w:p>
      <w:pPr>
        <w:spacing w:after="0"/>
        <w:tabs>
          <w:tab w:leader="dot" w:pos="7240" w:val="left"/>
        </w:tabs>
        <w:rPr>
          <w:sz w:val="20"/>
          <w:szCs w:val="20"/>
          <w:color w:val="auto"/>
        </w:rPr>
      </w:pPr>
      <w:r>
        <w:rPr>
          <w:rFonts w:ascii="Courier New" w:cs="Courier New" w:eastAsia="Courier New" w:hAnsi="Courier New"/>
          <w:sz w:val="16"/>
          <w:szCs w:val="16"/>
          <w:color w:val="auto"/>
        </w:rPr>
        <w:t>Section 1005. Additional Amounts</w:t>
      </w:r>
      <w:r>
        <w:rPr>
          <w:sz w:val="20"/>
          <w:szCs w:val="20"/>
          <w:color w:val="auto"/>
        </w:rPr>
        <w:tab/>
      </w:r>
      <w:r>
        <w:rPr>
          <w:rFonts w:ascii="Courier New" w:cs="Courier New" w:eastAsia="Courier New" w:hAnsi="Courier New"/>
          <w:sz w:val="14"/>
          <w:szCs w:val="14"/>
          <w:color w:val="auto"/>
        </w:rPr>
        <w:t>77</w:t>
      </w:r>
    </w:p>
    <w:p>
      <w:pPr>
        <w:spacing w:after="0"/>
        <w:tabs>
          <w:tab w:leader="dot" w:pos="7240" w:val="left"/>
        </w:tabs>
        <w:rPr>
          <w:sz w:val="20"/>
          <w:szCs w:val="20"/>
          <w:color w:val="auto"/>
        </w:rPr>
      </w:pPr>
      <w:r>
        <w:rPr>
          <w:rFonts w:ascii="Courier New" w:cs="Courier New" w:eastAsia="Courier New" w:hAnsi="Courier New"/>
          <w:sz w:val="16"/>
          <w:szCs w:val="16"/>
          <w:color w:val="auto"/>
        </w:rPr>
        <w:t>Section 1006. Statement as to Compliance</w:t>
      </w:r>
      <w:r>
        <w:rPr>
          <w:sz w:val="20"/>
          <w:szCs w:val="20"/>
          <w:color w:val="auto"/>
        </w:rPr>
        <w:tab/>
      </w:r>
      <w:r>
        <w:rPr>
          <w:rFonts w:ascii="Courier New" w:cs="Courier New" w:eastAsia="Courier New" w:hAnsi="Courier New"/>
          <w:sz w:val="14"/>
          <w:szCs w:val="14"/>
          <w:color w:val="auto"/>
        </w:rPr>
        <w:t>78</w:t>
      </w:r>
    </w:p>
    <w:p>
      <w:pPr>
        <w:spacing w:after="0"/>
        <w:tabs>
          <w:tab w:leader="dot" w:pos="7240" w:val="left"/>
        </w:tabs>
        <w:rPr>
          <w:sz w:val="20"/>
          <w:szCs w:val="20"/>
          <w:color w:val="auto"/>
        </w:rPr>
      </w:pPr>
      <w:r>
        <w:rPr>
          <w:rFonts w:ascii="Courier New" w:cs="Courier New" w:eastAsia="Courier New" w:hAnsi="Courier New"/>
          <w:sz w:val="16"/>
          <w:szCs w:val="16"/>
          <w:color w:val="auto"/>
        </w:rPr>
        <w:t>Section 1007. Waiver of Certain Covenants</w:t>
      </w:r>
      <w:r>
        <w:rPr>
          <w:sz w:val="20"/>
          <w:szCs w:val="20"/>
          <w:color w:val="auto"/>
        </w:rPr>
        <w:tab/>
      </w:r>
      <w:r>
        <w:rPr>
          <w:rFonts w:ascii="Courier New" w:cs="Courier New" w:eastAsia="Courier New" w:hAnsi="Courier New"/>
          <w:sz w:val="14"/>
          <w:szCs w:val="14"/>
          <w:color w:val="auto"/>
        </w:rPr>
        <w:t>78</w:t>
      </w:r>
    </w:p>
    <w:p>
      <w:pPr>
        <w:spacing w:after="0"/>
        <w:tabs>
          <w:tab w:leader="dot" w:pos="7240" w:val="left"/>
        </w:tabs>
        <w:rPr>
          <w:sz w:val="20"/>
          <w:szCs w:val="20"/>
          <w:color w:val="auto"/>
        </w:rPr>
      </w:pPr>
      <w:r>
        <w:rPr>
          <w:rFonts w:ascii="Courier New" w:cs="Courier New" w:eastAsia="Courier New" w:hAnsi="Courier New"/>
          <w:sz w:val="16"/>
          <w:szCs w:val="16"/>
          <w:color w:val="auto"/>
        </w:rPr>
        <w:t>Section 1008. Statement by Officers as to Default</w:t>
      </w:r>
      <w:r>
        <w:rPr>
          <w:sz w:val="20"/>
          <w:szCs w:val="20"/>
          <w:color w:val="auto"/>
        </w:rPr>
        <w:tab/>
      </w:r>
      <w:r>
        <w:rPr>
          <w:rFonts w:ascii="Courier New" w:cs="Courier New" w:eastAsia="Courier New" w:hAnsi="Courier New"/>
          <w:sz w:val="14"/>
          <w:szCs w:val="14"/>
          <w:color w:val="auto"/>
        </w:rPr>
        <w:t>79</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Article Eleven</w:t>
      </w:r>
    </w:p>
    <w:p>
      <w:pPr>
        <w:ind w:left="2600"/>
        <w:spacing w:after="0" w:line="236" w:lineRule="auto"/>
        <w:rPr>
          <w:sz w:val="20"/>
          <w:szCs w:val="20"/>
          <w:color w:val="auto"/>
        </w:rPr>
      </w:pPr>
      <w:r>
        <w:rPr>
          <w:rFonts w:ascii="Courier New" w:cs="Courier New" w:eastAsia="Courier New" w:hAnsi="Courier New"/>
          <w:sz w:val="16"/>
          <w:szCs w:val="16"/>
          <w:color w:val="auto"/>
        </w:rPr>
        <w:t>REDEMPTION OF SECURITIES</w:t>
      </w:r>
    </w:p>
    <w:p>
      <w:pPr>
        <w:spacing w:after="0" w:line="177" w:lineRule="exact"/>
        <w:rPr>
          <w:sz w:val="20"/>
          <w:szCs w:val="20"/>
          <w:color w:val="auto"/>
        </w:rPr>
      </w:pPr>
    </w:p>
    <w:p>
      <w:pPr>
        <w:spacing w:after="0"/>
        <w:tabs>
          <w:tab w:leader="dot" w:pos="7240" w:val="left"/>
        </w:tabs>
        <w:rPr>
          <w:sz w:val="20"/>
          <w:szCs w:val="20"/>
          <w:color w:val="auto"/>
        </w:rPr>
      </w:pPr>
      <w:r>
        <w:rPr>
          <w:rFonts w:ascii="Courier New" w:cs="Courier New" w:eastAsia="Courier New" w:hAnsi="Courier New"/>
          <w:sz w:val="16"/>
          <w:szCs w:val="16"/>
          <w:color w:val="auto"/>
        </w:rPr>
        <w:t>Section 1101. Applicability of Article</w:t>
      </w:r>
      <w:r>
        <w:rPr>
          <w:sz w:val="20"/>
          <w:szCs w:val="20"/>
          <w:color w:val="auto"/>
        </w:rPr>
        <w:tab/>
      </w:r>
      <w:r>
        <w:rPr>
          <w:rFonts w:ascii="Courier New" w:cs="Courier New" w:eastAsia="Courier New" w:hAnsi="Courier New"/>
          <w:sz w:val="14"/>
          <w:szCs w:val="14"/>
          <w:color w:val="auto"/>
        </w:rPr>
        <w:t>79</w:t>
      </w:r>
    </w:p>
    <w:p>
      <w:pPr>
        <w:spacing w:after="0"/>
        <w:tabs>
          <w:tab w:leader="dot" w:pos="7240" w:val="left"/>
        </w:tabs>
        <w:rPr>
          <w:sz w:val="20"/>
          <w:szCs w:val="20"/>
          <w:color w:val="auto"/>
        </w:rPr>
      </w:pPr>
      <w:r>
        <w:rPr>
          <w:rFonts w:ascii="Courier New" w:cs="Courier New" w:eastAsia="Courier New" w:hAnsi="Courier New"/>
          <w:sz w:val="16"/>
          <w:szCs w:val="16"/>
          <w:color w:val="auto"/>
        </w:rPr>
        <w:t>Section 1102. Election to Redeem; Notice to Trustee</w:t>
      </w:r>
      <w:r>
        <w:rPr>
          <w:sz w:val="20"/>
          <w:szCs w:val="20"/>
          <w:color w:val="auto"/>
        </w:rPr>
        <w:tab/>
      </w:r>
      <w:r>
        <w:rPr>
          <w:rFonts w:ascii="Courier New" w:cs="Courier New" w:eastAsia="Courier New" w:hAnsi="Courier New"/>
          <w:sz w:val="14"/>
          <w:szCs w:val="14"/>
          <w:color w:val="auto"/>
        </w:rPr>
        <w:t>79</w:t>
      </w:r>
    </w:p>
    <w:p>
      <w:pPr>
        <w:spacing w:after="0"/>
        <w:tabs>
          <w:tab w:leader="dot" w:pos="7240" w:val="left"/>
        </w:tabs>
        <w:rPr>
          <w:sz w:val="20"/>
          <w:szCs w:val="20"/>
          <w:color w:val="auto"/>
        </w:rPr>
      </w:pPr>
      <w:r>
        <w:rPr>
          <w:rFonts w:ascii="Courier New" w:cs="Courier New" w:eastAsia="Courier New" w:hAnsi="Courier New"/>
          <w:sz w:val="16"/>
          <w:szCs w:val="16"/>
          <w:color w:val="auto"/>
        </w:rPr>
        <w:t>Section 1103. Selection by Trustee of Securities to be Redeemed</w:t>
      </w:r>
      <w:r>
        <w:rPr>
          <w:sz w:val="20"/>
          <w:szCs w:val="20"/>
          <w:color w:val="auto"/>
        </w:rPr>
        <w:tab/>
      </w:r>
      <w:r>
        <w:rPr>
          <w:rFonts w:ascii="Courier New" w:cs="Courier New" w:eastAsia="Courier New" w:hAnsi="Courier New"/>
          <w:sz w:val="14"/>
          <w:szCs w:val="14"/>
          <w:color w:val="auto"/>
        </w:rPr>
        <w:t>79</w:t>
      </w:r>
    </w:p>
    <w:p>
      <w:pPr>
        <w:spacing w:after="0"/>
        <w:tabs>
          <w:tab w:leader="dot" w:pos="7240" w:val="left"/>
        </w:tabs>
        <w:rPr>
          <w:sz w:val="20"/>
          <w:szCs w:val="20"/>
          <w:color w:val="auto"/>
        </w:rPr>
      </w:pPr>
      <w:r>
        <w:rPr>
          <w:rFonts w:ascii="Courier New" w:cs="Courier New" w:eastAsia="Courier New" w:hAnsi="Courier New"/>
          <w:sz w:val="16"/>
          <w:szCs w:val="16"/>
          <w:color w:val="auto"/>
        </w:rPr>
        <w:t>Section 1104. Notice of Redemption</w:t>
      </w:r>
      <w:r>
        <w:rPr>
          <w:sz w:val="20"/>
          <w:szCs w:val="20"/>
          <w:color w:val="auto"/>
        </w:rPr>
        <w:tab/>
      </w:r>
      <w:r>
        <w:rPr>
          <w:rFonts w:ascii="Courier New" w:cs="Courier New" w:eastAsia="Courier New" w:hAnsi="Courier New"/>
          <w:sz w:val="14"/>
          <w:szCs w:val="14"/>
          <w:color w:val="auto"/>
        </w:rPr>
        <w:t>80</w:t>
      </w:r>
    </w:p>
    <w:p>
      <w:pPr>
        <w:spacing w:after="0"/>
        <w:tabs>
          <w:tab w:leader="dot" w:pos="7240" w:val="left"/>
        </w:tabs>
        <w:rPr>
          <w:sz w:val="20"/>
          <w:szCs w:val="20"/>
          <w:color w:val="auto"/>
        </w:rPr>
      </w:pPr>
      <w:r>
        <w:rPr>
          <w:rFonts w:ascii="Courier New" w:cs="Courier New" w:eastAsia="Courier New" w:hAnsi="Courier New"/>
          <w:sz w:val="16"/>
          <w:szCs w:val="16"/>
          <w:color w:val="auto"/>
        </w:rPr>
        <w:t>Section 1105. Deposit of Redemption Price</w:t>
      </w:r>
      <w:r>
        <w:rPr>
          <w:sz w:val="20"/>
          <w:szCs w:val="20"/>
          <w:color w:val="auto"/>
        </w:rPr>
        <w:tab/>
      </w:r>
      <w:r>
        <w:rPr>
          <w:rFonts w:ascii="Courier New" w:cs="Courier New" w:eastAsia="Courier New" w:hAnsi="Courier New"/>
          <w:sz w:val="14"/>
          <w:szCs w:val="14"/>
          <w:color w:val="auto"/>
        </w:rPr>
        <w:t>81</w:t>
      </w:r>
    </w:p>
    <w:p>
      <w:pPr>
        <w:spacing w:after="0"/>
        <w:tabs>
          <w:tab w:leader="dot" w:pos="7240" w:val="left"/>
        </w:tabs>
        <w:rPr>
          <w:sz w:val="20"/>
          <w:szCs w:val="20"/>
          <w:color w:val="auto"/>
        </w:rPr>
      </w:pPr>
      <w:r>
        <w:rPr>
          <w:rFonts w:ascii="Courier New" w:cs="Courier New" w:eastAsia="Courier New" w:hAnsi="Courier New"/>
          <w:sz w:val="16"/>
          <w:szCs w:val="16"/>
          <w:color w:val="auto"/>
        </w:rPr>
        <w:t>Section 1106. Securities Payable on Redemption Date</w:t>
      </w:r>
      <w:r>
        <w:rPr>
          <w:sz w:val="20"/>
          <w:szCs w:val="20"/>
          <w:color w:val="auto"/>
        </w:rPr>
        <w:tab/>
      </w:r>
      <w:r>
        <w:rPr>
          <w:rFonts w:ascii="Courier New" w:cs="Courier New" w:eastAsia="Courier New" w:hAnsi="Courier New"/>
          <w:sz w:val="14"/>
          <w:szCs w:val="14"/>
          <w:color w:val="auto"/>
        </w:rPr>
        <w:t>81</w:t>
      </w:r>
    </w:p>
    <w:p>
      <w:pPr>
        <w:spacing w:after="0"/>
        <w:tabs>
          <w:tab w:leader="dot" w:pos="7240" w:val="left"/>
        </w:tabs>
        <w:rPr>
          <w:sz w:val="20"/>
          <w:szCs w:val="20"/>
          <w:color w:val="auto"/>
        </w:rPr>
      </w:pPr>
      <w:r>
        <w:rPr>
          <w:rFonts w:ascii="Courier New" w:cs="Courier New" w:eastAsia="Courier New" w:hAnsi="Courier New"/>
          <w:sz w:val="16"/>
          <w:szCs w:val="16"/>
          <w:color w:val="auto"/>
        </w:rPr>
        <w:t>Section 1107. Securities Redeemed in Part</w:t>
      </w:r>
      <w:r>
        <w:rPr>
          <w:sz w:val="20"/>
          <w:szCs w:val="20"/>
          <w:color w:val="auto"/>
        </w:rPr>
        <w:tab/>
      </w:r>
      <w:r>
        <w:rPr>
          <w:rFonts w:ascii="Courier New" w:cs="Courier New" w:eastAsia="Courier New" w:hAnsi="Courier New"/>
          <w:sz w:val="14"/>
          <w:szCs w:val="14"/>
          <w:color w:val="auto"/>
        </w:rPr>
        <w:t>82</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iii</w:t>
      </w:r>
    </w:p>
    <w:p>
      <w:pPr>
        <w:sectPr>
          <w:pgSz w:w="11900" w:h="16838" w:orient="portrait"/>
          <w:cols w:equalWidth="0" w:num="1">
            <w:col w:w="10219"/>
          </w:cols>
          <w:pgMar w:left="240" w:top="648" w:right="1440" w:bottom="1440" w:gutter="0" w:footer="0" w:header="0"/>
        </w:sectPr>
      </w:pPr>
    </w:p>
    <w:bookmarkStart w:id="177" w:name="page178"/>
    <w:bookmarkEnd w:id="177"/>
    <w:p>
      <w:pPr>
        <w:ind w:left="3060"/>
        <w:spacing w:after="0"/>
        <w:rPr>
          <w:sz w:val="20"/>
          <w:szCs w:val="20"/>
          <w:color w:val="auto"/>
        </w:rPr>
      </w:pPr>
      <w:r>
        <w:rPr>
          <w:rFonts w:ascii="Courier New" w:cs="Courier New" w:eastAsia="Courier New" w:hAnsi="Courier New"/>
          <w:sz w:val="16"/>
          <w:szCs w:val="16"/>
          <w:color w:val="auto"/>
        </w:rPr>
        <w:t>Article Twelve</w:t>
      </w:r>
    </w:p>
    <w:p>
      <w:pPr>
        <w:ind w:left="3160"/>
        <w:spacing w:after="0" w:line="236" w:lineRule="auto"/>
        <w:rPr>
          <w:sz w:val="20"/>
          <w:szCs w:val="20"/>
          <w:color w:val="auto"/>
        </w:rPr>
      </w:pPr>
      <w:r>
        <w:rPr>
          <w:rFonts w:ascii="Courier New" w:cs="Courier New" w:eastAsia="Courier New" w:hAnsi="Courier New"/>
          <w:sz w:val="16"/>
          <w:szCs w:val="16"/>
          <w:color w:val="auto"/>
        </w:rPr>
        <w:t>SINKING FUNDS</w:t>
      </w:r>
    </w:p>
    <w:p>
      <w:pPr>
        <w:spacing w:after="0" w:line="177" w:lineRule="exact"/>
        <w:rPr>
          <w:sz w:val="20"/>
          <w:szCs w:val="20"/>
          <w:color w:val="auto"/>
        </w:rPr>
      </w:pPr>
    </w:p>
    <w:p>
      <w:pPr>
        <w:spacing w:after="0"/>
        <w:tabs>
          <w:tab w:leader="dot" w:pos="7240" w:val="left"/>
        </w:tabs>
        <w:rPr>
          <w:sz w:val="20"/>
          <w:szCs w:val="20"/>
          <w:color w:val="auto"/>
        </w:rPr>
      </w:pPr>
      <w:r>
        <w:rPr>
          <w:rFonts w:ascii="Courier New" w:cs="Courier New" w:eastAsia="Courier New" w:hAnsi="Courier New"/>
          <w:sz w:val="16"/>
          <w:szCs w:val="16"/>
          <w:color w:val="auto"/>
        </w:rPr>
        <w:t>Section 1201. Applicability of Article</w:t>
      </w:r>
      <w:r>
        <w:rPr>
          <w:sz w:val="20"/>
          <w:szCs w:val="20"/>
          <w:color w:val="auto"/>
        </w:rPr>
        <w:tab/>
      </w:r>
      <w:r>
        <w:rPr>
          <w:rFonts w:ascii="Courier New" w:cs="Courier New" w:eastAsia="Courier New" w:hAnsi="Courier New"/>
          <w:sz w:val="14"/>
          <w:szCs w:val="14"/>
          <w:color w:val="auto"/>
        </w:rPr>
        <w:t>83</w:t>
      </w:r>
    </w:p>
    <w:p>
      <w:pPr>
        <w:spacing w:after="0"/>
        <w:tabs>
          <w:tab w:leader="dot" w:pos="7240" w:val="left"/>
        </w:tabs>
        <w:rPr>
          <w:sz w:val="20"/>
          <w:szCs w:val="20"/>
          <w:color w:val="auto"/>
        </w:rPr>
      </w:pPr>
      <w:r>
        <w:rPr>
          <w:rFonts w:ascii="Courier New" w:cs="Courier New" w:eastAsia="Courier New" w:hAnsi="Courier New"/>
          <w:sz w:val="16"/>
          <w:szCs w:val="16"/>
          <w:color w:val="auto"/>
        </w:rPr>
        <w:t>Section 1202. Satisfaction of Sinking Fund Payments with Securities</w:t>
      </w:r>
      <w:r>
        <w:rPr>
          <w:sz w:val="20"/>
          <w:szCs w:val="20"/>
          <w:color w:val="auto"/>
        </w:rPr>
        <w:tab/>
      </w:r>
      <w:r>
        <w:rPr>
          <w:rFonts w:ascii="Courier New" w:cs="Courier New" w:eastAsia="Courier New" w:hAnsi="Courier New"/>
          <w:sz w:val="14"/>
          <w:szCs w:val="14"/>
          <w:color w:val="auto"/>
        </w:rPr>
        <w:t>83</w:t>
      </w:r>
    </w:p>
    <w:p>
      <w:pPr>
        <w:spacing w:after="0"/>
        <w:tabs>
          <w:tab w:leader="dot" w:pos="7240" w:val="left"/>
        </w:tabs>
        <w:rPr>
          <w:sz w:val="20"/>
          <w:szCs w:val="20"/>
          <w:color w:val="auto"/>
        </w:rPr>
      </w:pPr>
      <w:r>
        <w:rPr>
          <w:rFonts w:ascii="Courier New" w:cs="Courier New" w:eastAsia="Courier New" w:hAnsi="Courier New"/>
          <w:sz w:val="16"/>
          <w:szCs w:val="16"/>
          <w:color w:val="auto"/>
        </w:rPr>
        <w:t>Section 1203. Redemption of Securities for Sinking Fund</w:t>
      </w:r>
      <w:r>
        <w:rPr>
          <w:sz w:val="20"/>
          <w:szCs w:val="20"/>
          <w:color w:val="auto"/>
        </w:rPr>
        <w:tab/>
      </w:r>
      <w:r>
        <w:rPr>
          <w:rFonts w:ascii="Courier New" w:cs="Courier New" w:eastAsia="Courier New" w:hAnsi="Courier New"/>
          <w:sz w:val="14"/>
          <w:szCs w:val="14"/>
          <w:color w:val="auto"/>
        </w:rPr>
        <w:t>83</w:t>
      </w:r>
    </w:p>
    <w:p>
      <w:pPr>
        <w:spacing w:after="0" w:line="177"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Article Thirteen</w:t>
      </w:r>
    </w:p>
    <w:p>
      <w:pPr>
        <w:ind w:left="2140"/>
        <w:spacing w:after="0" w:line="236" w:lineRule="auto"/>
        <w:rPr>
          <w:sz w:val="20"/>
          <w:szCs w:val="20"/>
          <w:color w:val="auto"/>
        </w:rPr>
      </w:pPr>
      <w:r>
        <w:rPr>
          <w:rFonts w:ascii="Courier New" w:cs="Courier New" w:eastAsia="Courier New" w:hAnsi="Courier New"/>
          <w:sz w:val="16"/>
          <w:szCs w:val="16"/>
          <w:color w:val="auto"/>
        </w:rPr>
        <w:t>REPAYMENT AT THE OPTION OF HOLDERS</w:t>
      </w:r>
    </w:p>
    <w:p>
      <w:pPr>
        <w:spacing w:after="0" w:line="177" w:lineRule="exact"/>
        <w:rPr>
          <w:sz w:val="20"/>
          <w:szCs w:val="20"/>
          <w:color w:val="auto"/>
        </w:rPr>
      </w:pPr>
    </w:p>
    <w:p>
      <w:pPr>
        <w:spacing w:after="0"/>
        <w:tabs>
          <w:tab w:leader="dot" w:pos="7240" w:val="left"/>
        </w:tabs>
        <w:rPr>
          <w:sz w:val="20"/>
          <w:szCs w:val="20"/>
          <w:color w:val="auto"/>
        </w:rPr>
      </w:pPr>
      <w:r>
        <w:rPr>
          <w:rFonts w:ascii="Courier New" w:cs="Courier New" w:eastAsia="Courier New" w:hAnsi="Courier New"/>
          <w:sz w:val="16"/>
          <w:szCs w:val="16"/>
          <w:color w:val="auto"/>
        </w:rPr>
        <w:t>Section 1301. Applicability of Article</w:t>
      </w:r>
      <w:r>
        <w:rPr>
          <w:sz w:val="20"/>
          <w:szCs w:val="20"/>
          <w:color w:val="auto"/>
        </w:rPr>
        <w:tab/>
      </w:r>
      <w:r>
        <w:rPr>
          <w:rFonts w:ascii="Courier New" w:cs="Courier New" w:eastAsia="Courier New" w:hAnsi="Courier New"/>
          <w:sz w:val="14"/>
          <w:szCs w:val="14"/>
          <w:color w:val="auto"/>
        </w:rPr>
        <w:t>84</w:t>
      </w:r>
    </w:p>
    <w:p>
      <w:pPr>
        <w:spacing w:after="0"/>
        <w:tabs>
          <w:tab w:leader="dot" w:pos="7240" w:val="left"/>
        </w:tabs>
        <w:rPr>
          <w:sz w:val="20"/>
          <w:szCs w:val="20"/>
          <w:color w:val="auto"/>
        </w:rPr>
      </w:pPr>
      <w:r>
        <w:rPr>
          <w:rFonts w:ascii="Courier New" w:cs="Courier New" w:eastAsia="Courier New" w:hAnsi="Courier New"/>
          <w:sz w:val="16"/>
          <w:szCs w:val="16"/>
          <w:color w:val="auto"/>
        </w:rPr>
        <w:t>Section 1302. Repayment of Securities</w:t>
      </w:r>
      <w:r>
        <w:rPr>
          <w:sz w:val="20"/>
          <w:szCs w:val="20"/>
          <w:color w:val="auto"/>
        </w:rPr>
        <w:tab/>
      </w:r>
      <w:r>
        <w:rPr>
          <w:rFonts w:ascii="Courier New" w:cs="Courier New" w:eastAsia="Courier New" w:hAnsi="Courier New"/>
          <w:sz w:val="14"/>
          <w:szCs w:val="14"/>
          <w:color w:val="auto"/>
        </w:rPr>
        <w:t>84</w:t>
      </w:r>
    </w:p>
    <w:p>
      <w:pPr>
        <w:spacing w:after="0"/>
        <w:tabs>
          <w:tab w:leader="dot" w:pos="7240" w:val="left"/>
        </w:tabs>
        <w:rPr>
          <w:sz w:val="20"/>
          <w:szCs w:val="20"/>
          <w:color w:val="auto"/>
        </w:rPr>
      </w:pPr>
      <w:r>
        <w:rPr>
          <w:rFonts w:ascii="Courier New" w:cs="Courier New" w:eastAsia="Courier New" w:hAnsi="Courier New"/>
          <w:sz w:val="16"/>
          <w:szCs w:val="16"/>
          <w:color w:val="auto"/>
        </w:rPr>
        <w:t>Section 1303. Exercise of Option</w:t>
      </w:r>
      <w:r>
        <w:rPr>
          <w:sz w:val="20"/>
          <w:szCs w:val="20"/>
          <w:color w:val="auto"/>
        </w:rPr>
        <w:tab/>
      </w:r>
      <w:r>
        <w:rPr>
          <w:rFonts w:ascii="Courier New" w:cs="Courier New" w:eastAsia="Courier New" w:hAnsi="Courier New"/>
          <w:sz w:val="14"/>
          <w:szCs w:val="14"/>
          <w:color w:val="auto"/>
        </w:rPr>
        <w:t>84</w:t>
      </w:r>
    </w:p>
    <w:p>
      <w:pPr>
        <w:spacing w:after="0" w:line="237" w:lineRule="auto"/>
        <w:rPr>
          <w:sz w:val="20"/>
          <w:szCs w:val="20"/>
          <w:color w:val="auto"/>
        </w:rPr>
      </w:pPr>
      <w:r>
        <w:rPr>
          <w:rFonts w:ascii="Courier New" w:cs="Courier New" w:eastAsia="Courier New" w:hAnsi="Courier New"/>
          <w:sz w:val="16"/>
          <w:szCs w:val="16"/>
          <w:color w:val="auto"/>
        </w:rPr>
        <w:t>Section 1304. When Securities Presented for Repayment Become Due</w:t>
      </w:r>
    </w:p>
    <w:p>
      <w:pPr>
        <w:jc w:val="right"/>
        <w:ind w:right="2779"/>
        <w:spacing w:after="0"/>
        <w:tabs>
          <w:tab w:leader="dot" w:pos="160" w:val="left"/>
        </w:tabs>
        <w:rPr>
          <w:sz w:val="20"/>
          <w:szCs w:val="20"/>
          <w:color w:val="auto"/>
        </w:rPr>
      </w:pPr>
      <w:r>
        <w:rPr>
          <w:rFonts w:ascii="Courier New" w:cs="Courier New" w:eastAsia="Courier New" w:hAnsi="Courier New"/>
          <w:sz w:val="16"/>
          <w:szCs w:val="16"/>
          <w:color w:val="auto"/>
        </w:rPr>
        <w:t>and Payable</w:t>
      </w:r>
      <w:r>
        <w:rPr>
          <w:sz w:val="20"/>
          <w:szCs w:val="20"/>
          <w:color w:val="auto"/>
        </w:rPr>
        <w:tab/>
      </w:r>
      <w:r>
        <w:rPr>
          <w:rFonts w:ascii="Courier New" w:cs="Courier New" w:eastAsia="Courier New" w:hAnsi="Courier New"/>
          <w:sz w:val="14"/>
          <w:szCs w:val="14"/>
          <w:color w:val="auto"/>
        </w:rPr>
        <w:t>85</w:t>
      </w:r>
    </w:p>
    <w:p>
      <w:pPr>
        <w:spacing w:after="0"/>
        <w:tabs>
          <w:tab w:leader="dot" w:pos="7240" w:val="left"/>
        </w:tabs>
        <w:rPr>
          <w:sz w:val="20"/>
          <w:szCs w:val="20"/>
          <w:color w:val="auto"/>
        </w:rPr>
      </w:pPr>
      <w:r>
        <w:rPr>
          <w:rFonts w:ascii="Courier New" w:cs="Courier New" w:eastAsia="Courier New" w:hAnsi="Courier New"/>
          <w:sz w:val="16"/>
          <w:szCs w:val="16"/>
          <w:color w:val="auto"/>
        </w:rPr>
        <w:t>Section 1305. Securities Repaid in Part</w:t>
      </w:r>
      <w:r>
        <w:rPr>
          <w:sz w:val="20"/>
          <w:szCs w:val="20"/>
          <w:color w:val="auto"/>
        </w:rPr>
        <w:tab/>
      </w:r>
      <w:r>
        <w:rPr>
          <w:rFonts w:ascii="Courier New" w:cs="Courier New" w:eastAsia="Courier New" w:hAnsi="Courier New"/>
          <w:sz w:val="14"/>
          <w:szCs w:val="14"/>
          <w:color w:val="auto"/>
        </w:rPr>
        <w:t>86</w:t>
      </w:r>
    </w:p>
    <w:p>
      <w:pPr>
        <w:spacing w:after="0" w:line="177"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Article Fourteen</w:t>
      </w:r>
    </w:p>
    <w:p>
      <w:pPr>
        <w:ind w:left="2140"/>
        <w:spacing w:after="0" w:line="236" w:lineRule="auto"/>
        <w:rPr>
          <w:sz w:val="20"/>
          <w:szCs w:val="20"/>
          <w:color w:val="auto"/>
        </w:rPr>
      </w:pPr>
      <w:r>
        <w:rPr>
          <w:rFonts w:ascii="Courier New" w:cs="Courier New" w:eastAsia="Courier New" w:hAnsi="Courier New"/>
          <w:sz w:val="16"/>
          <w:szCs w:val="16"/>
          <w:color w:val="auto"/>
        </w:rPr>
        <w:t>DEFEASANCE AND COVENANT DEFEASANCE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1401. Applicability of Article; Company's Option to Effect</w:t>
      </w:r>
    </w:p>
    <w:p>
      <w:pPr>
        <w:jc w:val="right"/>
        <w:ind w:right="2779"/>
        <w:spacing w:after="0"/>
        <w:tabs>
          <w:tab w:leader="dot" w:pos="160" w:val="left"/>
        </w:tabs>
        <w:rPr>
          <w:sz w:val="20"/>
          <w:szCs w:val="20"/>
          <w:color w:val="auto"/>
        </w:rPr>
      </w:pPr>
      <w:r>
        <w:rPr>
          <w:rFonts w:ascii="Courier New" w:cs="Courier New" w:eastAsia="Courier New" w:hAnsi="Courier New"/>
          <w:sz w:val="16"/>
          <w:szCs w:val="16"/>
          <w:color w:val="auto"/>
        </w:rPr>
        <w:t>Defeasance or Covenant Defeasance</w:t>
      </w:r>
      <w:r>
        <w:rPr>
          <w:sz w:val="20"/>
          <w:szCs w:val="20"/>
          <w:color w:val="auto"/>
        </w:rPr>
        <w:tab/>
      </w:r>
      <w:r>
        <w:rPr>
          <w:rFonts w:ascii="Courier New" w:cs="Courier New" w:eastAsia="Courier New" w:hAnsi="Courier New"/>
          <w:sz w:val="14"/>
          <w:szCs w:val="14"/>
          <w:color w:val="auto"/>
        </w:rPr>
        <w:t>86</w:t>
      </w:r>
    </w:p>
    <w:p>
      <w:pPr>
        <w:spacing w:after="0"/>
        <w:tabs>
          <w:tab w:leader="dot" w:pos="7240" w:val="left"/>
        </w:tabs>
        <w:rPr>
          <w:sz w:val="20"/>
          <w:szCs w:val="20"/>
          <w:color w:val="auto"/>
        </w:rPr>
      </w:pPr>
      <w:r>
        <w:rPr>
          <w:rFonts w:ascii="Courier New" w:cs="Courier New" w:eastAsia="Courier New" w:hAnsi="Courier New"/>
          <w:sz w:val="16"/>
          <w:szCs w:val="16"/>
          <w:color w:val="auto"/>
        </w:rPr>
        <w:t>Section 1402. Defeasance and Discharge</w:t>
      </w:r>
      <w:r>
        <w:rPr>
          <w:sz w:val="20"/>
          <w:szCs w:val="20"/>
          <w:color w:val="auto"/>
        </w:rPr>
        <w:tab/>
      </w:r>
      <w:r>
        <w:rPr>
          <w:rFonts w:ascii="Courier New" w:cs="Courier New" w:eastAsia="Courier New" w:hAnsi="Courier New"/>
          <w:sz w:val="14"/>
          <w:szCs w:val="14"/>
          <w:color w:val="auto"/>
        </w:rPr>
        <w:t>86</w:t>
      </w:r>
    </w:p>
    <w:p>
      <w:pPr>
        <w:spacing w:after="0"/>
        <w:tabs>
          <w:tab w:leader="dot" w:pos="7240" w:val="left"/>
        </w:tabs>
        <w:rPr>
          <w:sz w:val="20"/>
          <w:szCs w:val="20"/>
          <w:color w:val="auto"/>
        </w:rPr>
      </w:pPr>
      <w:r>
        <w:rPr>
          <w:rFonts w:ascii="Courier New" w:cs="Courier New" w:eastAsia="Courier New" w:hAnsi="Courier New"/>
          <w:sz w:val="16"/>
          <w:szCs w:val="16"/>
          <w:color w:val="auto"/>
        </w:rPr>
        <w:t>Section 1403. Covenant Defeasance</w:t>
      </w:r>
      <w:r>
        <w:rPr>
          <w:sz w:val="20"/>
          <w:szCs w:val="20"/>
          <w:color w:val="auto"/>
        </w:rPr>
        <w:tab/>
      </w:r>
      <w:r>
        <w:rPr>
          <w:rFonts w:ascii="Courier New" w:cs="Courier New" w:eastAsia="Courier New" w:hAnsi="Courier New"/>
          <w:sz w:val="14"/>
          <w:szCs w:val="14"/>
          <w:color w:val="auto"/>
        </w:rPr>
        <w:t>87</w:t>
      </w:r>
    </w:p>
    <w:p>
      <w:pPr>
        <w:spacing w:after="0"/>
        <w:tabs>
          <w:tab w:leader="dot" w:pos="7240" w:val="left"/>
        </w:tabs>
        <w:rPr>
          <w:sz w:val="20"/>
          <w:szCs w:val="20"/>
          <w:color w:val="auto"/>
        </w:rPr>
      </w:pPr>
      <w:r>
        <w:rPr>
          <w:rFonts w:ascii="Courier New" w:cs="Courier New" w:eastAsia="Courier New" w:hAnsi="Courier New"/>
          <w:sz w:val="16"/>
          <w:szCs w:val="16"/>
          <w:color w:val="auto"/>
        </w:rPr>
        <w:t>Section 1404. Conditions to Defeasance or Covenant Defeasance</w:t>
      </w:r>
      <w:r>
        <w:rPr>
          <w:sz w:val="20"/>
          <w:szCs w:val="20"/>
          <w:color w:val="auto"/>
        </w:rPr>
        <w:tab/>
      </w:r>
      <w:r>
        <w:rPr>
          <w:rFonts w:ascii="Courier New" w:cs="Courier New" w:eastAsia="Courier New" w:hAnsi="Courier New"/>
          <w:sz w:val="14"/>
          <w:szCs w:val="14"/>
          <w:color w:val="auto"/>
        </w:rPr>
        <w:t>88</w:t>
      </w:r>
    </w:p>
    <w:p>
      <w:pPr>
        <w:spacing w:after="0" w:line="237" w:lineRule="auto"/>
        <w:rPr>
          <w:sz w:val="20"/>
          <w:szCs w:val="20"/>
          <w:color w:val="auto"/>
        </w:rPr>
      </w:pPr>
      <w:r>
        <w:rPr>
          <w:rFonts w:ascii="Courier New" w:cs="Courier New" w:eastAsia="Courier New" w:hAnsi="Courier New"/>
          <w:sz w:val="16"/>
          <w:szCs w:val="16"/>
          <w:color w:val="auto"/>
        </w:rPr>
        <w:t>Section 1405. Deposited Money and Government Obligations to Be</w:t>
      </w:r>
    </w:p>
    <w:p>
      <w:pPr>
        <w:jc w:val="right"/>
        <w:ind w:right="2779"/>
        <w:spacing w:after="0"/>
        <w:tabs>
          <w:tab w:leader="dot" w:pos="160" w:val="left"/>
        </w:tabs>
        <w:rPr>
          <w:sz w:val="20"/>
          <w:szCs w:val="20"/>
          <w:color w:val="auto"/>
        </w:rPr>
      </w:pPr>
      <w:r>
        <w:rPr>
          <w:rFonts w:ascii="Courier New" w:cs="Courier New" w:eastAsia="Courier New" w:hAnsi="Courier New"/>
          <w:sz w:val="16"/>
          <w:szCs w:val="16"/>
          <w:color w:val="auto"/>
        </w:rPr>
        <w:t>Held in Trust; Other Miscellaneous Provisions</w:t>
      </w:r>
      <w:r>
        <w:rPr>
          <w:sz w:val="20"/>
          <w:szCs w:val="20"/>
          <w:color w:val="auto"/>
        </w:rPr>
        <w:tab/>
      </w:r>
      <w:r>
        <w:rPr>
          <w:rFonts w:ascii="Courier New" w:cs="Courier New" w:eastAsia="Courier New" w:hAnsi="Courier New"/>
          <w:sz w:val="14"/>
          <w:szCs w:val="14"/>
          <w:color w:val="auto"/>
        </w:rPr>
        <w:t>89</w:t>
      </w:r>
    </w:p>
    <w:p>
      <w:pPr>
        <w:spacing w:after="0"/>
        <w:tabs>
          <w:tab w:leader="dot" w:pos="7240" w:val="left"/>
        </w:tabs>
        <w:rPr>
          <w:sz w:val="20"/>
          <w:szCs w:val="20"/>
          <w:color w:val="auto"/>
        </w:rPr>
      </w:pPr>
      <w:r>
        <w:rPr>
          <w:rFonts w:ascii="Courier New" w:cs="Courier New" w:eastAsia="Courier New" w:hAnsi="Courier New"/>
          <w:sz w:val="16"/>
          <w:szCs w:val="16"/>
          <w:color w:val="auto"/>
        </w:rPr>
        <w:t>Section 1406. Reinstatement</w:t>
      </w:r>
      <w:r>
        <w:rPr>
          <w:sz w:val="20"/>
          <w:szCs w:val="20"/>
          <w:color w:val="auto"/>
        </w:rPr>
        <w:tab/>
      </w:r>
      <w:r>
        <w:rPr>
          <w:rFonts w:ascii="Courier New" w:cs="Courier New" w:eastAsia="Courier New" w:hAnsi="Courier New"/>
          <w:sz w:val="14"/>
          <w:szCs w:val="14"/>
          <w:color w:val="auto"/>
        </w:rPr>
        <w:t>90</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Article Fifteen</w:t>
      </w:r>
    </w:p>
    <w:p>
      <w:pPr>
        <w:ind w:left="2220"/>
        <w:spacing w:after="0" w:line="236" w:lineRule="auto"/>
        <w:rPr>
          <w:sz w:val="20"/>
          <w:szCs w:val="20"/>
          <w:color w:val="auto"/>
        </w:rPr>
      </w:pPr>
      <w:r>
        <w:rPr>
          <w:rFonts w:ascii="Courier New" w:cs="Courier New" w:eastAsia="Courier New" w:hAnsi="Courier New"/>
          <w:sz w:val="16"/>
          <w:szCs w:val="16"/>
          <w:color w:val="auto"/>
        </w:rPr>
        <w:t>MEETINGS OF HOLDERS OF SECURITIES</w:t>
      </w:r>
    </w:p>
    <w:p>
      <w:pPr>
        <w:spacing w:after="0" w:line="177" w:lineRule="exact"/>
        <w:rPr>
          <w:sz w:val="20"/>
          <w:szCs w:val="20"/>
          <w:color w:val="auto"/>
        </w:rPr>
      </w:pPr>
    </w:p>
    <w:p>
      <w:pPr>
        <w:spacing w:after="0"/>
        <w:tabs>
          <w:tab w:leader="dot" w:pos="7240" w:val="left"/>
        </w:tabs>
        <w:rPr>
          <w:sz w:val="20"/>
          <w:szCs w:val="20"/>
          <w:color w:val="auto"/>
        </w:rPr>
      </w:pPr>
      <w:r>
        <w:rPr>
          <w:rFonts w:ascii="Courier New" w:cs="Courier New" w:eastAsia="Courier New" w:hAnsi="Courier New"/>
          <w:sz w:val="16"/>
          <w:szCs w:val="16"/>
          <w:color w:val="auto"/>
        </w:rPr>
        <w:t>Section 1501. Purposes for Which Meetings May Be Called</w:t>
      </w:r>
      <w:r>
        <w:rPr>
          <w:sz w:val="20"/>
          <w:szCs w:val="20"/>
          <w:color w:val="auto"/>
        </w:rPr>
        <w:tab/>
      </w:r>
      <w:r>
        <w:rPr>
          <w:rFonts w:ascii="Courier New" w:cs="Courier New" w:eastAsia="Courier New" w:hAnsi="Courier New"/>
          <w:sz w:val="14"/>
          <w:szCs w:val="14"/>
          <w:color w:val="auto"/>
        </w:rPr>
        <w:t>91</w:t>
      </w:r>
    </w:p>
    <w:p>
      <w:pPr>
        <w:spacing w:after="0"/>
        <w:tabs>
          <w:tab w:leader="dot" w:pos="7240" w:val="left"/>
        </w:tabs>
        <w:rPr>
          <w:sz w:val="20"/>
          <w:szCs w:val="20"/>
          <w:color w:val="auto"/>
        </w:rPr>
      </w:pPr>
      <w:r>
        <w:rPr>
          <w:rFonts w:ascii="Courier New" w:cs="Courier New" w:eastAsia="Courier New" w:hAnsi="Courier New"/>
          <w:sz w:val="16"/>
          <w:szCs w:val="16"/>
          <w:color w:val="auto"/>
        </w:rPr>
        <w:t>Section 1502. Call, Notice and Place of Meetings</w:t>
      </w:r>
      <w:r>
        <w:rPr>
          <w:sz w:val="20"/>
          <w:szCs w:val="20"/>
          <w:color w:val="auto"/>
        </w:rPr>
        <w:tab/>
      </w:r>
      <w:r>
        <w:rPr>
          <w:rFonts w:ascii="Courier New" w:cs="Courier New" w:eastAsia="Courier New" w:hAnsi="Courier New"/>
          <w:sz w:val="14"/>
          <w:szCs w:val="14"/>
          <w:color w:val="auto"/>
        </w:rPr>
        <w:t>91</w:t>
      </w:r>
    </w:p>
    <w:p>
      <w:pPr>
        <w:spacing w:after="0"/>
        <w:tabs>
          <w:tab w:leader="dot" w:pos="7240" w:val="left"/>
        </w:tabs>
        <w:rPr>
          <w:sz w:val="20"/>
          <w:szCs w:val="20"/>
          <w:color w:val="auto"/>
        </w:rPr>
      </w:pPr>
      <w:r>
        <w:rPr>
          <w:rFonts w:ascii="Courier New" w:cs="Courier New" w:eastAsia="Courier New" w:hAnsi="Courier New"/>
          <w:sz w:val="16"/>
          <w:szCs w:val="16"/>
          <w:color w:val="auto"/>
        </w:rPr>
        <w:t>Section 1503. Persons Entitled to Vote at Meetings</w:t>
      </w:r>
      <w:r>
        <w:rPr>
          <w:sz w:val="20"/>
          <w:szCs w:val="20"/>
          <w:color w:val="auto"/>
        </w:rPr>
        <w:tab/>
      </w:r>
      <w:r>
        <w:rPr>
          <w:rFonts w:ascii="Courier New" w:cs="Courier New" w:eastAsia="Courier New" w:hAnsi="Courier New"/>
          <w:sz w:val="14"/>
          <w:szCs w:val="14"/>
          <w:color w:val="auto"/>
        </w:rPr>
        <w:t>91</w:t>
      </w:r>
    </w:p>
    <w:p>
      <w:pPr>
        <w:spacing w:after="0"/>
        <w:tabs>
          <w:tab w:leader="dot" w:pos="7240" w:val="left"/>
        </w:tabs>
        <w:rPr>
          <w:sz w:val="20"/>
          <w:szCs w:val="20"/>
          <w:color w:val="auto"/>
        </w:rPr>
      </w:pPr>
      <w:r>
        <w:rPr>
          <w:rFonts w:ascii="Courier New" w:cs="Courier New" w:eastAsia="Courier New" w:hAnsi="Courier New"/>
          <w:sz w:val="16"/>
          <w:szCs w:val="16"/>
          <w:color w:val="auto"/>
        </w:rPr>
        <w:t>Section 1504. Quorum; Action</w:t>
      </w:r>
      <w:r>
        <w:rPr>
          <w:sz w:val="20"/>
          <w:szCs w:val="20"/>
          <w:color w:val="auto"/>
        </w:rPr>
        <w:tab/>
      </w:r>
      <w:r>
        <w:rPr>
          <w:rFonts w:ascii="Courier New" w:cs="Courier New" w:eastAsia="Courier New" w:hAnsi="Courier New"/>
          <w:sz w:val="14"/>
          <w:szCs w:val="14"/>
          <w:color w:val="auto"/>
        </w:rPr>
        <w:t>92</w:t>
      </w:r>
    </w:p>
    <w:p>
      <w:pPr>
        <w:spacing w:after="0" w:line="237" w:lineRule="auto"/>
        <w:rPr>
          <w:sz w:val="20"/>
          <w:szCs w:val="20"/>
          <w:color w:val="auto"/>
        </w:rPr>
      </w:pPr>
      <w:r>
        <w:rPr>
          <w:rFonts w:ascii="Courier New" w:cs="Courier New" w:eastAsia="Courier New" w:hAnsi="Courier New"/>
          <w:sz w:val="16"/>
          <w:szCs w:val="16"/>
          <w:color w:val="auto"/>
        </w:rPr>
        <w:t>Section 1505. Determination of Voting Rights; Conduct and Adjournment</w:t>
      </w:r>
    </w:p>
    <w:p>
      <w:pPr>
        <w:jc w:val="right"/>
        <w:ind w:right="2779"/>
        <w:spacing w:after="0"/>
        <w:tabs>
          <w:tab w:leader="dot" w:pos="160" w:val="left"/>
        </w:tabs>
        <w:rPr>
          <w:sz w:val="20"/>
          <w:szCs w:val="20"/>
          <w:color w:val="auto"/>
        </w:rPr>
      </w:pPr>
      <w:r>
        <w:rPr>
          <w:rFonts w:ascii="Courier New" w:cs="Courier New" w:eastAsia="Courier New" w:hAnsi="Courier New"/>
          <w:sz w:val="16"/>
          <w:szCs w:val="16"/>
          <w:color w:val="auto"/>
        </w:rPr>
        <w:t>of Meetings</w:t>
      </w:r>
      <w:r>
        <w:rPr>
          <w:sz w:val="20"/>
          <w:szCs w:val="20"/>
          <w:color w:val="auto"/>
        </w:rPr>
        <w:tab/>
      </w:r>
      <w:r>
        <w:rPr>
          <w:rFonts w:ascii="Courier New" w:cs="Courier New" w:eastAsia="Courier New" w:hAnsi="Courier New"/>
          <w:sz w:val="14"/>
          <w:szCs w:val="14"/>
          <w:color w:val="auto"/>
        </w:rPr>
        <w:t>93</w:t>
      </w:r>
    </w:p>
    <w:p>
      <w:pPr>
        <w:spacing w:after="0"/>
        <w:tabs>
          <w:tab w:leader="dot" w:pos="7240" w:val="left"/>
        </w:tabs>
        <w:rPr>
          <w:sz w:val="20"/>
          <w:szCs w:val="20"/>
          <w:color w:val="auto"/>
        </w:rPr>
      </w:pPr>
      <w:r>
        <w:rPr>
          <w:rFonts w:ascii="Courier New" w:cs="Courier New" w:eastAsia="Courier New" w:hAnsi="Courier New"/>
          <w:sz w:val="16"/>
          <w:szCs w:val="16"/>
          <w:color w:val="auto"/>
        </w:rPr>
        <w:t>Section 1506. Counting Votes and Recording Action of Meetings</w:t>
      </w:r>
      <w:r>
        <w:rPr>
          <w:sz w:val="20"/>
          <w:szCs w:val="20"/>
          <w:color w:val="auto"/>
        </w:rPr>
        <w:tab/>
      </w:r>
      <w:r>
        <w:rPr>
          <w:rFonts w:ascii="Courier New" w:cs="Courier New" w:eastAsia="Courier New" w:hAnsi="Courier New"/>
          <w:sz w:val="14"/>
          <w:szCs w:val="14"/>
          <w:color w:val="auto"/>
        </w:rPr>
        <w:t>94</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Article Sixteen</w:t>
      </w:r>
    </w:p>
    <w:p>
      <w:pPr>
        <w:ind w:left="2500"/>
        <w:spacing w:after="0" w:line="236" w:lineRule="auto"/>
        <w:rPr>
          <w:sz w:val="20"/>
          <w:szCs w:val="20"/>
          <w:color w:val="auto"/>
        </w:rPr>
      </w:pPr>
      <w:r>
        <w:rPr>
          <w:rFonts w:ascii="Courier New" w:cs="Courier New" w:eastAsia="Courier New" w:hAnsi="Courier New"/>
          <w:sz w:val="16"/>
          <w:szCs w:val="16"/>
          <w:color w:val="auto"/>
        </w:rPr>
        <w:t>SUBORDINATION OF SECURITIES</w:t>
      </w:r>
    </w:p>
    <w:p>
      <w:pPr>
        <w:spacing w:after="0" w:line="177" w:lineRule="exact"/>
        <w:rPr>
          <w:sz w:val="20"/>
          <w:szCs w:val="20"/>
          <w:color w:val="auto"/>
        </w:rPr>
      </w:pPr>
    </w:p>
    <w:p>
      <w:pPr>
        <w:spacing w:after="0"/>
        <w:tabs>
          <w:tab w:leader="dot" w:pos="7240" w:val="left"/>
        </w:tabs>
        <w:rPr>
          <w:sz w:val="20"/>
          <w:szCs w:val="20"/>
          <w:color w:val="auto"/>
        </w:rPr>
      </w:pPr>
      <w:r>
        <w:rPr>
          <w:rFonts w:ascii="Courier New" w:cs="Courier New" w:eastAsia="Courier New" w:hAnsi="Courier New"/>
          <w:sz w:val="16"/>
          <w:szCs w:val="16"/>
          <w:color w:val="auto"/>
        </w:rPr>
        <w:t>Section 1601. Agreement to Subordinate</w:t>
      </w:r>
      <w:r>
        <w:rPr>
          <w:sz w:val="20"/>
          <w:szCs w:val="20"/>
          <w:color w:val="auto"/>
        </w:rPr>
        <w:tab/>
      </w:r>
      <w:r>
        <w:rPr>
          <w:rFonts w:ascii="Courier New" w:cs="Courier New" w:eastAsia="Courier New" w:hAnsi="Courier New"/>
          <w:sz w:val="14"/>
          <w:szCs w:val="14"/>
          <w:color w:val="auto"/>
        </w:rPr>
        <w:t>94</w:t>
      </w:r>
    </w:p>
    <w:p>
      <w:pPr>
        <w:spacing w:after="0" w:line="236" w:lineRule="auto"/>
        <w:rPr>
          <w:sz w:val="20"/>
          <w:szCs w:val="20"/>
          <w:color w:val="auto"/>
        </w:rPr>
      </w:pPr>
      <w:r>
        <w:rPr>
          <w:rFonts w:ascii="Courier New" w:cs="Courier New" w:eastAsia="Courier New" w:hAnsi="Courier New"/>
          <w:sz w:val="16"/>
          <w:szCs w:val="16"/>
          <w:color w:val="auto"/>
        </w:rPr>
        <w:t>Section 1602. Distribution on Dissolution, Liquidation and</w:t>
      </w:r>
    </w:p>
    <w:p>
      <w:pPr>
        <w:jc w:val="right"/>
        <w:ind w:right="2779"/>
        <w:spacing w:after="0"/>
        <w:tabs>
          <w:tab w:leader="dot" w:pos="160" w:val="left"/>
        </w:tabs>
        <w:rPr>
          <w:sz w:val="20"/>
          <w:szCs w:val="20"/>
          <w:color w:val="auto"/>
        </w:rPr>
      </w:pPr>
      <w:r>
        <w:rPr>
          <w:rFonts w:ascii="Courier New" w:cs="Courier New" w:eastAsia="Courier New" w:hAnsi="Courier New"/>
          <w:sz w:val="16"/>
          <w:szCs w:val="16"/>
          <w:color w:val="auto"/>
        </w:rPr>
        <w:t>Reorganization; Subrogation of Securities</w:t>
      </w:r>
      <w:r>
        <w:rPr>
          <w:sz w:val="20"/>
          <w:szCs w:val="20"/>
          <w:color w:val="auto"/>
        </w:rPr>
        <w:tab/>
      </w:r>
      <w:r>
        <w:rPr>
          <w:rFonts w:ascii="Courier New" w:cs="Courier New" w:eastAsia="Courier New" w:hAnsi="Courier New"/>
          <w:sz w:val="14"/>
          <w:szCs w:val="14"/>
          <w:color w:val="auto"/>
        </w:rPr>
        <w:t>95</w:t>
      </w:r>
    </w:p>
    <w:p>
      <w:pPr>
        <w:spacing w:after="0"/>
        <w:tabs>
          <w:tab w:leader="dot" w:pos="7240" w:val="left"/>
        </w:tabs>
        <w:rPr>
          <w:sz w:val="20"/>
          <w:szCs w:val="20"/>
          <w:color w:val="auto"/>
        </w:rPr>
      </w:pPr>
      <w:r>
        <w:rPr>
          <w:rFonts w:ascii="Courier New" w:cs="Courier New" w:eastAsia="Courier New" w:hAnsi="Courier New"/>
          <w:sz w:val="16"/>
          <w:szCs w:val="16"/>
          <w:color w:val="auto"/>
        </w:rPr>
        <w:t>Section 1603. No Payment on Securities in Certain Circumstances</w:t>
      </w:r>
      <w:r>
        <w:rPr>
          <w:sz w:val="20"/>
          <w:szCs w:val="20"/>
          <w:color w:val="auto"/>
        </w:rPr>
        <w:tab/>
      </w:r>
      <w:r>
        <w:rPr>
          <w:rFonts w:ascii="Courier New" w:cs="Courier New" w:eastAsia="Courier New" w:hAnsi="Courier New"/>
          <w:sz w:val="14"/>
          <w:szCs w:val="14"/>
          <w:color w:val="auto"/>
        </w:rPr>
        <w:t>96</w:t>
      </w:r>
    </w:p>
    <w:p>
      <w:pPr>
        <w:spacing w:after="0"/>
        <w:tabs>
          <w:tab w:leader="dot" w:pos="7240" w:val="left"/>
        </w:tabs>
        <w:rPr>
          <w:sz w:val="20"/>
          <w:szCs w:val="20"/>
          <w:color w:val="auto"/>
        </w:rPr>
      </w:pPr>
      <w:r>
        <w:rPr>
          <w:rFonts w:ascii="Courier New" w:cs="Courier New" w:eastAsia="Courier New" w:hAnsi="Courier New"/>
          <w:sz w:val="16"/>
          <w:szCs w:val="16"/>
          <w:color w:val="auto"/>
        </w:rPr>
        <w:t>Section 1604. Payments on Securities Permitted</w:t>
      </w:r>
      <w:r>
        <w:rPr>
          <w:sz w:val="20"/>
          <w:szCs w:val="20"/>
          <w:color w:val="auto"/>
        </w:rPr>
        <w:tab/>
      </w:r>
      <w:r>
        <w:rPr>
          <w:rFonts w:ascii="Courier New" w:cs="Courier New" w:eastAsia="Courier New" w:hAnsi="Courier New"/>
          <w:sz w:val="14"/>
          <w:szCs w:val="14"/>
          <w:color w:val="auto"/>
        </w:rPr>
        <w:t>98</w:t>
      </w:r>
    </w:p>
    <w:p>
      <w:pPr>
        <w:spacing w:after="0"/>
        <w:tabs>
          <w:tab w:leader="dot" w:pos="7240" w:val="left"/>
        </w:tabs>
        <w:rPr>
          <w:sz w:val="20"/>
          <w:szCs w:val="20"/>
          <w:color w:val="auto"/>
        </w:rPr>
      </w:pPr>
      <w:r>
        <w:rPr>
          <w:rFonts w:ascii="Courier New" w:cs="Courier New" w:eastAsia="Courier New" w:hAnsi="Courier New"/>
          <w:sz w:val="16"/>
          <w:szCs w:val="16"/>
          <w:color w:val="auto"/>
        </w:rPr>
        <w:t>Section 1605. Authorization of Holders to Trustee to Effect Subordination</w:t>
      </w:r>
      <w:r>
        <w:rPr>
          <w:sz w:val="20"/>
          <w:szCs w:val="20"/>
          <w:color w:val="auto"/>
        </w:rPr>
        <w:tab/>
      </w:r>
      <w:r>
        <w:rPr>
          <w:rFonts w:ascii="Courier New" w:cs="Courier New" w:eastAsia="Courier New" w:hAnsi="Courier New"/>
          <w:sz w:val="14"/>
          <w:szCs w:val="14"/>
          <w:color w:val="auto"/>
        </w:rPr>
        <w:t>98</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iv</w:t>
      </w:r>
    </w:p>
    <w:p>
      <w:pPr>
        <w:sectPr>
          <w:pgSz w:w="11900" w:h="16838" w:orient="portrait"/>
          <w:cols w:equalWidth="0" w:num="1">
            <w:col w:w="10219"/>
          </w:cols>
          <w:pgMar w:left="240" w:top="648" w:right="1440" w:bottom="1440" w:gutter="0" w:footer="0" w:header="0"/>
        </w:sectPr>
      </w:pPr>
    </w:p>
    <w:bookmarkStart w:id="178" w:name="page179"/>
    <w:bookmarkEnd w:id="178"/>
    <w:p>
      <w:pPr>
        <w:spacing w:after="0"/>
        <w:tabs>
          <w:tab w:leader="dot" w:pos="7240" w:val="left"/>
        </w:tabs>
        <w:rPr>
          <w:sz w:val="20"/>
          <w:szCs w:val="20"/>
          <w:color w:val="auto"/>
        </w:rPr>
      </w:pPr>
      <w:r>
        <w:rPr>
          <w:rFonts w:ascii="Courier New" w:cs="Courier New" w:eastAsia="Courier New" w:hAnsi="Courier New"/>
          <w:sz w:val="16"/>
          <w:szCs w:val="16"/>
          <w:color w:val="auto"/>
        </w:rPr>
        <w:t>Section 1606. Notices to Trustee</w:t>
      </w:r>
      <w:r>
        <w:rPr>
          <w:sz w:val="20"/>
          <w:szCs w:val="20"/>
          <w:color w:val="auto"/>
        </w:rPr>
        <w:tab/>
      </w:r>
      <w:r>
        <w:rPr>
          <w:rFonts w:ascii="Courier New" w:cs="Courier New" w:eastAsia="Courier New" w:hAnsi="Courier New"/>
          <w:sz w:val="14"/>
          <w:szCs w:val="14"/>
          <w:color w:val="auto"/>
        </w:rPr>
        <w:t>99</w:t>
      </w:r>
    </w:p>
    <w:p>
      <w:pPr>
        <w:spacing w:after="0"/>
        <w:tabs>
          <w:tab w:leader="dot" w:pos="7240" w:val="left"/>
        </w:tabs>
        <w:rPr>
          <w:sz w:val="20"/>
          <w:szCs w:val="20"/>
          <w:color w:val="auto"/>
        </w:rPr>
      </w:pPr>
      <w:r>
        <w:rPr>
          <w:rFonts w:ascii="Courier New" w:cs="Courier New" w:eastAsia="Courier New" w:hAnsi="Courier New"/>
          <w:sz w:val="16"/>
          <w:szCs w:val="16"/>
          <w:color w:val="auto"/>
        </w:rPr>
        <w:t>Section 1607. Trustee as Holder of Senior Indebtedness</w:t>
      </w:r>
      <w:r>
        <w:rPr>
          <w:sz w:val="20"/>
          <w:szCs w:val="20"/>
          <w:color w:val="auto"/>
        </w:rPr>
        <w:tab/>
      </w:r>
      <w:r>
        <w:rPr>
          <w:rFonts w:ascii="Courier New" w:cs="Courier New" w:eastAsia="Courier New" w:hAnsi="Courier New"/>
          <w:sz w:val="14"/>
          <w:szCs w:val="14"/>
          <w:color w:val="auto"/>
        </w:rPr>
        <w:t>99</w:t>
      </w:r>
    </w:p>
    <w:p>
      <w:pPr>
        <w:spacing w:after="0"/>
        <w:tabs>
          <w:tab w:leader="dot" w:pos="7140" w:val="left"/>
        </w:tabs>
        <w:rPr>
          <w:sz w:val="20"/>
          <w:szCs w:val="20"/>
          <w:color w:val="auto"/>
        </w:rPr>
      </w:pPr>
      <w:r>
        <w:rPr>
          <w:rFonts w:ascii="Courier New" w:cs="Courier New" w:eastAsia="Courier New" w:hAnsi="Courier New"/>
          <w:sz w:val="16"/>
          <w:szCs w:val="16"/>
          <w:color w:val="auto"/>
        </w:rPr>
        <w:t>Section 1608. Modifications of Terms of Senior Indebtedness</w:t>
      </w:r>
      <w:r>
        <w:rPr>
          <w:sz w:val="20"/>
          <w:szCs w:val="20"/>
          <w:color w:val="auto"/>
        </w:rPr>
        <w:tab/>
      </w:r>
      <w:r>
        <w:rPr>
          <w:rFonts w:ascii="Courier New" w:cs="Courier New" w:eastAsia="Courier New" w:hAnsi="Courier New"/>
          <w:sz w:val="14"/>
          <w:szCs w:val="14"/>
          <w:color w:val="auto"/>
        </w:rPr>
        <w:t>100</w:t>
      </w:r>
    </w:p>
    <w:p>
      <w:pPr>
        <w:spacing w:after="0" w:line="237" w:lineRule="auto"/>
        <w:rPr>
          <w:sz w:val="20"/>
          <w:szCs w:val="20"/>
          <w:color w:val="auto"/>
        </w:rPr>
      </w:pPr>
      <w:r>
        <w:rPr>
          <w:rFonts w:ascii="Courier New" w:cs="Courier New" w:eastAsia="Courier New" w:hAnsi="Courier New"/>
          <w:sz w:val="16"/>
          <w:szCs w:val="16"/>
          <w:color w:val="auto"/>
        </w:rPr>
        <w:t>Section 1609. Reliance on Judicial Order or Certificate of Liquidating</w:t>
      </w:r>
    </w:p>
    <w:p>
      <w:pPr>
        <w:jc w:val="right"/>
        <w:ind w:right="2779"/>
        <w:spacing w:after="0"/>
        <w:tabs>
          <w:tab w:leader="dot" w:pos="260" w:val="left"/>
        </w:tabs>
        <w:rPr>
          <w:sz w:val="20"/>
          <w:szCs w:val="20"/>
          <w:color w:val="auto"/>
        </w:rPr>
      </w:pPr>
      <w:r>
        <w:rPr>
          <w:rFonts w:ascii="Courier New" w:cs="Courier New" w:eastAsia="Courier New" w:hAnsi="Courier New"/>
          <w:sz w:val="16"/>
          <w:szCs w:val="16"/>
          <w:color w:val="auto"/>
        </w:rPr>
        <w:t>Agent</w:t>
      </w:r>
      <w:r>
        <w:rPr>
          <w:sz w:val="20"/>
          <w:szCs w:val="20"/>
          <w:color w:val="auto"/>
        </w:rPr>
        <w:tab/>
      </w:r>
      <w:r>
        <w:rPr>
          <w:rFonts w:ascii="Courier New" w:cs="Courier New" w:eastAsia="Courier New" w:hAnsi="Courier New"/>
          <w:sz w:val="14"/>
          <w:szCs w:val="14"/>
          <w:color w:val="auto"/>
        </w:rPr>
        <w:t>100</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A - FORMS OF CERTIFICATES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w:t>
      </w:r>
    </w:p>
    <w:p>
      <w:pPr>
        <w:sectPr>
          <w:pgSz w:w="11900" w:h="16838" w:orient="portrait"/>
          <w:cols w:equalWidth="0" w:num="1">
            <w:col w:w="10219"/>
          </w:cols>
          <w:pgMar w:left="240" w:top="648" w:right="1440" w:bottom="1440" w:gutter="0" w:footer="0" w:header="0"/>
        </w:sectPr>
      </w:pPr>
    </w:p>
    <w:bookmarkStart w:id="179" w:name="page180"/>
    <w:bookmarkEnd w:id="179"/>
    <w:p>
      <w:pPr>
        <w:ind w:left="920"/>
        <w:spacing w:after="0"/>
        <w:rPr>
          <w:sz w:val="20"/>
          <w:szCs w:val="20"/>
          <w:color w:val="auto"/>
        </w:rPr>
      </w:pPr>
      <w:r>
        <w:rPr>
          <w:rFonts w:ascii="Courier New" w:cs="Courier New" w:eastAsia="Courier New" w:hAnsi="Courier New"/>
          <w:sz w:val="14"/>
          <w:szCs w:val="14"/>
          <w:color w:val="auto"/>
        </w:rPr>
        <w:t>INDENTURE, dated as of _______, 2002, between CLEARONE COMMUNICATIONS,</w:t>
      </w:r>
    </w:p>
    <w:p>
      <w:pPr>
        <w:spacing w:after="0" w:line="20"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INC., a Utah corporation (hereinafter called the "Company"), having its principal office at 1825 Research Way, Salt Lake City, Utah 84119, and THE BANK OF NEW YORK, a New York banking corporation, as Trustee (hereinafter called the "Trustee").</w:t>
      </w:r>
    </w:p>
    <w:p>
      <w:pPr>
        <w:spacing w:after="0" w:line="178"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RECITALS OF THE COMPANY</w:t>
      </w:r>
    </w:p>
    <w:p>
      <w:pPr>
        <w:spacing w:after="0" w:line="183" w:lineRule="exact"/>
        <w:rPr>
          <w:sz w:val="20"/>
          <w:szCs w:val="20"/>
          <w:color w:val="auto"/>
        </w:rPr>
      </w:pPr>
    </w:p>
    <w:p>
      <w:pPr>
        <w:ind w:right="2779" w:firstLine="930"/>
        <w:spacing w:after="0" w:line="236" w:lineRule="auto"/>
        <w:rPr>
          <w:sz w:val="20"/>
          <w:szCs w:val="20"/>
          <w:color w:val="auto"/>
        </w:rPr>
      </w:pPr>
      <w:r>
        <w:rPr>
          <w:rFonts w:ascii="Courier New" w:cs="Courier New" w:eastAsia="Courier New" w:hAnsi="Courier New"/>
          <w:sz w:val="16"/>
          <w:szCs w:val="16"/>
          <w:color w:val="auto"/>
        </w:rPr>
        <w:t>WHEREAS, the Company deems it necessary to issue from time to time for its lawful purposes subordinated debt securities (hereinafter called the "Securities") evidencing its unsecured and subordinated indebtedness, which may or may not be convertible into or exchangeable for any securities of any Person (including the Company), and has duly authorized the execution and delivery of this Indenture to provide for the issuance from time to time of the Securities, to be issued in one or more series, unlimited as to principal amount, to bear such rates of interest, to mature at such times and to have such other provisions as provided in this Indenture;</w:t>
      </w:r>
    </w:p>
    <w:p>
      <w:pPr>
        <w:spacing w:after="0" w:line="185" w:lineRule="exact"/>
        <w:rPr>
          <w:sz w:val="20"/>
          <w:szCs w:val="20"/>
          <w:color w:val="auto"/>
        </w:rPr>
      </w:pPr>
    </w:p>
    <w:p>
      <w:pPr>
        <w:ind w:right="2959" w:firstLine="930"/>
        <w:spacing w:after="0" w:line="235" w:lineRule="auto"/>
        <w:rPr>
          <w:sz w:val="20"/>
          <w:szCs w:val="20"/>
          <w:color w:val="auto"/>
        </w:rPr>
      </w:pPr>
      <w:r>
        <w:rPr>
          <w:rFonts w:ascii="Courier New" w:cs="Courier New" w:eastAsia="Courier New" w:hAnsi="Courier New"/>
          <w:sz w:val="16"/>
          <w:szCs w:val="16"/>
          <w:color w:val="auto"/>
        </w:rPr>
        <w:t>WHEREAS, this Indenture is subject to the provisions of the Trust Indenture Act of 1939, as amended, that are required to be part of this Indenture and shall, to the extent applicable, be governed by such provisions; and</w:t>
      </w:r>
    </w:p>
    <w:p>
      <w:pPr>
        <w:spacing w:after="0" w:line="185" w:lineRule="exact"/>
        <w:rPr>
          <w:sz w:val="20"/>
          <w:szCs w:val="20"/>
          <w:color w:val="auto"/>
        </w:rPr>
      </w:pPr>
    </w:p>
    <w:p>
      <w:pPr>
        <w:ind w:right="3159" w:firstLine="930"/>
        <w:spacing w:after="0" w:line="235" w:lineRule="auto"/>
        <w:rPr>
          <w:sz w:val="20"/>
          <w:szCs w:val="20"/>
          <w:color w:val="auto"/>
        </w:rPr>
      </w:pPr>
      <w:r>
        <w:rPr>
          <w:rFonts w:ascii="Courier New" w:cs="Courier New" w:eastAsia="Courier New" w:hAnsi="Courier New"/>
          <w:sz w:val="16"/>
          <w:szCs w:val="16"/>
          <w:color w:val="auto"/>
        </w:rPr>
        <w:t>WHEREAS, all things necessary to make this Indenture a valid and legally binding agreement of the Company, in accordance with its terms, have been done;</w:t>
      </w:r>
    </w:p>
    <w:p>
      <w:pPr>
        <w:spacing w:after="0" w:line="17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NOW, THEREFORE, THIS INDENTURE WITNESSETH:</w:t>
      </w:r>
    </w:p>
    <w:p>
      <w:pPr>
        <w:spacing w:after="0" w:line="183" w:lineRule="exact"/>
        <w:rPr>
          <w:sz w:val="20"/>
          <w:szCs w:val="20"/>
          <w:color w:val="auto"/>
        </w:rPr>
      </w:pPr>
    </w:p>
    <w:p>
      <w:pPr>
        <w:ind w:right="2779" w:firstLine="930"/>
        <w:spacing w:after="0" w:line="235" w:lineRule="auto"/>
        <w:rPr>
          <w:sz w:val="20"/>
          <w:szCs w:val="20"/>
          <w:color w:val="auto"/>
        </w:rPr>
      </w:pPr>
      <w:r>
        <w:rPr>
          <w:rFonts w:ascii="Courier New" w:cs="Courier New" w:eastAsia="Courier New" w:hAnsi="Courier New"/>
          <w:sz w:val="16"/>
          <w:szCs w:val="16"/>
          <w:color w:val="auto"/>
        </w:rPr>
        <w:t>For and in consideration of the premises and the purchase of the Securities by the Holders thereof, it is mutually covenanted and agreed, for the equal and proportionate benefit of all Holders of the Securities and coupons, or of a series thereof, as follows:</w:t>
      </w:r>
    </w:p>
    <w:p>
      <w:pPr>
        <w:spacing w:after="0" w:line="178"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ARTICLE ONE</w:t>
      </w:r>
    </w:p>
    <w:p>
      <w:pPr>
        <w:jc w:val="center"/>
        <w:ind w:right="2699"/>
        <w:spacing w:after="0" w:line="236" w:lineRule="auto"/>
        <w:rPr>
          <w:sz w:val="20"/>
          <w:szCs w:val="20"/>
          <w:color w:val="auto"/>
        </w:rPr>
      </w:pPr>
      <w:r>
        <w:rPr>
          <w:rFonts w:ascii="Courier New" w:cs="Courier New" w:eastAsia="Courier New" w:hAnsi="Courier New"/>
          <w:sz w:val="16"/>
          <w:szCs w:val="16"/>
          <w:color w:val="auto"/>
        </w:rPr>
        <w:t>DEFINITIONS AND OTHER PROVISIONS OF GENERAL APPLICATION</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101. Definitions.</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879" w:firstLine="926"/>
        <w:spacing w:after="0" w:line="283" w:lineRule="auto"/>
        <w:tabs>
          <w:tab w:leader="none" w:pos="1302"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all purposes of this Indenture, except as otherwise expressly provided or unless the context otherwise requires or unless such definition is changed or amended in a supplement or amendment to this Indenture:</w:t>
      </w:r>
    </w:p>
    <w:p>
      <w:pPr>
        <w:spacing w:after="0" w:line="333" w:lineRule="exact"/>
        <w:rPr>
          <w:rFonts w:ascii="Courier New" w:cs="Courier New" w:eastAsia="Courier New" w:hAnsi="Courier New"/>
          <w:sz w:val="14"/>
          <w:szCs w:val="14"/>
          <w:color w:val="auto"/>
        </w:rPr>
      </w:pPr>
    </w:p>
    <w:p>
      <w:pPr>
        <w:ind w:left="920" w:right="3059" w:firstLine="936"/>
        <w:spacing w:after="0" w:line="235" w:lineRule="auto"/>
        <w:tabs>
          <w:tab w:leader="none" w:pos="2222" w:val="left"/>
        </w:tabs>
        <w:numPr>
          <w:ilvl w:val="1"/>
          <w:numId w:val="2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terms defined in this Article have the meanings assigned to them in this Article, and include the plural as well as the singular;</w:t>
      </w:r>
    </w:p>
    <w:p>
      <w:pPr>
        <w:spacing w:after="0" w:line="183" w:lineRule="exact"/>
        <w:rPr>
          <w:rFonts w:ascii="Courier New" w:cs="Courier New" w:eastAsia="Courier New" w:hAnsi="Courier New"/>
          <w:sz w:val="16"/>
          <w:szCs w:val="16"/>
          <w:color w:val="auto"/>
        </w:rPr>
      </w:pPr>
    </w:p>
    <w:p>
      <w:pPr>
        <w:ind w:left="920" w:right="2779" w:firstLine="936"/>
        <w:spacing w:after="0" w:line="236" w:lineRule="auto"/>
        <w:tabs>
          <w:tab w:leader="none" w:pos="2222" w:val="left"/>
        </w:tabs>
        <w:numPr>
          <w:ilvl w:val="1"/>
          <w:numId w:val="2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other terms used herein which are defined in the TIA, either directly or by reference therein, have the meanings assigned to them therein, and the terms "cash transaction" and "self-liquidating paper", as used in TIA Section 311, shall have the meanings assigned to them in the rules of the Commission adopted under the TIA;</w:t>
      </w:r>
    </w:p>
    <w:p>
      <w:pPr>
        <w:spacing w:after="0" w:line="182" w:lineRule="exact"/>
        <w:rPr>
          <w:rFonts w:ascii="Courier New" w:cs="Courier New" w:eastAsia="Courier New" w:hAnsi="Courier New"/>
          <w:sz w:val="16"/>
          <w:szCs w:val="16"/>
          <w:color w:val="auto"/>
        </w:rPr>
      </w:pPr>
    </w:p>
    <w:p>
      <w:pPr>
        <w:ind w:left="920" w:right="2879" w:firstLine="936"/>
        <w:spacing w:after="0" w:line="236" w:lineRule="auto"/>
        <w:tabs>
          <w:tab w:leader="none" w:pos="2222" w:val="left"/>
        </w:tabs>
        <w:numPr>
          <w:ilvl w:val="1"/>
          <w:numId w:val="2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accounting terms not otherwise defined herein have the meanings assigned to them in accordance with generally accepted accounting principles, and, except as otherwise herein expressly provided, the term "generally accepted accounting principles" with respect to any computation required or permitted hereunder shall mean such accounting principles as are generally accepted in the United States at the date of such computation; and</w:t>
      </w:r>
    </w:p>
    <w:p>
      <w:pPr>
        <w:sectPr>
          <w:pgSz w:w="11900" w:h="16838" w:orient="portrait"/>
          <w:cols w:equalWidth="0" w:num="1">
            <w:col w:w="10219"/>
          </w:cols>
          <w:pgMar w:left="240" w:top="654" w:right="1440" w:bottom="1440" w:gutter="0" w:footer="0" w:header="0"/>
        </w:sectPr>
      </w:pPr>
    </w:p>
    <w:bookmarkStart w:id="180" w:name="page181"/>
    <w:bookmarkEnd w:id="180"/>
    <w:p>
      <w:pPr>
        <w:ind w:left="920" w:right="2879" w:firstLine="936"/>
        <w:spacing w:after="0" w:line="235" w:lineRule="auto"/>
        <w:tabs>
          <w:tab w:leader="none" w:pos="2222" w:val="left"/>
        </w:tabs>
        <w:numPr>
          <w:ilvl w:val="1"/>
          <w:numId w:val="2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words "herein", "hereof" and "hereunder" and other words of similar import refer to this Indenture as a whole and not to any particular Article, Section or other subdivision.</w:t>
      </w:r>
    </w:p>
    <w:p>
      <w:pPr>
        <w:spacing w:after="0" w:line="183" w:lineRule="exact"/>
        <w:rPr>
          <w:rFonts w:ascii="Courier New" w:cs="Courier New" w:eastAsia="Courier New" w:hAnsi="Courier New"/>
          <w:sz w:val="16"/>
          <w:szCs w:val="16"/>
          <w:color w:val="auto"/>
        </w:rPr>
      </w:pPr>
    </w:p>
    <w:p>
      <w:pPr>
        <w:ind w:right="2779" w:firstLine="926"/>
        <w:spacing w:after="0" w:line="234" w:lineRule="auto"/>
        <w:tabs>
          <w:tab w:leader="none" w:pos="1302" w:val="left"/>
        </w:tabs>
        <w:numPr>
          <w:ilvl w:val="0"/>
          <w:numId w:val="2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terms, used principally in Article Three, Article Five and Article Six, are defined in those Articles.</w:t>
      </w:r>
    </w:p>
    <w:p>
      <w:pPr>
        <w:spacing w:after="0" w:line="177" w:lineRule="exact"/>
        <w:rPr>
          <w:rFonts w:ascii="Courier New" w:cs="Courier New" w:eastAsia="Courier New" w:hAnsi="Courier New"/>
          <w:sz w:val="16"/>
          <w:szCs w:val="16"/>
          <w:color w:val="auto"/>
        </w:rPr>
      </w:pPr>
    </w:p>
    <w:p>
      <w:pPr>
        <w:ind w:left="1300" w:hanging="374"/>
        <w:spacing w:after="0"/>
        <w:tabs>
          <w:tab w:leader="none" w:pos="1300" w:val="left"/>
        </w:tabs>
        <w:numPr>
          <w:ilvl w:val="0"/>
          <w:numId w:val="2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terms are defined as follows:</w:t>
      </w:r>
    </w:p>
    <w:p>
      <w:pPr>
        <w:spacing w:after="0" w:line="183" w:lineRule="exact"/>
        <w:rPr>
          <w:sz w:val="20"/>
          <w:szCs w:val="20"/>
          <w:color w:val="auto"/>
        </w:rPr>
      </w:pPr>
    </w:p>
    <w:p>
      <w:pPr>
        <w:ind w:right="2779" w:firstLine="930"/>
        <w:spacing w:after="0" w:line="234" w:lineRule="auto"/>
        <w:rPr>
          <w:sz w:val="20"/>
          <w:szCs w:val="20"/>
          <w:color w:val="auto"/>
        </w:rPr>
      </w:pPr>
      <w:r>
        <w:rPr>
          <w:rFonts w:ascii="Courier New" w:cs="Courier New" w:eastAsia="Courier New" w:hAnsi="Courier New"/>
          <w:sz w:val="16"/>
          <w:szCs w:val="16"/>
          <w:color w:val="auto"/>
        </w:rPr>
        <w:t>"Act", when used with respect to any Holder, has the meaning specified in Section 104.</w:t>
      </w:r>
    </w:p>
    <w:p>
      <w:pPr>
        <w:spacing w:after="0" w:line="183" w:lineRule="exact"/>
        <w:rPr>
          <w:sz w:val="20"/>
          <w:szCs w:val="20"/>
          <w:color w:val="auto"/>
        </w:rPr>
      </w:pPr>
    </w:p>
    <w:p>
      <w:pPr>
        <w:ind w:right="2779" w:firstLine="930"/>
        <w:spacing w:after="0" w:line="235" w:lineRule="auto"/>
        <w:rPr>
          <w:sz w:val="20"/>
          <w:szCs w:val="20"/>
          <w:color w:val="auto"/>
        </w:rPr>
      </w:pPr>
      <w:r>
        <w:rPr>
          <w:rFonts w:ascii="Courier New" w:cs="Courier New" w:eastAsia="Courier New" w:hAnsi="Courier New"/>
          <w:sz w:val="16"/>
          <w:szCs w:val="16"/>
          <w:color w:val="auto"/>
        </w:rPr>
        <w:t>"Additional Amounts" means any additional amounts which are required by a Security or by or pursuant to a Board Resolution, under circumstances specified therein, to be paid by the Company in respect of certain taxes imposed on certain Holders and which are owing to such Holders.</w:t>
      </w:r>
    </w:p>
    <w:p>
      <w:pPr>
        <w:spacing w:after="0" w:line="185" w:lineRule="exact"/>
        <w:rPr>
          <w:sz w:val="20"/>
          <w:szCs w:val="20"/>
          <w:color w:val="auto"/>
        </w:rPr>
      </w:pPr>
    </w:p>
    <w:p>
      <w:pPr>
        <w:ind w:right="2779" w:firstLine="930"/>
        <w:spacing w:after="0" w:line="236" w:lineRule="auto"/>
        <w:rPr>
          <w:sz w:val="20"/>
          <w:szCs w:val="20"/>
          <w:color w:val="auto"/>
        </w:rPr>
      </w:pPr>
      <w:r>
        <w:rPr>
          <w:rFonts w:ascii="Courier New" w:cs="Courier New" w:eastAsia="Courier New" w:hAnsi="Courier New"/>
          <w:sz w:val="16"/>
          <w:szCs w:val="16"/>
          <w:color w:val="auto"/>
        </w:rPr>
        <w:t>"Affiliate"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84" w:lineRule="exact"/>
        <w:rPr>
          <w:sz w:val="20"/>
          <w:szCs w:val="20"/>
          <w:color w:val="auto"/>
        </w:rPr>
      </w:pPr>
    </w:p>
    <w:p>
      <w:pPr>
        <w:ind w:right="2779" w:firstLine="930"/>
        <w:spacing w:after="0" w:line="295" w:lineRule="auto"/>
        <w:rPr>
          <w:sz w:val="20"/>
          <w:szCs w:val="20"/>
          <w:color w:val="auto"/>
        </w:rPr>
      </w:pPr>
      <w:r>
        <w:rPr>
          <w:rFonts w:ascii="Courier New" w:cs="Courier New" w:eastAsia="Courier New" w:hAnsi="Courier New"/>
          <w:sz w:val="14"/>
          <w:szCs w:val="14"/>
          <w:color w:val="auto"/>
        </w:rPr>
        <w:t>"Authenticating Agent" means any Person appointed by the Trustee to act on behalf of the Trustee pursuant to Section 611 to authenticate Securities.</w:t>
      </w:r>
    </w:p>
    <w:p>
      <w:pPr>
        <w:spacing w:after="0" w:line="147" w:lineRule="exact"/>
        <w:rPr>
          <w:sz w:val="20"/>
          <w:szCs w:val="20"/>
          <w:color w:val="auto"/>
        </w:rPr>
      </w:pPr>
    </w:p>
    <w:p>
      <w:pPr>
        <w:ind w:right="2779" w:firstLine="930"/>
        <w:spacing w:after="0" w:line="274" w:lineRule="auto"/>
        <w:rPr>
          <w:sz w:val="20"/>
          <w:szCs w:val="20"/>
          <w:color w:val="auto"/>
        </w:rPr>
      </w:pPr>
      <w:r>
        <w:rPr>
          <w:rFonts w:ascii="Courier New" w:cs="Courier New" w:eastAsia="Courier New" w:hAnsi="Courier New"/>
          <w:sz w:val="14"/>
          <w:szCs w:val="14"/>
          <w:color w:val="auto"/>
        </w:rPr>
        <w:t>"Authorized Newspaper" means a newspaper, in the English language or in an official language of the country of publication, customarily published on each Business Day, whether or not published on Saturdays, Sundays or holidays, and of general circulation in each place in connection with which the term is used or in the financial community of each such place. Where successive publications are required to be made in Authorized Newspapers, the successive publications may be made in the same or in different newspapers in the same city meeting the foregoing requirements and in each case on any Business Day.</w:t>
      </w:r>
    </w:p>
    <w:p>
      <w:pPr>
        <w:spacing w:after="0" w:line="162" w:lineRule="exact"/>
        <w:rPr>
          <w:sz w:val="20"/>
          <w:szCs w:val="20"/>
          <w:color w:val="auto"/>
        </w:rPr>
      </w:pPr>
    </w:p>
    <w:p>
      <w:pPr>
        <w:jc w:val="both"/>
        <w:ind w:right="2959" w:firstLine="930"/>
        <w:spacing w:after="0" w:line="295" w:lineRule="auto"/>
        <w:rPr>
          <w:sz w:val="20"/>
          <w:szCs w:val="20"/>
          <w:color w:val="auto"/>
        </w:rPr>
      </w:pPr>
      <w:r>
        <w:rPr>
          <w:rFonts w:ascii="Courier New" w:cs="Courier New" w:eastAsia="Courier New" w:hAnsi="Courier New"/>
          <w:sz w:val="14"/>
          <w:szCs w:val="14"/>
          <w:color w:val="auto"/>
        </w:rPr>
        <w:t>"Bearer Security" means any Security established pursuant to Section 201 which is payable to bearer or that is otherwise not a Registered Security.</w:t>
      </w:r>
    </w:p>
    <w:p>
      <w:pPr>
        <w:spacing w:after="0" w:line="32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55" w:right="1440" w:bottom="1440" w:gutter="0" w:footer="0" w:header="0"/>
        </w:sectPr>
      </w:pPr>
    </w:p>
    <w:bookmarkStart w:id="181" w:name="page182"/>
    <w:bookmarkEnd w:id="181"/>
    <w:p>
      <w:pPr>
        <w:jc w:val="both"/>
        <w:ind w:right="2959" w:firstLine="930"/>
        <w:spacing w:after="0" w:line="235" w:lineRule="auto"/>
        <w:rPr>
          <w:sz w:val="20"/>
          <w:szCs w:val="20"/>
          <w:color w:val="auto"/>
        </w:rPr>
      </w:pPr>
      <w:r>
        <w:rPr>
          <w:rFonts w:ascii="Courier New" w:cs="Courier New" w:eastAsia="Courier New" w:hAnsi="Courier New"/>
          <w:sz w:val="16"/>
          <w:szCs w:val="16"/>
          <w:color w:val="auto"/>
        </w:rPr>
        <w:t>"Board of Directors" means the board of directors of the Company, or the executive committee or any committee of that board duly authorized to act hereunder.</w:t>
      </w:r>
    </w:p>
    <w:p>
      <w:pPr>
        <w:spacing w:after="0" w:line="183" w:lineRule="exact"/>
        <w:rPr>
          <w:sz w:val="20"/>
          <w:szCs w:val="20"/>
          <w:color w:val="auto"/>
        </w:rPr>
      </w:pPr>
    </w:p>
    <w:p>
      <w:pPr>
        <w:ind w:right="2779" w:firstLine="930"/>
        <w:spacing w:after="0" w:line="235" w:lineRule="auto"/>
        <w:rPr>
          <w:sz w:val="20"/>
          <w:szCs w:val="20"/>
          <w:color w:val="auto"/>
        </w:rPr>
      </w:pPr>
      <w:r>
        <w:rPr>
          <w:rFonts w:ascii="Courier New" w:cs="Courier New" w:eastAsia="Courier New" w:hAnsi="Courier New"/>
          <w:sz w:val="16"/>
          <w:szCs w:val="16"/>
          <w:color w:val="auto"/>
        </w:rPr>
        <w:t>"Board Resolution" means a copy of a resolution certified by the Secretary or an Assistant Secretary or any Vice President of the Company to have been duly adopted by the Board of Directors and to be in full force and effect on the date of such certification, and delivered to the Trustee.</w:t>
      </w:r>
    </w:p>
    <w:p>
      <w:pPr>
        <w:spacing w:after="0" w:line="185" w:lineRule="exact"/>
        <w:rPr>
          <w:sz w:val="20"/>
          <w:szCs w:val="20"/>
          <w:color w:val="auto"/>
        </w:rPr>
      </w:pPr>
    </w:p>
    <w:p>
      <w:pPr>
        <w:ind w:right="2779" w:firstLine="930"/>
        <w:spacing w:after="0" w:line="275" w:lineRule="auto"/>
        <w:rPr>
          <w:sz w:val="20"/>
          <w:szCs w:val="20"/>
          <w:color w:val="auto"/>
        </w:rPr>
      </w:pPr>
      <w:r>
        <w:rPr>
          <w:rFonts w:ascii="Courier New" w:cs="Courier New" w:eastAsia="Courier New" w:hAnsi="Courier New"/>
          <w:sz w:val="14"/>
          <w:szCs w:val="14"/>
          <w:color w:val="auto"/>
        </w:rPr>
        <w:t>"Business Day", when used with respect to any Place of Payment or any other particular location referred to in this Indenture or in the Securities, means, unless otherwise specified with respect to any Securities pursuant to Section 301, each Monday, Tuesday, Wednesday, Thursday and Friday which is not a day on which banking institutions in that Place of Payment or other location are authorized or obligated by law or executive order to close.</w:t>
      </w:r>
    </w:p>
    <w:p>
      <w:pPr>
        <w:spacing w:after="0" w:line="156"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"Clearstream" means Clearstream Banking societe anonyme or its</w:t>
      </w:r>
    </w:p>
    <w:p>
      <w:pPr>
        <w:spacing w:after="0" w:line="236" w:lineRule="auto"/>
        <w:rPr>
          <w:sz w:val="20"/>
          <w:szCs w:val="20"/>
          <w:color w:val="auto"/>
        </w:rPr>
      </w:pPr>
      <w:r>
        <w:rPr>
          <w:rFonts w:ascii="Courier New" w:cs="Courier New" w:eastAsia="Courier New" w:hAnsi="Courier New"/>
          <w:sz w:val="16"/>
          <w:szCs w:val="16"/>
          <w:color w:val="auto"/>
        </w:rPr>
        <w:t>successor.</w:t>
      </w:r>
    </w:p>
    <w:p>
      <w:pPr>
        <w:spacing w:after="0" w:line="183" w:lineRule="exact"/>
        <w:rPr>
          <w:sz w:val="20"/>
          <w:szCs w:val="20"/>
          <w:color w:val="auto"/>
        </w:rPr>
      </w:pPr>
    </w:p>
    <w:p>
      <w:pPr>
        <w:ind w:right="2779" w:firstLine="930"/>
        <w:spacing w:after="0" w:line="235" w:lineRule="auto"/>
        <w:rPr>
          <w:sz w:val="20"/>
          <w:szCs w:val="20"/>
          <w:color w:val="auto"/>
        </w:rPr>
      </w:pPr>
      <w:r>
        <w:rPr>
          <w:rFonts w:ascii="Courier New" w:cs="Courier New" w:eastAsia="Courier New" w:hAnsi="Courier New"/>
          <w:sz w:val="16"/>
          <w:szCs w:val="16"/>
          <w:color w:val="auto"/>
        </w:rPr>
        <w:t>"Commission" means the Securities and Exchange Commission, as from time to time constituted, created under the Exchange Act, or, if at any time after execution of this Indenture such Commission is not existing and performing the duties now assigned to it under the TIA, then the body performing such duties at such time.</w:t>
      </w:r>
    </w:p>
    <w:p>
      <w:pPr>
        <w:spacing w:after="0" w:line="180"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"Common Depositary" has the meaning specified in Section 304.</w:t>
      </w:r>
    </w:p>
    <w:p>
      <w:pPr>
        <w:spacing w:after="0" w:line="183" w:lineRule="exact"/>
        <w:rPr>
          <w:sz w:val="20"/>
          <w:szCs w:val="20"/>
          <w:color w:val="auto"/>
        </w:rPr>
      </w:pPr>
    </w:p>
    <w:p>
      <w:pPr>
        <w:ind w:right="2779" w:firstLine="930"/>
        <w:spacing w:after="0" w:line="235" w:lineRule="auto"/>
        <w:rPr>
          <w:sz w:val="20"/>
          <w:szCs w:val="20"/>
          <w:color w:val="auto"/>
        </w:rPr>
      </w:pPr>
      <w:r>
        <w:rPr>
          <w:rFonts w:ascii="Courier New" w:cs="Courier New" w:eastAsia="Courier New" w:hAnsi="Courier New"/>
          <w:sz w:val="16"/>
          <w:szCs w:val="16"/>
          <w:color w:val="auto"/>
        </w:rPr>
        <w:t>"Company" means the Person named as the "Company" in the first paragraph of this Indenture until a successor corporation shall have become such pursuant to the applicable provisions of this Indenture, and thereafter, "Company" shall mean such successor corporation.</w:t>
      </w:r>
    </w:p>
    <w:p>
      <w:pPr>
        <w:spacing w:after="0" w:line="185" w:lineRule="exact"/>
        <w:rPr>
          <w:sz w:val="20"/>
          <w:szCs w:val="20"/>
          <w:color w:val="auto"/>
        </w:rPr>
      </w:pPr>
    </w:p>
    <w:p>
      <w:pPr>
        <w:ind w:right="2959" w:firstLine="930"/>
        <w:spacing w:after="0" w:line="236" w:lineRule="auto"/>
        <w:rPr>
          <w:sz w:val="20"/>
          <w:szCs w:val="20"/>
          <w:color w:val="auto"/>
        </w:rPr>
      </w:pPr>
      <w:r>
        <w:rPr>
          <w:rFonts w:ascii="Courier New" w:cs="Courier New" w:eastAsia="Courier New" w:hAnsi="Courier New"/>
          <w:sz w:val="16"/>
          <w:szCs w:val="16"/>
          <w:color w:val="auto"/>
        </w:rPr>
        <w:t>"Company Request" and "Company Order" mean, respectively, a written request or order signed in the name of the Company by the Chairman, the President, the Chief Executive Officer, the Chief Financial Officer or a Vice President, and by the Treasurer, an Assistant Treasurer, the Controller or an Assistant Controller, the Secretary or an Assistant Secretary, of the Company, and delivered to the Trustee.</w:t>
      </w:r>
    </w:p>
    <w:p>
      <w:pPr>
        <w:spacing w:after="0" w:line="177"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"Conversion Date" has the meaning specified in Subsection 312(d).</w:t>
      </w:r>
    </w:p>
    <w:p>
      <w:pPr>
        <w:spacing w:after="0" w:line="183" w:lineRule="exact"/>
        <w:rPr>
          <w:sz w:val="20"/>
          <w:szCs w:val="20"/>
          <w:color w:val="auto"/>
        </w:rPr>
      </w:pPr>
    </w:p>
    <w:p>
      <w:pPr>
        <w:ind w:right="2779" w:firstLine="930"/>
        <w:spacing w:after="0" w:line="236" w:lineRule="auto"/>
        <w:rPr>
          <w:sz w:val="20"/>
          <w:szCs w:val="20"/>
          <w:color w:val="auto"/>
        </w:rPr>
      </w:pPr>
      <w:r>
        <w:rPr>
          <w:rFonts w:ascii="Courier New" w:cs="Courier New" w:eastAsia="Courier New" w:hAnsi="Courier New"/>
          <w:sz w:val="16"/>
          <w:szCs w:val="16"/>
          <w:color w:val="auto"/>
        </w:rPr>
        <w:t>"Conversion Event" means the cessation of use of (1) a Foreign Currency both by the government of the country which issued such Currency and by a central bank or other public institutions of or within the international banking community for the settlement of transactions, (2) the euro for the settlement of transactions by public institutions of or within the European Communities or (3) any currency unit (or composite currency) other than the euro for the purposes for which such currency unit was established.</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55" w:right="1440" w:bottom="1440" w:gutter="0" w:footer="0" w:header="0"/>
        </w:sectPr>
      </w:pPr>
    </w:p>
    <w:bookmarkStart w:id="182" w:name="page183"/>
    <w:bookmarkEnd w:id="182"/>
    <w:p>
      <w:pPr>
        <w:ind w:right="2879" w:firstLine="930"/>
        <w:spacing w:after="0" w:line="235" w:lineRule="auto"/>
        <w:rPr>
          <w:sz w:val="20"/>
          <w:szCs w:val="20"/>
          <w:color w:val="auto"/>
        </w:rPr>
      </w:pPr>
      <w:r>
        <w:rPr>
          <w:rFonts w:ascii="Courier New" w:cs="Courier New" w:eastAsia="Courier New" w:hAnsi="Courier New"/>
          <w:sz w:val="16"/>
          <w:szCs w:val="16"/>
          <w:color w:val="auto"/>
        </w:rPr>
        <w:t>"Corporate Trust Office" means the office of the Trustee at which, at any particular time, its corporate trust business shall be principally administered, which office at the date hereof is located at 101 Barclay Street, New York, New York 10286.</w:t>
      </w:r>
    </w:p>
    <w:p>
      <w:pPr>
        <w:spacing w:after="0" w:line="185" w:lineRule="exact"/>
        <w:rPr>
          <w:sz w:val="20"/>
          <w:szCs w:val="20"/>
          <w:color w:val="auto"/>
        </w:rPr>
      </w:pPr>
    </w:p>
    <w:p>
      <w:pPr>
        <w:ind w:right="2959" w:firstLine="930"/>
        <w:spacing w:after="0" w:line="234" w:lineRule="auto"/>
        <w:rPr>
          <w:sz w:val="20"/>
          <w:szCs w:val="20"/>
          <w:color w:val="auto"/>
        </w:rPr>
      </w:pPr>
      <w:r>
        <w:rPr>
          <w:rFonts w:ascii="Courier New" w:cs="Courier New" w:eastAsia="Courier New" w:hAnsi="Courier New"/>
          <w:sz w:val="16"/>
          <w:szCs w:val="16"/>
          <w:color w:val="auto"/>
        </w:rPr>
        <w:t>"Corporation" includes corporations, associations, limited liability companies, companies and business trusts.</w:t>
      </w:r>
    </w:p>
    <w:p>
      <w:pPr>
        <w:spacing w:after="0" w:line="183" w:lineRule="exact"/>
        <w:rPr>
          <w:sz w:val="20"/>
          <w:szCs w:val="20"/>
          <w:color w:val="auto"/>
        </w:rPr>
      </w:pPr>
    </w:p>
    <w:p>
      <w:pPr>
        <w:ind w:left="920"/>
        <w:spacing w:after="0"/>
        <w:rPr>
          <w:sz w:val="20"/>
          <w:szCs w:val="20"/>
          <w:color w:val="auto"/>
        </w:rPr>
      </w:pPr>
      <w:r>
        <w:rPr>
          <w:rFonts w:ascii="Courier New" w:cs="Courier New" w:eastAsia="Courier New" w:hAnsi="Courier New"/>
          <w:sz w:val="14"/>
          <w:szCs w:val="14"/>
          <w:color w:val="auto"/>
        </w:rPr>
        <w:t>"Coupon" means any interest coupon appertaining to a Bearer Security.</w:t>
      </w:r>
    </w:p>
    <w:p>
      <w:pPr>
        <w:spacing w:after="0" w:line="199" w:lineRule="exact"/>
        <w:rPr>
          <w:sz w:val="20"/>
          <w:szCs w:val="20"/>
          <w:color w:val="auto"/>
        </w:rPr>
      </w:pPr>
    </w:p>
    <w:p>
      <w:pPr>
        <w:ind w:right="2879" w:firstLine="930"/>
        <w:spacing w:after="0" w:line="235" w:lineRule="auto"/>
        <w:rPr>
          <w:sz w:val="20"/>
          <w:szCs w:val="20"/>
          <w:color w:val="auto"/>
        </w:rPr>
      </w:pPr>
      <w:r>
        <w:rPr>
          <w:rFonts w:ascii="Courier New" w:cs="Courier New" w:eastAsia="Courier New" w:hAnsi="Courier New"/>
          <w:sz w:val="16"/>
          <w:szCs w:val="16"/>
          <w:color w:val="auto"/>
        </w:rPr>
        <w:t>"Currency" means any currency or currencies, composite currency or currency unit or currency units, including, without limitation, the euro issued by the government of one or more countries or by any reorganized confederation or association of such governments.</w:t>
      </w:r>
    </w:p>
    <w:p>
      <w:pPr>
        <w:spacing w:after="0" w:line="185" w:lineRule="exact"/>
        <w:rPr>
          <w:sz w:val="20"/>
          <w:szCs w:val="20"/>
          <w:color w:val="auto"/>
        </w:rPr>
      </w:pPr>
    </w:p>
    <w:p>
      <w:pPr>
        <w:ind w:right="2779" w:firstLine="930"/>
        <w:spacing w:after="0" w:line="234" w:lineRule="auto"/>
        <w:rPr>
          <w:sz w:val="20"/>
          <w:szCs w:val="20"/>
          <w:color w:val="auto"/>
        </w:rPr>
      </w:pPr>
      <w:r>
        <w:rPr>
          <w:rFonts w:ascii="Courier New" w:cs="Courier New" w:eastAsia="Courier New" w:hAnsi="Courier New"/>
          <w:sz w:val="16"/>
          <w:szCs w:val="16"/>
          <w:color w:val="auto"/>
        </w:rPr>
        <w:t>"Default" means any event which is, or after notice or passage of time or both would be, an Event of Default.</w:t>
      </w:r>
    </w:p>
    <w:p>
      <w:pPr>
        <w:spacing w:after="0" w:line="177"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"Defaulted Interest" has the meaning specified in Section 307(a).</w:t>
      </w:r>
    </w:p>
    <w:p>
      <w:pPr>
        <w:spacing w:after="0" w:line="183" w:lineRule="exact"/>
        <w:rPr>
          <w:sz w:val="20"/>
          <w:szCs w:val="20"/>
          <w:color w:val="auto"/>
        </w:rPr>
      </w:pPr>
    </w:p>
    <w:p>
      <w:pPr>
        <w:jc w:val="both"/>
        <w:ind w:right="2959" w:firstLine="930"/>
        <w:spacing w:after="0" w:line="235" w:lineRule="auto"/>
        <w:rPr>
          <w:sz w:val="20"/>
          <w:szCs w:val="20"/>
          <w:color w:val="auto"/>
        </w:rPr>
      </w:pPr>
      <w:r>
        <w:rPr>
          <w:rFonts w:ascii="Courier New" w:cs="Courier New" w:eastAsia="Courier New" w:hAnsi="Courier New"/>
          <w:sz w:val="16"/>
          <w:szCs w:val="16"/>
          <w:color w:val="auto"/>
        </w:rPr>
        <w:t>"Depository Participant" means, with respect to the Depositary Trust Company (the "Depository") or its nominee, an institution that has an account therewith.</w:t>
      </w:r>
    </w:p>
    <w:p>
      <w:pPr>
        <w:spacing w:after="0" w:line="183" w:lineRule="exact"/>
        <w:rPr>
          <w:sz w:val="20"/>
          <w:szCs w:val="20"/>
          <w:color w:val="auto"/>
        </w:rPr>
      </w:pPr>
    </w:p>
    <w:p>
      <w:pPr>
        <w:ind w:right="2779" w:firstLine="930"/>
        <w:spacing w:after="0" w:line="235" w:lineRule="auto"/>
        <w:rPr>
          <w:sz w:val="20"/>
          <w:szCs w:val="20"/>
          <w:color w:val="auto"/>
        </w:rPr>
      </w:pPr>
      <w:r>
        <w:rPr>
          <w:rFonts w:ascii="Courier New" w:cs="Courier New" w:eastAsia="Courier New" w:hAnsi="Courier New"/>
          <w:sz w:val="16"/>
          <w:szCs w:val="16"/>
          <w:color w:val="auto"/>
        </w:rPr>
        <w:t>"Dollar" or "$" means a dollar or other equivalent unit in such coin or currency of the United States of America as at the time shall be legal tender for the payment of public and private debts.</w:t>
      </w:r>
    </w:p>
    <w:p>
      <w:pPr>
        <w:spacing w:after="0" w:line="183" w:lineRule="exact"/>
        <w:rPr>
          <w:sz w:val="20"/>
          <w:szCs w:val="20"/>
          <w:color w:val="auto"/>
        </w:rPr>
      </w:pPr>
    </w:p>
    <w:p>
      <w:pPr>
        <w:ind w:right="2879" w:firstLine="930"/>
        <w:spacing w:after="0" w:line="234" w:lineRule="auto"/>
        <w:rPr>
          <w:sz w:val="20"/>
          <w:szCs w:val="20"/>
          <w:color w:val="auto"/>
        </w:rPr>
      </w:pPr>
      <w:r>
        <w:rPr>
          <w:rFonts w:ascii="Courier New" w:cs="Courier New" w:eastAsia="Courier New" w:hAnsi="Courier New"/>
          <w:sz w:val="16"/>
          <w:szCs w:val="16"/>
          <w:color w:val="auto"/>
        </w:rPr>
        <w:t>"Dollar Equivalent of the Currency Unit" has the meaning specified in Section 312(g).</w:t>
      </w:r>
    </w:p>
    <w:p>
      <w:pPr>
        <w:spacing w:after="0" w:line="183" w:lineRule="exact"/>
        <w:rPr>
          <w:sz w:val="20"/>
          <w:szCs w:val="20"/>
          <w:color w:val="auto"/>
        </w:rPr>
      </w:pPr>
    </w:p>
    <w:p>
      <w:pPr>
        <w:ind w:right="2879" w:firstLine="930"/>
        <w:spacing w:after="0" w:line="234" w:lineRule="auto"/>
        <w:rPr>
          <w:sz w:val="20"/>
          <w:szCs w:val="20"/>
          <w:color w:val="auto"/>
        </w:rPr>
      </w:pPr>
      <w:r>
        <w:rPr>
          <w:rFonts w:ascii="Courier New" w:cs="Courier New" w:eastAsia="Courier New" w:hAnsi="Courier New"/>
          <w:sz w:val="16"/>
          <w:szCs w:val="16"/>
          <w:color w:val="auto"/>
        </w:rPr>
        <w:t>"Dollar Equivalent of the Foreign Currency" has the meaning specified in Section 312(f).</w:t>
      </w:r>
    </w:p>
    <w:p>
      <w:pPr>
        <w:spacing w:after="0" w:line="177"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"Election Date" has the meaning specified in Subsection 312(h).</w:t>
      </w:r>
    </w:p>
    <w:p>
      <w:pPr>
        <w:spacing w:after="0" w:line="183" w:lineRule="exact"/>
        <w:rPr>
          <w:sz w:val="20"/>
          <w:szCs w:val="20"/>
          <w:color w:val="auto"/>
        </w:rPr>
      </w:pPr>
    </w:p>
    <w:p>
      <w:pPr>
        <w:ind w:right="2879" w:firstLine="930"/>
        <w:spacing w:after="0" w:line="234" w:lineRule="auto"/>
        <w:rPr>
          <w:sz w:val="20"/>
          <w:szCs w:val="20"/>
          <w:color w:val="auto"/>
        </w:rPr>
      </w:pPr>
      <w:r>
        <w:rPr>
          <w:rFonts w:ascii="Courier New" w:cs="Courier New" w:eastAsia="Courier New" w:hAnsi="Courier New"/>
          <w:sz w:val="16"/>
          <w:szCs w:val="16"/>
          <w:color w:val="auto"/>
        </w:rPr>
        <w:t>"Euroclear" means Morgan Guaranty Trust Company of New York, Brussels Office, or its successor as operator of the Euroclear System.</w:t>
      </w:r>
    </w:p>
    <w:p>
      <w:pPr>
        <w:spacing w:after="0" w:line="183" w:lineRule="exact"/>
        <w:rPr>
          <w:sz w:val="20"/>
          <w:szCs w:val="20"/>
          <w:color w:val="auto"/>
        </w:rPr>
      </w:pPr>
    </w:p>
    <w:p>
      <w:pPr>
        <w:ind w:right="2779" w:firstLine="930"/>
        <w:spacing w:after="0" w:line="234" w:lineRule="auto"/>
        <w:rPr>
          <w:sz w:val="20"/>
          <w:szCs w:val="20"/>
          <w:color w:val="auto"/>
        </w:rPr>
      </w:pPr>
      <w:r>
        <w:rPr>
          <w:rFonts w:ascii="Courier New" w:cs="Courier New" w:eastAsia="Courier New" w:hAnsi="Courier New"/>
          <w:sz w:val="16"/>
          <w:szCs w:val="16"/>
          <w:color w:val="auto"/>
        </w:rPr>
        <w:t>"European Communities" means the European Union, the European Coal and Steel Community and the European Atomic Energy Community.</w:t>
      </w:r>
    </w:p>
    <w:p>
      <w:pPr>
        <w:spacing w:after="0" w:line="177"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"Event of Default" has the meaning specified in Section 501.</w:t>
      </w:r>
    </w:p>
    <w:p>
      <w:pPr>
        <w:spacing w:after="0" w:line="183" w:lineRule="exact"/>
        <w:rPr>
          <w:sz w:val="20"/>
          <w:szCs w:val="20"/>
          <w:color w:val="auto"/>
        </w:rPr>
      </w:pPr>
    </w:p>
    <w:p>
      <w:pPr>
        <w:ind w:left="920"/>
        <w:spacing w:after="0"/>
        <w:rPr>
          <w:sz w:val="20"/>
          <w:szCs w:val="20"/>
          <w:color w:val="auto"/>
        </w:rPr>
      </w:pPr>
      <w:r>
        <w:rPr>
          <w:rFonts w:ascii="Courier New" w:cs="Courier New" w:eastAsia="Courier New" w:hAnsi="Courier New"/>
          <w:sz w:val="14"/>
          <w:szCs w:val="14"/>
          <w:color w:val="auto"/>
        </w:rPr>
        <w:t>"Exchange Act" means the Securities Exchange Act of 1934, as amended.</w:t>
      </w:r>
    </w:p>
    <w:p>
      <w:pPr>
        <w:spacing w:after="0" w:line="193"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"Exchange Date" has the meaning specified in Section 304.</w:t>
      </w:r>
    </w:p>
    <w:p>
      <w:pPr>
        <w:spacing w:after="0" w:line="183" w:lineRule="exact"/>
        <w:rPr>
          <w:sz w:val="20"/>
          <w:szCs w:val="20"/>
          <w:color w:val="auto"/>
        </w:rPr>
      </w:pPr>
    </w:p>
    <w:p>
      <w:pPr>
        <w:jc w:val="both"/>
        <w:ind w:right="2959" w:firstLine="930"/>
        <w:spacing w:after="0" w:line="235" w:lineRule="auto"/>
        <w:rPr>
          <w:sz w:val="20"/>
          <w:szCs w:val="20"/>
          <w:color w:val="auto"/>
        </w:rPr>
      </w:pPr>
      <w:r>
        <w:rPr>
          <w:rFonts w:ascii="Courier New" w:cs="Courier New" w:eastAsia="Courier New" w:hAnsi="Courier New"/>
          <w:sz w:val="16"/>
          <w:szCs w:val="16"/>
          <w:color w:val="auto"/>
        </w:rPr>
        <w:t>"Exchange Rate Agent" means, with respect to Securities of or within any series, unless otherwise specified with respect to any Securities pursuant to Section 301, a New York Clearing House bank designated pursuant to Section 301 or Section 313.</w:t>
      </w:r>
    </w:p>
    <w:p>
      <w:pPr>
        <w:spacing w:after="0" w:line="35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55" w:right="1440" w:bottom="1440" w:gutter="0" w:footer="0" w:header="0"/>
        </w:sectPr>
      </w:pPr>
    </w:p>
    <w:bookmarkStart w:id="183" w:name="page184"/>
    <w:bookmarkEnd w:id="183"/>
    <w:p>
      <w:pPr>
        <w:ind w:right="2779" w:firstLine="930"/>
        <w:spacing w:after="0" w:line="236" w:lineRule="auto"/>
        <w:rPr>
          <w:sz w:val="20"/>
          <w:szCs w:val="20"/>
          <w:color w:val="auto"/>
        </w:rPr>
      </w:pPr>
      <w:r>
        <w:rPr>
          <w:rFonts w:ascii="Courier New" w:cs="Courier New" w:eastAsia="Courier New" w:hAnsi="Courier New"/>
          <w:sz w:val="16"/>
          <w:szCs w:val="16"/>
          <w:color w:val="auto"/>
        </w:rPr>
        <w:t>"Exchange Rate Officer's Certificate" means a certificate setting forth (1) the applicable Market Exchange Rate or the applicable bid quotation and (2) the Dollar or Foreign Currency amounts of principal (and premium, if any) and interest, if any (on an aggregate basis and on the basis of a Security having the lowest denomination principal amount determined in accordance with Section 302 in the relevant Currency), payable with respect to a Security of any series on the basis of such Market Exchange Rate signed by the Chief Financial Officer, the Treasurer, the Controller, any Vice President or any Assistant Treasurer or Assistant Controller of the Company.</w:t>
      </w:r>
    </w:p>
    <w:p>
      <w:pPr>
        <w:spacing w:after="0" w:line="185" w:lineRule="exact"/>
        <w:rPr>
          <w:sz w:val="20"/>
          <w:szCs w:val="20"/>
          <w:color w:val="auto"/>
        </w:rPr>
      </w:pPr>
    </w:p>
    <w:p>
      <w:pPr>
        <w:ind w:right="2879" w:firstLine="930"/>
        <w:spacing w:after="0" w:line="235" w:lineRule="auto"/>
        <w:rPr>
          <w:sz w:val="20"/>
          <w:szCs w:val="20"/>
          <w:color w:val="auto"/>
        </w:rPr>
      </w:pPr>
      <w:r>
        <w:rPr>
          <w:rFonts w:ascii="Courier New" w:cs="Courier New" w:eastAsia="Courier New" w:hAnsi="Courier New"/>
          <w:sz w:val="16"/>
          <w:szCs w:val="16"/>
          <w:color w:val="auto"/>
        </w:rPr>
        <w:t>"Foreign Currency" means any Currency, including, without limitation, the euro, issued by the government of one or more countries other than the United States of America or by any recognized confederation or association of such governments.</w:t>
      </w:r>
    </w:p>
    <w:p>
      <w:pPr>
        <w:spacing w:after="0" w:line="185" w:lineRule="exact"/>
        <w:rPr>
          <w:sz w:val="20"/>
          <w:szCs w:val="20"/>
          <w:color w:val="auto"/>
        </w:rPr>
      </w:pPr>
    </w:p>
    <w:p>
      <w:pPr>
        <w:ind w:right="3059" w:firstLine="930"/>
        <w:spacing w:after="0" w:line="235" w:lineRule="auto"/>
        <w:rPr>
          <w:sz w:val="20"/>
          <w:szCs w:val="20"/>
          <w:color w:val="auto"/>
        </w:rPr>
      </w:pPr>
      <w:r>
        <w:rPr>
          <w:rFonts w:ascii="Courier New" w:cs="Courier New" w:eastAsia="Courier New" w:hAnsi="Courier New"/>
          <w:sz w:val="16"/>
          <w:szCs w:val="16"/>
          <w:color w:val="auto"/>
        </w:rPr>
        <w:t>"Government Obligations" means, unless otherwise specified with respect to any series of Securities pursuant to Section 301, securities which are:</w:t>
      </w:r>
    </w:p>
    <w:p>
      <w:pPr>
        <w:spacing w:after="0" w:line="183" w:lineRule="exact"/>
        <w:rPr>
          <w:sz w:val="20"/>
          <w:szCs w:val="20"/>
          <w:color w:val="auto"/>
        </w:rPr>
      </w:pPr>
    </w:p>
    <w:p>
      <w:pPr>
        <w:ind w:left="920" w:right="2959" w:firstLine="936"/>
        <w:spacing w:after="0" w:line="235" w:lineRule="auto"/>
        <w:tabs>
          <w:tab w:leader="none" w:pos="2222" w:val="left"/>
        </w:tabs>
        <w:numPr>
          <w:ilvl w:val="0"/>
          <w:numId w:val="2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 obligations of the government which issued the Currency in which the Securities of a particular series are payable, or</w:t>
      </w:r>
    </w:p>
    <w:p>
      <w:pPr>
        <w:spacing w:after="0" w:line="183" w:lineRule="exact"/>
        <w:rPr>
          <w:rFonts w:ascii="Courier New" w:cs="Courier New" w:eastAsia="Courier New" w:hAnsi="Courier New"/>
          <w:sz w:val="16"/>
          <w:szCs w:val="16"/>
          <w:color w:val="auto"/>
        </w:rPr>
      </w:pPr>
    </w:p>
    <w:p>
      <w:pPr>
        <w:ind w:left="920" w:right="2779" w:firstLine="936"/>
        <w:spacing w:after="0" w:line="279" w:lineRule="auto"/>
        <w:tabs>
          <w:tab w:leader="none" w:pos="2222"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obligations of a Person controlled or supervised by and acting as an agency or instrumentality of such government which issued the Currency in which the Securities of such series are payable, the payment of which is unconditionally guaranteed by such government,</w:t>
      </w:r>
    </w:p>
    <w:p>
      <w:pPr>
        <w:spacing w:after="0" w:line="157" w:lineRule="exact"/>
        <w:rPr>
          <w:sz w:val="20"/>
          <w:szCs w:val="20"/>
          <w:color w:val="auto"/>
        </w:rPr>
      </w:pPr>
    </w:p>
    <w:p>
      <w:pPr>
        <w:ind w:right="2779"/>
        <w:spacing w:after="0" w:line="273" w:lineRule="auto"/>
        <w:rPr>
          <w:sz w:val="20"/>
          <w:szCs w:val="20"/>
          <w:color w:val="auto"/>
        </w:rPr>
      </w:pPr>
      <w:r>
        <w:rPr>
          <w:rFonts w:ascii="Courier New" w:cs="Courier New" w:eastAsia="Courier New" w:hAnsi="Courier New"/>
          <w:sz w:val="14"/>
          <w:szCs w:val="14"/>
          <w:color w:val="auto"/>
        </w:rPr>
        <w:t>which, in either case, are full faith and credit obligations of such government payable in such Currency and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w:t>
      </w:r>
    </w:p>
    <w:p>
      <w:pPr>
        <w:spacing w:after="0" w:line="343" w:lineRule="exact"/>
        <w:rPr>
          <w:sz w:val="20"/>
          <w:szCs w:val="20"/>
          <w:color w:val="auto"/>
        </w:rPr>
      </w:pPr>
    </w:p>
    <w:p>
      <w:pPr>
        <w:ind w:right="2779" w:firstLine="930"/>
        <w:spacing w:after="0" w:line="235" w:lineRule="auto"/>
        <w:rPr>
          <w:sz w:val="20"/>
          <w:szCs w:val="20"/>
          <w:color w:val="auto"/>
        </w:rPr>
      </w:pPr>
      <w:r>
        <w:rPr>
          <w:rFonts w:ascii="Courier New" w:cs="Courier New" w:eastAsia="Courier New" w:hAnsi="Courier New"/>
          <w:sz w:val="16"/>
          <w:szCs w:val="16"/>
          <w:color w:val="auto"/>
        </w:rPr>
        <w:t>"Holder" means, in the case of a Registered Security, the Person in whose name a Security is registered in the Security Register and, in the case of a Bearer Security, the bearer thereof and, when used with respect to any coupon, shall mean the bearer thereof.</w:t>
      </w:r>
    </w:p>
    <w:p>
      <w:pPr>
        <w:spacing w:after="0" w:line="185" w:lineRule="exact"/>
        <w:rPr>
          <w:sz w:val="20"/>
          <w:szCs w:val="20"/>
          <w:color w:val="auto"/>
        </w:rPr>
      </w:pPr>
    </w:p>
    <w:p>
      <w:pPr>
        <w:ind w:right="2779" w:firstLine="930"/>
        <w:spacing w:after="0" w:line="274" w:lineRule="auto"/>
        <w:rPr>
          <w:sz w:val="20"/>
          <w:szCs w:val="20"/>
          <w:color w:val="auto"/>
        </w:rPr>
      </w:pPr>
      <w:r>
        <w:rPr>
          <w:rFonts w:ascii="Courier New" w:cs="Courier New" w:eastAsia="Courier New" w:hAnsi="Courier New"/>
          <w:sz w:val="14"/>
          <w:szCs w:val="14"/>
          <w:color w:val="auto"/>
        </w:rPr>
        <w:t>"Indenture" means this instrument as originally executed or as it may from time to time be supplemented or amended by one or more indentures supplemental hereto entered into pursuant to the applicable provisions hereof, and shall include the terms of particular series of Securities established as contemplated by Section 301; provided, that, if at any time more than one Person is acting as Trustee under this instrument, "Indenture" shall mean, with respect to any one or more series of Securities for which such Person is Trustee, this instrument as originally executed or as it may from time to time be supplemented</w:t>
      </w:r>
    </w:p>
    <w:p>
      <w:pPr>
        <w:spacing w:after="0" w:line="33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54" w:right="1440" w:bottom="1440" w:gutter="0" w:footer="0" w:header="0"/>
        </w:sectPr>
      </w:pPr>
    </w:p>
    <w:bookmarkStart w:id="184" w:name="page185"/>
    <w:bookmarkEnd w:id="184"/>
    <w:p>
      <w:pPr>
        <w:ind w:right="2779"/>
        <w:spacing w:after="0" w:line="274" w:lineRule="auto"/>
        <w:rPr>
          <w:sz w:val="20"/>
          <w:szCs w:val="20"/>
          <w:color w:val="auto"/>
        </w:rPr>
      </w:pPr>
      <w:r>
        <w:rPr>
          <w:rFonts w:ascii="Courier New" w:cs="Courier New" w:eastAsia="Courier New" w:hAnsi="Courier New"/>
          <w:sz w:val="14"/>
          <w:szCs w:val="14"/>
          <w:color w:val="auto"/>
        </w:rPr>
        <w:t>or amended by one or more indentures supplemental hereto entered into pursuant to the applicable provisions hereof and shall include the terms of the or those particular series of Securities for which such Person is Trustee established as contemplated by Section 301, exclusive, however, of any provisions or terms which relate solely to other series of Securities for which such Person is not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w:t>
      </w:r>
    </w:p>
    <w:p>
      <w:pPr>
        <w:spacing w:after="0" w:line="340" w:lineRule="exact"/>
        <w:rPr>
          <w:sz w:val="20"/>
          <w:szCs w:val="20"/>
          <w:color w:val="auto"/>
        </w:rPr>
      </w:pPr>
    </w:p>
    <w:p>
      <w:pPr>
        <w:ind w:right="2779" w:firstLine="930"/>
        <w:spacing w:after="0" w:line="236" w:lineRule="auto"/>
        <w:rPr>
          <w:sz w:val="20"/>
          <w:szCs w:val="20"/>
          <w:color w:val="auto"/>
        </w:rPr>
      </w:pPr>
      <w:r>
        <w:rPr>
          <w:rFonts w:ascii="Courier New" w:cs="Courier New" w:eastAsia="Courier New" w:hAnsi="Courier New"/>
          <w:sz w:val="16"/>
          <w:szCs w:val="16"/>
          <w:color w:val="auto"/>
        </w:rPr>
        <w:t>"Indexed Security" means a Security as to which all or certain interest payments and/or the principal amount payable at Maturity are determined by reference to prices, changes in prices, or differences between prices, of securities, Currencies, intangibles, goods, articles or commodities or by such other objective price, economic or other measures as are specified in Section 301 hereof.</w:t>
      </w:r>
    </w:p>
    <w:p>
      <w:pPr>
        <w:spacing w:after="0" w:line="183" w:lineRule="exact"/>
        <w:rPr>
          <w:sz w:val="20"/>
          <w:szCs w:val="20"/>
          <w:color w:val="auto"/>
        </w:rPr>
      </w:pPr>
    </w:p>
    <w:p>
      <w:pPr>
        <w:ind w:right="2779" w:firstLine="930"/>
        <w:spacing w:after="0" w:line="235" w:lineRule="auto"/>
        <w:rPr>
          <w:sz w:val="20"/>
          <w:szCs w:val="20"/>
          <w:color w:val="auto"/>
        </w:rPr>
      </w:pPr>
      <w:r>
        <w:rPr>
          <w:rFonts w:ascii="Courier New" w:cs="Courier New" w:eastAsia="Courier New" w:hAnsi="Courier New"/>
          <w:sz w:val="16"/>
          <w:szCs w:val="16"/>
          <w:color w:val="auto"/>
        </w:rPr>
        <w:t>"Interest", when used with respect to an Original Issue Discount Security which by its terms bears interest only after Maturity, shall mean interest payable after Maturity, and, when used with respect to a Security which provides for the payment of Additional Amounts pursuant to Section 1005 or otherwise, includes such Additional Amounts.</w:t>
      </w:r>
    </w:p>
    <w:p>
      <w:pPr>
        <w:spacing w:after="0" w:line="186" w:lineRule="exact"/>
        <w:rPr>
          <w:sz w:val="20"/>
          <w:szCs w:val="20"/>
          <w:color w:val="auto"/>
        </w:rPr>
      </w:pPr>
    </w:p>
    <w:p>
      <w:pPr>
        <w:ind w:right="2779" w:firstLine="930"/>
        <w:spacing w:after="0" w:line="234" w:lineRule="auto"/>
        <w:rPr>
          <w:sz w:val="20"/>
          <w:szCs w:val="20"/>
          <w:color w:val="auto"/>
        </w:rPr>
      </w:pPr>
      <w:r>
        <w:rPr>
          <w:rFonts w:ascii="Courier New" w:cs="Courier New" w:eastAsia="Courier New" w:hAnsi="Courier New"/>
          <w:sz w:val="16"/>
          <w:szCs w:val="16"/>
          <w:color w:val="auto"/>
        </w:rPr>
        <w:t>"Interest Payment Date", when used with respect to any Security, means the Stated Maturity of an installment of interest on such Security.</w:t>
      </w:r>
    </w:p>
    <w:p>
      <w:pPr>
        <w:spacing w:after="0" w:line="183" w:lineRule="exact"/>
        <w:rPr>
          <w:sz w:val="20"/>
          <w:szCs w:val="20"/>
          <w:color w:val="auto"/>
        </w:rPr>
      </w:pPr>
    </w:p>
    <w:p>
      <w:pPr>
        <w:ind w:right="2779" w:firstLine="930"/>
        <w:spacing w:after="0" w:line="271" w:lineRule="auto"/>
        <w:rPr>
          <w:sz w:val="20"/>
          <w:szCs w:val="20"/>
          <w:color w:val="auto"/>
        </w:rPr>
      </w:pPr>
      <w:r>
        <w:rPr>
          <w:rFonts w:ascii="Courier New" w:cs="Courier New" w:eastAsia="Courier New" w:hAnsi="Courier New"/>
          <w:sz w:val="14"/>
          <w:szCs w:val="14"/>
          <w:color w:val="auto"/>
        </w:rPr>
        <w:t>"Market Exchange Rate" means, unless otherwise specified with respect to any Securities pursuant to Section 301, (1) for any conversion involving a currency unit on the one hand and Dollars or any Foreign Currency on the other, the exchange rate between the relevant currency unit and Dollars or such Foreign Currency calculated by the method specified pursuant to Section 301 for the Securities of the relevant series, (2) for any conversion of Dollars into any Foreign Currency, the noon (New York City time) buying rate for such Foreign Currency for cable transfers quoted in New York City as certified for customs purposes by the Federal Reserve Bank of New York and (3) for any conversion of one Foreign Currency into Dollars or another Foreign Currency, the spot rate at noon local time in the relevant market at which, in accordance with normal banking procedures, the Dollars or Foreign Currency into which conversion is being made could be purchased with the Foreign Currency from which conversion is being made from major banks located in either New York City, London or any other principal market for Dollars or such purchased Foreign Currency, in each case determined by the Exchange Rate Agent. Unless otherwise specified with respect to any Securities pursuant to Section 301, in the event of the unavailability of any of the exchange rates provided for in clauses (1), (2) and (3) of this definition, the Exchange Rate Agent shall use, in its sole discretion and without liability on its part, such quotation of the Federal Reserve Bank of New York as of the most recent available date, or quotations from one or more major banks in New York City, London or another principal market for the Currency in question, or such other quotations as the Exchange Rate Agent shall deem appropriate. Unless otherwise specified by the Exchange Rate Agent, if there is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55" w:right="1440" w:bottom="1440" w:gutter="0" w:footer="0" w:header="0"/>
        </w:sectPr>
      </w:pPr>
    </w:p>
    <w:bookmarkStart w:id="185" w:name="page186"/>
    <w:bookmarkEnd w:id="185"/>
    <w:p>
      <w:pPr>
        <w:ind w:right="2879"/>
        <w:spacing w:after="0" w:line="235" w:lineRule="auto"/>
        <w:rPr>
          <w:sz w:val="20"/>
          <w:szCs w:val="20"/>
          <w:color w:val="auto"/>
        </w:rPr>
      </w:pPr>
      <w:r>
        <w:rPr>
          <w:rFonts w:ascii="Courier New" w:cs="Courier New" w:eastAsia="Courier New" w:hAnsi="Courier New"/>
          <w:sz w:val="16"/>
          <w:szCs w:val="16"/>
          <w:color w:val="auto"/>
        </w:rPr>
        <w:t>more than one market for dealing in any Currency by reason of foreign exchange regulations or otherwise, the market to be used in respect of such Currency shall be that upon which a non-resident issuer of securities designated in such Currency would purchase such Currency in order to make payments in respect of such securities.</w:t>
      </w:r>
    </w:p>
    <w:p>
      <w:pPr>
        <w:spacing w:after="0" w:line="186" w:lineRule="exact"/>
        <w:rPr>
          <w:sz w:val="20"/>
          <w:szCs w:val="20"/>
          <w:color w:val="auto"/>
        </w:rPr>
      </w:pPr>
    </w:p>
    <w:p>
      <w:pPr>
        <w:ind w:right="2879" w:firstLine="930"/>
        <w:spacing w:after="0" w:line="235" w:lineRule="auto"/>
        <w:rPr>
          <w:sz w:val="20"/>
          <w:szCs w:val="20"/>
          <w:color w:val="auto"/>
        </w:rPr>
      </w:pPr>
      <w:r>
        <w:rPr>
          <w:rFonts w:ascii="Courier New" w:cs="Courier New" w:eastAsia="Courier New" w:hAnsi="Courier New"/>
          <w:sz w:val="16"/>
          <w:szCs w:val="16"/>
          <w:color w:val="auto"/>
        </w:rPr>
        <w:t>"Maturity", when used with respect to any Security, means the date on which the principal of such Security or an installment of principal becomes due and payable as therein or herein provided, whether at the Stated Maturity or by declaration of acceleration, notice of redemption, notice of option to elect repayment, notice of exchange or conversion or otherwise.</w:t>
      </w:r>
    </w:p>
    <w:p>
      <w:pPr>
        <w:spacing w:after="0" w:line="186" w:lineRule="exact"/>
        <w:rPr>
          <w:sz w:val="20"/>
          <w:szCs w:val="20"/>
          <w:color w:val="auto"/>
        </w:rPr>
      </w:pPr>
    </w:p>
    <w:p>
      <w:pPr>
        <w:ind w:right="2779" w:firstLine="930"/>
        <w:spacing w:after="0" w:line="235" w:lineRule="auto"/>
        <w:rPr>
          <w:sz w:val="20"/>
          <w:szCs w:val="20"/>
          <w:color w:val="auto"/>
        </w:rPr>
      </w:pPr>
      <w:r>
        <w:rPr>
          <w:rFonts w:ascii="Courier New" w:cs="Courier New" w:eastAsia="Courier New" w:hAnsi="Courier New"/>
          <w:sz w:val="16"/>
          <w:szCs w:val="16"/>
          <w:color w:val="auto"/>
        </w:rPr>
        <w:t>"Officers' Certificate" means a certificate signed by the Chairman, the President, the Chief Executive Officer, the Chief Financial Officer and by the Treasurer, the Controller, an Assistant Treasurer, the Assistant Controller, the Secretary or an Assistant Secretary of the Company and delivered to the Trustee.</w:t>
      </w:r>
    </w:p>
    <w:p>
      <w:pPr>
        <w:spacing w:after="0" w:line="186" w:lineRule="exact"/>
        <w:rPr>
          <w:sz w:val="20"/>
          <w:szCs w:val="20"/>
          <w:color w:val="auto"/>
        </w:rPr>
      </w:pPr>
    </w:p>
    <w:p>
      <w:pPr>
        <w:jc w:val="both"/>
        <w:ind w:right="3059" w:firstLine="930"/>
        <w:spacing w:after="0" w:line="235" w:lineRule="auto"/>
        <w:rPr>
          <w:sz w:val="20"/>
          <w:szCs w:val="20"/>
          <w:color w:val="auto"/>
        </w:rPr>
      </w:pPr>
      <w:r>
        <w:rPr>
          <w:rFonts w:ascii="Courier New" w:cs="Courier New" w:eastAsia="Courier New" w:hAnsi="Courier New"/>
          <w:sz w:val="16"/>
          <w:szCs w:val="16"/>
          <w:color w:val="auto"/>
        </w:rPr>
        <w:t>"Opinion of Counsel" means a written opinion of counsel, who may be counsel for the Company or who may be an employee of or other counsel for the Company.</w:t>
      </w:r>
    </w:p>
    <w:p>
      <w:pPr>
        <w:spacing w:after="0" w:line="183" w:lineRule="exact"/>
        <w:rPr>
          <w:sz w:val="20"/>
          <w:szCs w:val="20"/>
          <w:color w:val="auto"/>
        </w:rPr>
      </w:pPr>
    </w:p>
    <w:p>
      <w:pPr>
        <w:ind w:right="2879" w:firstLine="930"/>
        <w:spacing w:after="0" w:line="283" w:lineRule="auto"/>
        <w:rPr>
          <w:sz w:val="20"/>
          <w:szCs w:val="20"/>
          <w:color w:val="auto"/>
        </w:rPr>
      </w:pPr>
      <w:r>
        <w:rPr>
          <w:rFonts w:ascii="Courier New" w:cs="Courier New" w:eastAsia="Courier New" w:hAnsi="Courier New"/>
          <w:sz w:val="14"/>
          <w:szCs w:val="14"/>
          <w:color w:val="auto"/>
        </w:rPr>
        <w:t>"Original Issue Discount Security" means any Security which provides for an amount less than the principal amount thereof to be due and payable upon a declaration of acceleration of the Maturity thereof pursuant to Section 502.</w:t>
      </w:r>
    </w:p>
    <w:p>
      <w:pPr>
        <w:spacing w:after="0" w:line="155" w:lineRule="exact"/>
        <w:rPr>
          <w:sz w:val="20"/>
          <w:szCs w:val="20"/>
          <w:color w:val="auto"/>
        </w:rPr>
      </w:pPr>
    </w:p>
    <w:p>
      <w:pPr>
        <w:ind w:right="2959" w:firstLine="930"/>
        <w:spacing w:after="0" w:line="235" w:lineRule="auto"/>
        <w:rPr>
          <w:sz w:val="20"/>
          <w:szCs w:val="20"/>
          <w:color w:val="auto"/>
        </w:rPr>
      </w:pPr>
      <w:r>
        <w:rPr>
          <w:rFonts w:ascii="Courier New" w:cs="Courier New" w:eastAsia="Courier New" w:hAnsi="Courier New"/>
          <w:sz w:val="16"/>
          <w:szCs w:val="16"/>
          <w:color w:val="auto"/>
        </w:rPr>
        <w:t>"Outstanding", when used with respect to Securities or any series of any Securities, means, as of the date of determination, all Securities or all Securities of such series, as the case may be, theretofore authenticated and delivered under this Indenture, except:</w:t>
      </w:r>
    </w:p>
    <w:p>
      <w:pPr>
        <w:spacing w:after="0" w:line="185" w:lineRule="exact"/>
        <w:rPr>
          <w:sz w:val="20"/>
          <w:szCs w:val="20"/>
          <w:color w:val="auto"/>
        </w:rPr>
      </w:pPr>
    </w:p>
    <w:p>
      <w:pPr>
        <w:ind w:left="920" w:right="3339" w:firstLine="936"/>
        <w:spacing w:after="0" w:line="234" w:lineRule="auto"/>
        <w:tabs>
          <w:tab w:leader="none" w:pos="2222" w:val="left"/>
        </w:tabs>
        <w:numPr>
          <w:ilvl w:val="0"/>
          <w:numId w:val="2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theretofore cancelled by the Trustee or delivered to the Trustee for cancellation;</w:t>
      </w:r>
    </w:p>
    <w:p>
      <w:pPr>
        <w:spacing w:after="0" w:line="183" w:lineRule="exact"/>
        <w:rPr>
          <w:rFonts w:ascii="Courier New" w:cs="Courier New" w:eastAsia="Courier New" w:hAnsi="Courier New"/>
          <w:sz w:val="16"/>
          <w:szCs w:val="16"/>
          <w:color w:val="auto"/>
        </w:rPr>
      </w:pPr>
    </w:p>
    <w:p>
      <w:pPr>
        <w:ind w:left="920" w:right="2779" w:firstLine="936"/>
        <w:spacing w:after="0" w:line="273" w:lineRule="auto"/>
        <w:tabs>
          <w:tab w:leader="none" w:pos="2222"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or portions thereof, for whose payment or redemption or repayment at the option of the Holder money in the necessary amount has been theretofore deposited with the Trustee or any Paying Agent (other than the Company) in trust or set aside and segregated in trust by the Company (if the Company shall act as Paying Agent) for the Holders of such Securities and any coupons appertaining thereto, provided that, if such Securities are to be redeemed, notice of such redemption has been duly given pursuant to this Indenture or provision therefor satisfactory to the Trustee has been made;</w:t>
      </w:r>
    </w:p>
    <w:p>
      <w:pPr>
        <w:spacing w:after="0" w:line="165" w:lineRule="exact"/>
        <w:rPr>
          <w:rFonts w:ascii="Courier New" w:cs="Courier New" w:eastAsia="Courier New" w:hAnsi="Courier New"/>
          <w:sz w:val="14"/>
          <w:szCs w:val="14"/>
          <w:color w:val="auto"/>
        </w:rPr>
      </w:pPr>
    </w:p>
    <w:p>
      <w:pPr>
        <w:ind w:left="920" w:right="2779" w:firstLine="936"/>
        <w:spacing w:after="0" w:line="235" w:lineRule="auto"/>
        <w:tabs>
          <w:tab w:leader="none" w:pos="2222" w:val="left"/>
        </w:tabs>
        <w:numPr>
          <w:ilvl w:val="0"/>
          <w:numId w:val="2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except to the extent provided in Sections 1402 and 1403, with respect to which the Company has effected defeasance and/or covenant defeasance as provided in Article Fourteen; and</w:t>
      </w:r>
    </w:p>
    <w:p>
      <w:pPr>
        <w:spacing w:after="0" w:line="184" w:lineRule="exact"/>
        <w:rPr>
          <w:rFonts w:ascii="Courier New" w:cs="Courier New" w:eastAsia="Courier New" w:hAnsi="Courier New"/>
          <w:sz w:val="16"/>
          <w:szCs w:val="16"/>
          <w:color w:val="auto"/>
        </w:rPr>
      </w:pPr>
    </w:p>
    <w:p>
      <w:pPr>
        <w:ind w:left="920" w:right="2879" w:firstLine="936"/>
        <w:spacing w:after="0" w:line="295" w:lineRule="auto"/>
        <w:tabs>
          <w:tab w:leader="none" w:pos="2222"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which have been paid pursuant to Section 306 or in exchange for or in lieu of which other Securities have been</w:t>
      </w:r>
    </w:p>
    <w:p>
      <w:pPr>
        <w:spacing w:after="0" w:line="32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54" w:right="1440" w:bottom="1440" w:gutter="0" w:footer="0" w:header="0"/>
        </w:sectPr>
      </w:pPr>
    </w:p>
    <w:bookmarkStart w:id="186" w:name="page187"/>
    <w:bookmarkEnd w:id="186"/>
    <w:p>
      <w:pPr>
        <w:ind w:left="925" w:right="2779"/>
        <w:spacing w:after="0" w:line="235" w:lineRule="auto"/>
        <w:rPr>
          <w:sz w:val="20"/>
          <w:szCs w:val="20"/>
          <w:color w:val="auto"/>
        </w:rPr>
      </w:pPr>
      <w:r>
        <w:rPr>
          <w:rFonts w:ascii="Courier New" w:cs="Courier New" w:eastAsia="Courier New" w:hAnsi="Courier New"/>
          <w:sz w:val="16"/>
          <w:szCs w:val="16"/>
          <w:color w:val="auto"/>
        </w:rPr>
        <w:t>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w:t>
      </w:r>
    </w:p>
    <w:p>
      <w:pPr>
        <w:spacing w:after="0" w:line="186" w:lineRule="exact"/>
        <w:rPr>
          <w:sz w:val="20"/>
          <w:szCs w:val="20"/>
          <w:color w:val="auto"/>
        </w:rPr>
      </w:pPr>
    </w:p>
    <w:p>
      <w:pPr>
        <w:ind w:left="5" w:right="2779"/>
        <w:spacing w:after="0" w:line="272" w:lineRule="auto"/>
        <w:rPr>
          <w:sz w:val="20"/>
          <w:szCs w:val="20"/>
          <w:color w:val="auto"/>
        </w:rPr>
      </w:pPr>
      <w:r>
        <w:rPr>
          <w:rFonts w:ascii="Courier New" w:cs="Courier New" w:eastAsia="Courier New" w:hAnsi="Courier New"/>
          <w:sz w:val="14"/>
          <w:szCs w:val="14"/>
          <w:color w:val="auto"/>
        </w:rPr>
        <w:t>provided that, in determining whether the Holders of the requisite principal amount of the Outstanding Securities have given any request, demand, authorization, direction, notice, consent or waiver hereunder or are present at a meeting of Holders for quorum purposes, and for the purpose of making the calculations required by TIA Section 313, (i) the principal amount of an Original Issue Discount Security that may be counted in making such determination or calculation and that shall be deemed to be Outstanding for such purpose shall be equal to the amount of principal thereof that would be (or shall have been declared to be) due and payable, at the time of such determination, upon a declaration of acceleration of the Maturity thereof pursuant to Section 502, (ii) the principal amount of any Security denominated in a Foreign Currency that may be counted in making such determination or calculation and that shall be deemed Outstanding for such purpose shall be equal to the Dollar equivalent, determined as of the date such Security is originally issued by the Company as set forth in an Exchange Rate Officer's Certificate delivered to the Trustee, of the principal amount (or, in the case of an Original Issue Discount Security or Indexed Security, the Dollar equivalent as of such date of original issuance of the amount determined as provided in clause</w:t>
      </w:r>
    </w:p>
    <w:p>
      <w:pPr>
        <w:spacing w:after="0" w:line="344" w:lineRule="exact"/>
        <w:rPr>
          <w:sz w:val="20"/>
          <w:szCs w:val="20"/>
          <w:color w:val="auto"/>
        </w:rPr>
      </w:pPr>
    </w:p>
    <w:p>
      <w:pPr>
        <w:ind w:left="5" w:right="2779" w:hanging="5"/>
        <w:spacing w:after="0" w:line="236" w:lineRule="auto"/>
        <w:tabs>
          <w:tab w:leader="none" w:pos="377" w:val="left"/>
        </w:tabs>
        <w:numPr>
          <w:ilvl w:val="0"/>
          <w:numId w:val="2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 clause (iii) of this definition, respectively) of such Security, (iii) the principal amount of any Indexed Security that may be counted in making such determination or calculation and that shall be deemed outstanding for such purpose shall be equal to the principal face amount of such Indexed Security at original issuance, unless otherwise provided with respect to such Security pursuant to Section 301, and (iv) Securities owned by the Company or any other obligor upon the Securities or any Affiliate of the Company or of such other obligor shall be disregarded and deemed not to be Outstanding, except that, in determining whether the Trustee shall be protected in making such calculation or in relying upon any such request, demand, authorization, direction, notice, consent or waiver, only Securities which a Responsible Officer of the Trustee actually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w:t>
      </w:r>
    </w:p>
    <w:p>
      <w:pPr>
        <w:spacing w:after="0" w:line="190" w:lineRule="exact"/>
        <w:rPr>
          <w:sz w:val="20"/>
          <w:szCs w:val="20"/>
          <w:color w:val="auto"/>
        </w:rPr>
      </w:pPr>
    </w:p>
    <w:p>
      <w:pPr>
        <w:ind w:left="5" w:right="2779" w:firstLine="930"/>
        <w:spacing w:after="0" w:line="283" w:lineRule="auto"/>
        <w:rPr>
          <w:sz w:val="20"/>
          <w:szCs w:val="20"/>
          <w:color w:val="auto"/>
        </w:rPr>
      </w:pPr>
      <w:r>
        <w:rPr>
          <w:rFonts w:ascii="Courier New" w:cs="Courier New" w:eastAsia="Courier New" w:hAnsi="Courier New"/>
          <w:sz w:val="14"/>
          <w:szCs w:val="14"/>
          <w:color w:val="auto"/>
        </w:rPr>
        <w:t>"Paying Agent" means any Person (including the Company acting as Paying Agent) authorized by the Company to pay the principal of (or premium, if any) or interest, if any, on any Securities or coupons on behalf of the Company.</w:t>
      </w:r>
    </w:p>
    <w:p>
      <w:pPr>
        <w:spacing w:after="0" w:line="155" w:lineRule="exact"/>
        <w:rPr>
          <w:sz w:val="20"/>
          <w:szCs w:val="20"/>
          <w:color w:val="auto"/>
        </w:rPr>
      </w:pPr>
    </w:p>
    <w:p>
      <w:pPr>
        <w:ind w:left="5" w:right="2779" w:firstLine="930"/>
        <w:spacing w:after="0" w:line="235" w:lineRule="auto"/>
        <w:rPr>
          <w:sz w:val="20"/>
          <w:szCs w:val="20"/>
          <w:color w:val="auto"/>
        </w:rPr>
      </w:pPr>
      <w:r>
        <w:rPr>
          <w:rFonts w:ascii="Courier New" w:cs="Courier New" w:eastAsia="Courier New" w:hAnsi="Courier New"/>
          <w:sz w:val="16"/>
          <w:szCs w:val="16"/>
          <w:color w:val="auto"/>
        </w:rPr>
        <w:t>"Person" means any individual, corporation, partnership, limited liability company, joint venture, association, joint-stock company, trust, unincorporated organization or government or any agency or political subdivision thereof.</w:t>
      </w:r>
    </w:p>
    <w:p>
      <w:pPr>
        <w:spacing w:after="0" w:line="35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24"/>
          </w:cols>
          <w:pgMar w:left="235" w:top="654" w:right="1440" w:bottom="1440" w:gutter="0" w:footer="0" w:header="0"/>
        </w:sectPr>
      </w:pPr>
    </w:p>
    <w:bookmarkStart w:id="187" w:name="page188"/>
    <w:bookmarkEnd w:id="187"/>
    <w:p>
      <w:pPr>
        <w:ind w:right="2779" w:firstLine="930"/>
        <w:spacing w:after="0" w:line="235" w:lineRule="auto"/>
        <w:rPr>
          <w:sz w:val="20"/>
          <w:szCs w:val="20"/>
          <w:color w:val="auto"/>
        </w:rPr>
      </w:pPr>
      <w:r>
        <w:rPr>
          <w:rFonts w:ascii="Courier New" w:cs="Courier New" w:eastAsia="Courier New" w:hAnsi="Courier New"/>
          <w:sz w:val="16"/>
          <w:szCs w:val="16"/>
          <w:color w:val="auto"/>
        </w:rPr>
        <w:t>"Place of Payment" means, when used with respect to the Securities of or within any series, the place or places where the principal of (and premium, if any) and interest, if any, on such Securities are payable as specified and as contemplated by Sections 301 and 1002.</w:t>
      </w:r>
    </w:p>
    <w:p>
      <w:pPr>
        <w:spacing w:after="0" w:line="185" w:lineRule="exact"/>
        <w:rPr>
          <w:sz w:val="20"/>
          <w:szCs w:val="20"/>
          <w:color w:val="auto"/>
        </w:rPr>
      </w:pPr>
    </w:p>
    <w:p>
      <w:pPr>
        <w:ind w:right="2779" w:firstLine="930"/>
        <w:spacing w:after="0" w:line="236" w:lineRule="auto"/>
        <w:rPr>
          <w:sz w:val="20"/>
          <w:szCs w:val="20"/>
          <w:color w:val="auto"/>
        </w:rPr>
      </w:pPr>
      <w:r>
        <w:rPr>
          <w:rFonts w:ascii="Courier New" w:cs="Courier New" w:eastAsia="Courier New" w:hAnsi="Courier New"/>
          <w:sz w:val="16"/>
          <w:szCs w:val="16"/>
          <w:color w:val="auto"/>
        </w:rPr>
        <w:t>"Predecessor Security"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or a Security to which a mutilated, destroyed, lost or stolen coupon appertains shall be deemed to evidence the same debt as the mutilated, destroyed, lost or stolen Security or the Security to which the mutilated, destroyed, lost or stolen coupon appertains.</w:t>
      </w:r>
    </w:p>
    <w:p>
      <w:pPr>
        <w:spacing w:after="0" w:line="185" w:lineRule="exact"/>
        <w:rPr>
          <w:sz w:val="20"/>
          <w:szCs w:val="20"/>
          <w:color w:val="auto"/>
        </w:rPr>
      </w:pPr>
    </w:p>
    <w:p>
      <w:pPr>
        <w:ind w:right="2779" w:firstLine="930"/>
        <w:spacing w:after="0" w:line="236" w:lineRule="auto"/>
        <w:rPr>
          <w:sz w:val="20"/>
          <w:szCs w:val="20"/>
          <w:color w:val="auto"/>
        </w:rPr>
      </w:pPr>
      <w:r>
        <w:rPr>
          <w:rFonts w:ascii="Courier New" w:cs="Courier New" w:eastAsia="Courier New" w:hAnsi="Courier New"/>
          <w:sz w:val="16"/>
          <w:szCs w:val="16"/>
          <w:color w:val="auto"/>
        </w:rPr>
        <w:t>"Redeemable Capital Stock" means, with respect to any series of Securities, any class or series of capital stock that, either by its terms of any security into which it is convertible or exchangeable or by contract or otherwise, is, or upon the happening of an event or passage of time would be, or required to be redeemed prior to the Maturity of such series of Securities or is redeemable at the option of the holder thereof at any time prior to the Maturity of such series of Securities, or is convertible into or exchangeable for debt securities at any time prior to such Maturity.</w:t>
      </w:r>
    </w:p>
    <w:p>
      <w:pPr>
        <w:spacing w:after="0" w:line="184" w:lineRule="exact"/>
        <w:rPr>
          <w:sz w:val="20"/>
          <w:szCs w:val="20"/>
          <w:color w:val="auto"/>
        </w:rPr>
      </w:pPr>
    </w:p>
    <w:p>
      <w:pPr>
        <w:ind w:right="3059" w:firstLine="930"/>
        <w:spacing w:after="0" w:line="235" w:lineRule="auto"/>
        <w:rPr>
          <w:sz w:val="20"/>
          <w:szCs w:val="20"/>
          <w:color w:val="auto"/>
        </w:rPr>
      </w:pPr>
      <w:r>
        <w:rPr>
          <w:rFonts w:ascii="Courier New" w:cs="Courier New" w:eastAsia="Courier New" w:hAnsi="Courier New"/>
          <w:sz w:val="16"/>
          <w:szCs w:val="16"/>
          <w:color w:val="auto"/>
        </w:rPr>
        <w:t>"Redemption Date", when used with respect to any Security to be redeemed, in whole or in part, means the date fixed for such redemption by or pursuant to this Indenture.</w:t>
      </w:r>
    </w:p>
    <w:p>
      <w:pPr>
        <w:spacing w:after="0" w:line="183" w:lineRule="exact"/>
        <w:rPr>
          <w:sz w:val="20"/>
          <w:szCs w:val="20"/>
          <w:color w:val="auto"/>
        </w:rPr>
      </w:pPr>
    </w:p>
    <w:p>
      <w:pPr>
        <w:ind w:right="3339" w:firstLine="930"/>
        <w:spacing w:after="0" w:line="235" w:lineRule="auto"/>
        <w:rPr>
          <w:sz w:val="20"/>
          <w:szCs w:val="20"/>
          <w:color w:val="auto"/>
        </w:rPr>
      </w:pPr>
      <w:r>
        <w:rPr>
          <w:rFonts w:ascii="Courier New" w:cs="Courier New" w:eastAsia="Courier New" w:hAnsi="Courier New"/>
          <w:sz w:val="16"/>
          <w:szCs w:val="16"/>
          <w:color w:val="auto"/>
        </w:rPr>
        <w:t>"Redemption Price", when used with respect to any Security to be redeemed, means the price at which it is to be redeemed pursuant to this Indenture.</w:t>
      </w:r>
    </w:p>
    <w:p>
      <w:pPr>
        <w:spacing w:after="0" w:line="183" w:lineRule="exact"/>
        <w:rPr>
          <w:sz w:val="20"/>
          <w:szCs w:val="20"/>
          <w:color w:val="auto"/>
        </w:rPr>
      </w:pPr>
    </w:p>
    <w:p>
      <w:pPr>
        <w:ind w:right="3159" w:firstLine="930"/>
        <w:spacing w:after="0" w:line="234" w:lineRule="auto"/>
        <w:rPr>
          <w:sz w:val="20"/>
          <w:szCs w:val="20"/>
          <w:color w:val="auto"/>
        </w:rPr>
      </w:pPr>
      <w:r>
        <w:rPr>
          <w:rFonts w:ascii="Courier New" w:cs="Courier New" w:eastAsia="Courier New" w:hAnsi="Courier New"/>
          <w:sz w:val="16"/>
          <w:szCs w:val="16"/>
          <w:color w:val="auto"/>
        </w:rPr>
        <w:t>"Registered Security" means any Security that is registered in the Security Register.</w:t>
      </w:r>
    </w:p>
    <w:p>
      <w:pPr>
        <w:spacing w:after="0" w:line="183" w:lineRule="exact"/>
        <w:rPr>
          <w:sz w:val="20"/>
          <w:szCs w:val="20"/>
          <w:color w:val="auto"/>
        </w:rPr>
      </w:pPr>
    </w:p>
    <w:p>
      <w:pPr>
        <w:ind w:right="2779" w:firstLine="930"/>
        <w:spacing w:after="0" w:line="235" w:lineRule="auto"/>
        <w:rPr>
          <w:sz w:val="20"/>
          <w:szCs w:val="20"/>
          <w:color w:val="auto"/>
        </w:rPr>
      </w:pPr>
      <w:r>
        <w:rPr>
          <w:rFonts w:ascii="Courier New" w:cs="Courier New" w:eastAsia="Courier New" w:hAnsi="Courier New"/>
          <w:sz w:val="16"/>
          <w:szCs w:val="16"/>
          <w:color w:val="auto"/>
        </w:rPr>
        <w:t>"Regular Record Date" for the interest payable on any Interest Payment Date on the Registered Securities of or within any series means the date specified for that purpose as contemplated by Section 301, whether or not a Business Day.</w:t>
      </w:r>
    </w:p>
    <w:p>
      <w:pPr>
        <w:spacing w:after="0" w:line="185" w:lineRule="exact"/>
        <w:rPr>
          <w:sz w:val="20"/>
          <w:szCs w:val="20"/>
          <w:color w:val="auto"/>
        </w:rPr>
      </w:pPr>
    </w:p>
    <w:p>
      <w:pPr>
        <w:ind w:right="2959" w:firstLine="930"/>
        <w:spacing w:after="0" w:line="235" w:lineRule="auto"/>
        <w:rPr>
          <w:sz w:val="20"/>
          <w:szCs w:val="20"/>
          <w:color w:val="auto"/>
        </w:rPr>
      </w:pPr>
      <w:r>
        <w:rPr>
          <w:rFonts w:ascii="Courier New" w:cs="Courier New" w:eastAsia="Courier New" w:hAnsi="Courier New"/>
          <w:sz w:val="16"/>
          <w:szCs w:val="16"/>
          <w:color w:val="auto"/>
        </w:rPr>
        <w:t>"Repayment Date" means, when used with respect to any Security to be repaid at the option of the Holder, the date fixed for such repayment by or pursuant to this Indenture.</w:t>
      </w:r>
    </w:p>
    <w:p>
      <w:pPr>
        <w:spacing w:after="0" w:line="183" w:lineRule="exact"/>
        <w:rPr>
          <w:sz w:val="20"/>
          <w:szCs w:val="20"/>
          <w:color w:val="auto"/>
        </w:rPr>
      </w:pPr>
    </w:p>
    <w:p>
      <w:pPr>
        <w:jc w:val="both"/>
        <w:ind w:right="2879" w:firstLine="930"/>
        <w:spacing w:after="0" w:line="235" w:lineRule="auto"/>
        <w:rPr>
          <w:sz w:val="20"/>
          <w:szCs w:val="20"/>
          <w:color w:val="auto"/>
        </w:rPr>
      </w:pPr>
      <w:r>
        <w:rPr>
          <w:rFonts w:ascii="Courier New" w:cs="Courier New" w:eastAsia="Courier New" w:hAnsi="Courier New"/>
          <w:sz w:val="16"/>
          <w:szCs w:val="16"/>
          <w:color w:val="auto"/>
        </w:rPr>
        <w:t>"Repayment Price" means, when used with respect to any Security to be repaid at the option of the Holder, the price at which it is to be repaid by or pursuant to this Indenture.</w:t>
      </w:r>
    </w:p>
    <w:p>
      <w:pPr>
        <w:spacing w:after="0" w:line="183" w:lineRule="exact"/>
        <w:rPr>
          <w:sz w:val="20"/>
          <w:szCs w:val="20"/>
          <w:color w:val="auto"/>
        </w:rPr>
      </w:pPr>
    </w:p>
    <w:p>
      <w:pPr>
        <w:ind w:right="3159" w:firstLine="930"/>
        <w:spacing w:after="0" w:line="276" w:lineRule="auto"/>
        <w:rPr>
          <w:sz w:val="20"/>
          <w:szCs w:val="20"/>
          <w:color w:val="auto"/>
        </w:rPr>
      </w:pPr>
      <w:r>
        <w:rPr>
          <w:rFonts w:ascii="Courier New" w:cs="Courier New" w:eastAsia="Courier New" w:hAnsi="Courier New"/>
          <w:sz w:val="14"/>
          <w:szCs w:val="14"/>
          <w:color w:val="auto"/>
        </w:rPr>
        <w:t>"Responsible Officer" shall mean, when used with respect to the Trustee, any officer within the corporate trust department of the Trustee, including any vice president, assistant vice president, assistant treasurer, trust officer or any other officer of the Trustee who customarily performs functions similar to those performed by the Persons who at the time shall be</w:t>
      </w:r>
    </w:p>
    <w:p>
      <w:pPr>
        <w:spacing w:after="0" w:line="33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55" w:right="1440" w:bottom="1440" w:gutter="0" w:footer="0" w:header="0"/>
        </w:sectPr>
      </w:pPr>
    </w:p>
    <w:bookmarkStart w:id="188" w:name="page189"/>
    <w:bookmarkEnd w:id="188"/>
    <w:p>
      <w:pPr>
        <w:ind w:right="2879"/>
        <w:spacing w:after="0" w:line="235" w:lineRule="auto"/>
        <w:rPr>
          <w:sz w:val="20"/>
          <w:szCs w:val="20"/>
          <w:color w:val="auto"/>
        </w:rPr>
      </w:pPr>
      <w:r>
        <w:rPr>
          <w:rFonts w:ascii="Courier New" w:cs="Courier New" w:eastAsia="Courier New" w:hAnsi="Courier New"/>
          <w:sz w:val="16"/>
          <w:szCs w:val="16"/>
          <w:color w:val="auto"/>
        </w:rPr>
        <w:t>such officers, respectively, or to whom any corporate trust matter is referred because of such person's knowledge of and familiarity with the particular subject and who shall have direct responsibility for the administration of this Indenture.</w:t>
      </w:r>
    </w:p>
    <w:p>
      <w:pPr>
        <w:spacing w:after="0" w:line="185" w:lineRule="exact"/>
        <w:rPr>
          <w:sz w:val="20"/>
          <w:szCs w:val="20"/>
          <w:color w:val="auto"/>
        </w:rPr>
      </w:pPr>
    </w:p>
    <w:p>
      <w:pPr>
        <w:ind w:right="2779" w:firstLine="930"/>
        <w:spacing w:after="0" w:line="236" w:lineRule="auto"/>
        <w:rPr>
          <w:sz w:val="20"/>
          <w:szCs w:val="20"/>
          <w:color w:val="auto"/>
        </w:rPr>
      </w:pPr>
      <w:r>
        <w:rPr>
          <w:rFonts w:ascii="Courier New" w:cs="Courier New" w:eastAsia="Courier New" w:hAnsi="Courier New"/>
          <w:sz w:val="16"/>
          <w:szCs w:val="16"/>
          <w:color w:val="auto"/>
        </w:rPr>
        <w:t>"Security" or "Securities" has the meaning stated in the first recital of this Indenture and, more particularly, means any Security or Securities authenticated and delivered under this Indenture; provided, that, if at any time there is more than one Person acting as Trustee under this Indenture, "Securities" with respect to the Indenture as to which such Person is Trustee shall have the meaning stated in the first recital of this Indenture and shall more particularly mean Securities authenticated and delivered under this Indenture, exclusive, however, of Securities of any series as to which such Person is not Trustee.</w:t>
      </w:r>
    </w:p>
    <w:p>
      <w:pPr>
        <w:spacing w:after="0" w:line="185" w:lineRule="exact"/>
        <w:rPr>
          <w:sz w:val="20"/>
          <w:szCs w:val="20"/>
          <w:color w:val="auto"/>
        </w:rPr>
      </w:pPr>
    </w:p>
    <w:p>
      <w:pPr>
        <w:ind w:right="3339" w:firstLine="930"/>
        <w:spacing w:after="0" w:line="234" w:lineRule="auto"/>
        <w:rPr>
          <w:sz w:val="20"/>
          <w:szCs w:val="20"/>
          <w:color w:val="auto"/>
        </w:rPr>
      </w:pPr>
      <w:r>
        <w:rPr>
          <w:rFonts w:ascii="Courier New" w:cs="Courier New" w:eastAsia="Courier New" w:hAnsi="Courier New"/>
          <w:sz w:val="16"/>
          <w:szCs w:val="16"/>
          <w:color w:val="auto"/>
        </w:rPr>
        <w:t>"Security Register" and "Security Registrar" have the respective meanings specified in Section 305.</w:t>
      </w:r>
    </w:p>
    <w:p>
      <w:pPr>
        <w:spacing w:after="0" w:line="183" w:lineRule="exact"/>
        <w:rPr>
          <w:sz w:val="20"/>
          <w:szCs w:val="20"/>
          <w:color w:val="auto"/>
        </w:rPr>
      </w:pPr>
    </w:p>
    <w:p>
      <w:pPr>
        <w:ind w:right="2779" w:firstLine="930"/>
        <w:spacing w:after="0" w:line="271" w:lineRule="auto"/>
        <w:rPr>
          <w:sz w:val="20"/>
          <w:szCs w:val="20"/>
          <w:color w:val="auto"/>
        </w:rPr>
      </w:pPr>
      <w:r>
        <w:rPr>
          <w:rFonts w:ascii="Courier New" w:cs="Courier New" w:eastAsia="Courier New" w:hAnsi="Courier New"/>
          <w:sz w:val="14"/>
          <w:szCs w:val="14"/>
          <w:color w:val="auto"/>
        </w:rPr>
        <w:t>"Senior Indebtedness" means the principal of (and premium, if any) and unpaid interest on (a) indebtedness of the Company (including indebtedness of others guaranteed by the Company), whether outstanding on the date hereof or thereafter created, incurred, assumed or guaranteed, for money borrowed, unless in the instrument creating or evidencing the same or pursuant to which the same is outstanding it is provided that such indebtedness is not senior or prior in right of payment to the Securities, and (b) renewals, extensions, modifications and refundings of any such indebtedness. Notwithstanding the foregoing, "Senior Indebtedness" shall not include (1) indebtedness evidenced by the Securities outstanding on the date hereof or thereafter created; (2) indebtedness of the Company that is expressly subordinated in right of payment to any Senior Indebtedness of the Company or the Securities; (3) indebtedness of the Company that by operation of law is subordinate to any general unsecured obligations of the Company; (4) indebtedness of the Company to the extent incurred in violation of any covenant of this Indenture; (5) any liability for federal, state or local taxes or other taxes, owed or owing by the Company; (6) indebtedness for goods, materials or services purchased in the ordinary course of business or indebtedness consisting of trade account payables or other current liabilities (other than the current portion of long-term indebtedness which would constitute Senior Indebtedness but for the operation of this clause (6)); (7) amounts owed by the Company for compensation to employees or for services rendered to the Company, (8) indebtedness of the Company to any Subsidiary or any other Affiliate of the Company or any such Affiliate's Subsidiaries; (9) Redeemable Capital Stock of the Company; (10) amounts owing under leases and (11) indebtedness which when incurred and without any respect to any election under Section 111(b) of Title 11 of the United States Code is without recourse to the Company.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779" w:firstLine="930"/>
        <w:spacing w:after="0" w:line="235" w:lineRule="auto"/>
        <w:rPr>
          <w:sz w:val="20"/>
          <w:szCs w:val="20"/>
          <w:color w:val="auto"/>
        </w:rPr>
      </w:pPr>
      <w:r>
        <w:rPr>
          <w:rFonts w:ascii="Courier New" w:cs="Courier New" w:eastAsia="Courier New" w:hAnsi="Courier New"/>
          <w:sz w:val="16"/>
          <w:szCs w:val="16"/>
          <w:color w:val="auto"/>
        </w:rPr>
        <w:t>"Special Record Date" for the payment of any Defaulted Interest on the Registered Securities of or within any series means a date fixed by the Trustee pursuant to Section 307.</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55" w:right="1440" w:bottom="1440" w:gutter="0" w:footer="0" w:header="0"/>
        </w:sectPr>
      </w:pPr>
    </w:p>
    <w:bookmarkStart w:id="189" w:name="page190"/>
    <w:bookmarkEnd w:id="189"/>
    <w:p>
      <w:pPr>
        <w:ind w:right="2879" w:firstLine="930"/>
        <w:spacing w:after="0" w:line="236" w:lineRule="auto"/>
        <w:rPr>
          <w:sz w:val="20"/>
          <w:szCs w:val="20"/>
          <w:color w:val="auto"/>
        </w:rPr>
      </w:pPr>
      <w:r>
        <w:rPr>
          <w:rFonts w:ascii="Courier New" w:cs="Courier New" w:eastAsia="Courier New" w:hAnsi="Courier New"/>
          <w:sz w:val="16"/>
          <w:szCs w:val="16"/>
          <w:color w:val="auto"/>
        </w:rPr>
        <w:t>"Stated Maturity", when used with respect to any Security or any installment of principal thereof or interest thereon, means the date specified in such Security or a coupon representing such installment of interest as the fixed date on which the principal of such Security or such installment of principal or interest is due and payable, as such date may be extended pursuant to the provisions of Section 308.</w:t>
      </w:r>
    </w:p>
    <w:p>
      <w:pPr>
        <w:spacing w:after="0" w:line="183" w:lineRule="exact"/>
        <w:rPr>
          <w:sz w:val="20"/>
          <w:szCs w:val="20"/>
          <w:color w:val="auto"/>
        </w:rPr>
      </w:pPr>
    </w:p>
    <w:p>
      <w:pPr>
        <w:ind w:right="3439" w:firstLine="930"/>
        <w:spacing w:after="0" w:line="235" w:lineRule="auto"/>
        <w:rPr>
          <w:sz w:val="20"/>
          <w:szCs w:val="20"/>
          <w:color w:val="auto"/>
        </w:rPr>
      </w:pPr>
      <w:r>
        <w:rPr>
          <w:rFonts w:ascii="Courier New" w:cs="Courier New" w:eastAsia="Courier New" w:hAnsi="Courier New"/>
          <w:sz w:val="16"/>
          <w:szCs w:val="16"/>
          <w:color w:val="auto"/>
        </w:rPr>
        <w:t>"Subsidiary" means any corporation of which at the time of determination the Company, directly and/or indirectly through one or more Subsidiaries, owns more than 50% of the shares of Voting Stock.</w:t>
      </w:r>
    </w:p>
    <w:p>
      <w:pPr>
        <w:spacing w:after="0" w:line="183" w:lineRule="exact"/>
        <w:rPr>
          <w:sz w:val="20"/>
          <w:szCs w:val="20"/>
          <w:color w:val="auto"/>
        </w:rPr>
      </w:pPr>
    </w:p>
    <w:p>
      <w:pPr>
        <w:ind w:right="2959" w:firstLine="930"/>
        <w:spacing w:after="0" w:line="235" w:lineRule="auto"/>
        <w:rPr>
          <w:sz w:val="20"/>
          <w:szCs w:val="20"/>
          <w:color w:val="auto"/>
        </w:rPr>
      </w:pPr>
      <w:r>
        <w:rPr>
          <w:rFonts w:ascii="Courier New" w:cs="Courier New" w:eastAsia="Courier New" w:hAnsi="Courier New"/>
          <w:sz w:val="16"/>
          <w:szCs w:val="16"/>
          <w:color w:val="auto"/>
        </w:rPr>
        <w:t>"Trust Indenture Act" or "TIA" means the Trust Indenture Act of 1939 as in force at the date as of which this Indenture was executed, except as provided in Section 905.</w:t>
      </w:r>
    </w:p>
    <w:p>
      <w:pPr>
        <w:spacing w:after="0" w:line="183" w:lineRule="exact"/>
        <w:rPr>
          <w:sz w:val="20"/>
          <w:szCs w:val="20"/>
          <w:color w:val="auto"/>
        </w:rPr>
      </w:pPr>
    </w:p>
    <w:p>
      <w:pPr>
        <w:ind w:right="2959" w:firstLine="930"/>
        <w:spacing w:after="0" w:line="236" w:lineRule="auto"/>
        <w:rPr>
          <w:sz w:val="20"/>
          <w:szCs w:val="20"/>
          <w:color w:val="auto"/>
        </w:rPr>
      </w:pPr>
      <w:r>
        <w:rPr>
          <w:rFonts w:ascii="Courier New" w:cs="Courier New" w:eastAsia="Courier New" w:hAnsi="Courier New"/>
          <w:sz w:val="16"/>
          <w:szCs w:val="16"/>
          <w:color w:val="auto"/>
        </w:rPr>
        <w:t>"Trustee" means the Person named as the "Trustee" in the first paragraph of this Indenture until a successor Trustee shall have become such pursuant to the applicable provisions of this Indenture, and thereafter "Trustee" shall mean or include each Person who is then a Trustee hereunder; provided, that if at any time there is more than one such Person, "Trustee" as used with respect to the Securities of any series shall mean only the Trustee with respect to Securities of that series.</w:t>
      </w:r>
    </w:p>
    <w:p>
      <w:pPr>
        <w:spacing w:after="0" w:line="184" w:lineRule="exact"/>
        <w:rPr>
          <w:sz w:val="20"/>
          <w:szCs w:val="20"/>
          <w:color w:val="auto"/>
        </w:rPr>
      </w:pPr>
    </w:p>
    <w:p>
      <w:pPr>
        <w:jc w:val="both"/>
        <w:ind w:right="2779" w:firstLine="930"/>
        <w:spacing w:after="0" w:line="235" w:lineRule="auto"/>
        <w:rPr>
          <w:sz w:val="20"/>
          <w:szCs w:val="20"/>
          <w:color w:val="auto"/>
        </w:rPr>
      </w:pPr>
      <w:r>
        <w:rPr>
          <w:rFonts w:ascii="Courier New" w:cs="Courier New" w:eastAsia="Courier New" w:hAnsi="Courier New"/>
          <w:sz w:val="16"/>
          <w:szCs w:val="16"/>
          <w:color w:val="auto"/>
        </w:rPr>
        <w:t>"United States" means, unless otherwise specified with respect to any Securities pursuant to Section 301, the United States of America (including the states and the District of Columbia), its territories, its possessions and other areas subject to its jurisdiction.</w:t>
      </w:r>
    </w:p>
    <w:p>
      <w:pPr>
        <w:spacing w:after="0" w:line="185" w:lineRule="exact"/>
        <w:rPr>
          <w:sz w:val="20"/>
          <w:szCs w:val="20"/>
          <w:color w:val="auto"/>
        </w:rPr>
      </w:pPr>
    </w:p>
    <w:p>
      <w:pPr>
        <w:ind w:right="2879" w:firstLine="930"/>
        <w:spacing w:after="0" w:line="274" w:lineRule="auto"/>
        <w:rPr>
          <w:sz w:val="20"/>
          <w:szCs w:val="20"/>
          <w:color w:val="auto"/>
        </w:rPr>
      </w:pPr>
      <w:r>
        <w:rPr>
          <w:rFonts w:ascii="Courier New" w:cs="Courier New" w:eastAsia="Courier New" w:hAnsi="Courier New"/>
          <w:sz w:val="14"/>
          <w:szCs w:val="14"/>
          <w:color w:val="auto"/>
        </w:rPr>
        <w:t>"United States Person" means, unless otherwise specified with respect to any Securities pursuant to Section 301, an individual who is a citizen or resident of the United States, a corporation, partnership or other entity created or organized in or under the laws of the United States or an estate the income of which is subject to United States federal income taxation regardless of its source or a trust whose administration is subject to the primary supervision of a United States court and which has one or more United States persons who have the authority to control all of its decisions.</w:t>
      </w:r>
    </w:p>
    <w:p>
      <w:pPr>
        <w:spacing w:after="0" w:line="155"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"Valuation Date" has the meaning specified in Subsection 312(c).</w:t>
      </w:r>
    </w:p>
    <w:p>
      <w:pPr>
        <w:spacing w:after="0" w:line="183" w:lineRule="exact"/>
        <w:rPr>
          <w:sz w:val="20"/>
          <w:szCs w:val="20"/>
          <w:color w:val="auto"/>
        </w:rPr>
      </w:pPr>
    </w:p>
    <w:p>
      <w:pPr>
        <w:ind w:right="2779" w:firstLine="930"/>
        <w:spacing w:after="0" w:line="235" w:lineRule="auto"/>
        <w:rPr>
          <w:sz w:val="20"/>
          <w:szCs w:val="20"/>
          <w:color w:val="auto"/>
        </w:rPr>
      </w:pPr>
      <w:r>
        <w:rPr>
          <w:rFonts w:ascii="Courier New" w:cs="Courier New" w:eastAsia="Courier New" w:hAnsi="Courier New"/>
          <w:sz w:val="16"/>
          <w:szCs w:val="16"/>
          <w:color w:val="auto"/>
        </w:rPr>
        <w:t>"Vice President" when used with respect to the Company or the Trustee, means any vice president, whether or not designated by a number or a word or words added before or after the title "vice president".</w:t>
      </w:r>
    </w:p>
    <w:p>
      <w:pPr>
        <w:spacing w:after="0" w:line="183" w:lineRule="exact"/>
        <w:rPr>
          <w:sz w:val="20"/>
          <w:szCs w:val="20"/>
          <w:color w:val="auto"/>
        </w:rPr>
      </w:pPr>
    </w:p>
    <w:p>
      <w:pPr>
        <w:ind w:right="3059" w:firstLine="930"/>
        <w:spacing w:after="0" w:line="276" w:lineRule="auto"/>
        <w:rPr>
          <w:sz w:val="20"/>
          <w:szCs w:val="20"/>
          <w:color w:val="auto"/>
        </w:rPr>
      </w:pPr>
      <w:r>
        <w:rPr>
          <w:rFonts w:ascii="Courier New" w:cs="Courier New" w:eastAsia="Courier New" w:hAnsi="Courier New"/>
          <w:sz w:val="14"/>
          <w:szCs w:val="14"/>
          <w:color w:val="auto"/>
        </w:rPr>
        <w:t>"Voting Stock" means stock of the class or classes having general voting power under ordinary circumstances to elect at least a majority of the board of directors, managers or trustees of a corporation (irrespective of whether or not at the time stock of any other class or classes shall have or might have voting power by reason of the happening of any contingency).</w:t>
      </w:r>
    </w:p>
    <w:p>
      <w:pPr>
        <w:spacing w:after="0" w:line="161" w:lineRule="exact"/>
        <w:rPr>
          <w:sz w:val="20"/>
          <w:szCs w:val="20"/>
          <w:color w:val="auto"/>
        </w:rPr>
      </w:pPr>
    </w:p>
    <w:p>
      <w:pPr>
        <w:ind w:right="2779" w:firstLine="930"/>
        <w:spacing w:after="0" w:line="295" w:lineRule="auto"/>
        <w:rPr>
          <w:sz w:val="20"/>
          <w:szCs w:val="20"/>
          <w:color w:val="auto"/>
        </w:rPr>
      </w:pPr>
      <w:r>
        <w:rPr>
          <w:rFonts w:ascii="Courier New" w:cs="Courier New" w:eastAsia="Courier New" w:hAnsi="Courier New"/>
          <w:sz w:val="14"/>
          <w:szCs w:val="14"/>
          <w:color w:val="auto"/>
        </w:rPr>
        <w:t>"Yield to Maturity" means the yield to maturity, computed at the time of issuance of a Security (or, if applicable, at the most recent redetermination</w:t>
      </w:r>
    </w:p>
    <w:p>
      <w:pPr>
        <w:spacing w:after="0" w:line="32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55" w:right="1440" w:bottom="1440" w:gutter="0" w:footer="0" w:header="0"/>
        </w:sectPr>
      </w:pPr>
    </w:p>
    <w:bookmarkStart w:id="190" w:name="page191"/>
    <w:bookmarkEnd w:id="190"/>
    <w:p>
      <w:pPr>
        <w:ind w:right="3059"/>
        <w:spacing w:after="0" w:line="295" w:lineRule="auto"/>
        <w:rPr>
          <w:sz w:val="20"/>
          <w:szCs w:val="20"/>
          <w:color w:val="auto"/>
        </w:rPr>
      </w:pPr>
      <w:r>
        <w:rPr>
          <w:rFonts w:ascii="Courier New" w:cs="Courier New" w:eastAsia="Courier New" w:hAnsi="Courier New"/>
          <w:sz w:val="14"/>
          <w:szCs w:val="14"/>
          <w:color w:val="auto"/>
        </w:rPr>
        <w:t>of interest on such Security) and as set forth in such Security in accordance with generally accepted United States bond yield computation principles.</w:t>
      </w:r>
    </w:p>
    <w:p>
      <w:pPr>
        <w:spacing w:after="0" w:line="14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102. Compliance Certificates and Opinions.</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926"/>
        <w:spacing w:after="0" w:line="236" w:lineRule="auto"/>
        <w:tabs>
          <w:tab w:leader="none" w:pos="1302" w:val="left"/>
        </w:tabs>
        <w:numPr>
          <w:ilvl w:val="0"/>
          <w:numId w:val="2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any application or request by the Company to the Trustee to take any action under any provision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185" w:lineRule="exact"/>
        <w:rPr>
          <w:rFonts w:ascii="Courier New" w:cs="Courier New" w:eastAsia="Courier New" w:hAnsi="Courier New"/>
          <w:sz w:val="16"/>
          <w:szCs w:val="16"/>
          <w:color w:val="auto"/>
        </w:rPr>
      </w:pPr>
    </w:p>
    <w:p>
      <w:pPr>
        <w:jc w:val="both"/>
        <w:ind w:right="3159" w:firstLine="926"/>
        <w:spacing w:after="0" w:line="235" w:lineRule="auto"/>
        <w:tabs>
          <w:tab w:leader="none" w:pos="1302" w:val="left"/>
        </w:tabs>
        <w:numPr>
          <w:ilvl w:val="0"/>
          <w:numId w:val="2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Every certificate or opinion with respect to compliance with a condition or covenant provided for in this Indenture (other than pursuant to Section 1006) shall include:</w:t>
      </w:r>
    </w:p>
    <w:p>
      <w:pPr>
        <w:spacing w:after="0" w:line="183" w:lineRule="exact"/>
        <w:rPr>
          <w:rFonts w:ascii="Courier New" w:cs="Courier New" w:eastAsia="Courier New" w:hAnsi="Courier New"/>
          <w:sz w:val="16"/>
          <w:szCs w:val="16"/>
          <w:color w:val="auto"/>
        </w:rPr>
      </w:pPr>
    </w:p>
    <w:p>
      <w:pPr>
        <w:ind w:left="920" w:right="3159" w:firstLine="936"/>
        <w:spacing w:after="0" w:line="235" w:lineRule="auto"/>
        <w:tabs>
          <w:tab w:leader="none" w:pos="2222" w:val="left"/>
        </w:tabs>
        <w:numPr>
          <w:ilvl w:val="1"/>
          <w:numId w:val="2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statement that each individual signing such certificate or opinion has read such condition or covenant and the definitions herein relating thereto;</w:t>
      </w:r>
    </w:p>
    <w:p>
      <w:pPr>
        <w:spacing w:after="0" w:line="183" w:lineRule="exact"/>
        <w:rPr>
          <w:rFonts w:ascii="Courier New" w:cs="Courier New" w:eastAsia="Courier New" w:hAnsi="Courier New"/>
          <w:sz w:val="16"/>
          <w:szCs w:val="16"/>
          <w:color w:val="auto"/>
        </w:rPr>
      </w:pPr>
    </w:p>
    <w:p>
      <w:pPr>
        <w:ind w:left="920" w:right="3159" w:firstLine="936"/>
        <w:spacing w:after="0" w:line="235" w:lineRule="auto"/>
        <w:tabs>
          <w:tab w:leader="none" w:pos="2222" w:val="left"/>
        </w:tabs>
        <w:numPr>
          <w:ilvl w:val="1"/>
          <w:numId w:val="2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brief statement as to the nature and scope of the examination or investigation upon which the statements or opinions contained in such certificate or opinion are based;</w:t>
      </w:r>
    </w:p>
    <w:p>
      <w:pPr>
        <w:spacing w:after="0" w:line="183" w:lineRule="exact"/>
        <w:rPr>
          <w:rFonts w:ascii="Courier New" w:cs="Courier New" w:eastAsia="Courier New" w:hAnsi="Courier New"/>
          <w:sz w:val="16"/>
          <w:szCs w:val="16"/>
          <w:color w:val="auto"/>
        </w:rPr>
      </w:pPr>
    </w:p>
    <w:p>
      <w:pPr>
        <w:ind w:left="920" w:right="2959" w:firstLine="936"/>
        <w:spacing w:after="0" w:line="279" w:lineRule="auto"/>
        <w:tabs>
          <w:tab w:leader="none" w:pos="2222" w:val="left"/>
        </w:tabs>
        <w:numPr>
          <w:ilvl w:val="1"/>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that, in the opinion of each such individual, he has made such examination or investigation as is necessary to enable him to express an informed opinion as to whether or not such condition or covenant has been complied with; and</w:t>
      </w:r>
    </w:p>
    <w:p>
      <w:pPr>
        <w:spacing w:after="0" w:line="156" w:lineRule="exact"/>
        <w:rPr>
          <w:rFonts w:ascii="Courier New" w:cs="Courier New" w:eastAsia="Courier New" w:hAnsi="Courier New"/>
          <w:sz w:val="14"/>
          <w:szCs w:val="14"/>
          <w:color w:val="auto"/>
        </w:rPr>
      </w:pPr>
    </w:p>
    <w:p>
      <w:pPr>
        <w:ind w:left="920" w:right="2959" w:firstLine="936"/>
        <w:spacing w:after="0" w:line="295" w:lineRule="auto"/>
        <w:tabs>
          <w:tab w:leader="none" w:pos="2222" w:val="left"/>
        </w:tabs>
        <w:numPr>
          <w:ilvl w:val="1"/>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as to whether, in the opinion of each such individual, such condition or covenant has been complied with.</w:t>
      </w:r>
    </w:p>
    <w:p>
      <w:pPr>
        <w:spacing w:after="0" w:line="14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103. Form of Documents Delivered to Trustee.</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926"/>
        <w:spacing w:after="0" w:line="274" w:lineRule="auto"/>
        <w:tabs>
          <w:tab w:leader="none" w:pos="1302"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as to some matters and one or more other such Persons as to other matters, and any such Person may certify or give an opinion with respect to such matters in one or several documents.</w:t>
      </w:r>
    </w:p>
    <w:p>
      <w:pPr>
        <w:spacing w:after="0" w:line="163" w:lineRule="exact"/>
        <w:rPr>
          <w:rFonts w:ascii="Courier New" w:cs="Courier New" w:eastAsia="Courier New" w:hAnsi="Courier New"/>
          <w:sz w:val="14"/>
          <w:szCs w:val="14"/>
          <w:color w:val="auto"/>
        </w:rPr>
      </w:pPr>
    </w:p>
    <w:p>
      <w:pPr>
        <w:ind w:right="2879" w:firstLine="926"/>
        <w:spacing w:after="0" w:line="279" w:lineRule="auto"/>
        <w:tabs>
          <w:tab w:leader="none" w:pos="1302"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certificate or opinion of an officer of the Company may be based, insofar as it relates to legal matters, upon an Opinion of Counsel, or a certificate or representations by counsel, unless such officer knows, or in the exercise of reasonable care should know, that the opinion, certificate or</w:t>
      </w:r>
    </w:p>
    <w:p>
      <w:pPr>
        <w:spacing w:after="0" w:line="33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55" w:right="1440" w:bottom="1440" w:gutter="0" w:footer="0" w:header="0"/>
        </w:sectPr>
      </w:pPr>
    </w:p>
    <w:bookmarkStart w:id="191" w:name="page192"/>
    <w:bookmarkEnd w:id="191"/>
    <w:p>
      <w:pPr>
        <w:ind w:right="2879"/>
        <w:spacing w:after="0" w:line="236" w:lineRule="auto"/>
        <w:rPr>
          <w:sz w:val="20"/>
          <w:szCs w:val="20"/>
          <w:color w:val="auto"/>
        </w:rPr>
      </w:pPr>
      <w:r>
        <w:rPr>
          <w:rFonts w:ascii="Courier New" w:cs="Courier New" w:eastAsia="Courier New" w:hAnsi="Courier New"/>
          <w:sz w:val="16"/>
          <w:szCs w:val="16"/>
          <w:color w:val="auto"/>
        </w:rPr>
        <w:t>representations with respect to the matters upon which his certificate or opinion is based are erroneous. Any such Opinion of Counsel or certificate or representations may be based, insofar as it relates to factual matters, upon a certificate or opinion of, or representations by, an officer or officers of the Company stating that the information as to such factual matters is in the possession of the Company unless such counsel knows, or in the exercise of reasonable care should know, that the certificate or opinion or representations with respect to such matters are erroneous.</w:t>
      </w:r>
    </w:p>
    <w:p>
      <w:pPr>
        <w:spacing w:after="0" w:line="184" w:lineRule="exact"/>
        <w:rPr>
          <w:sz w:val="20"/>
          <w:szCs w:val="20"/>
          <w:color w:val="auto"/>
        </w:rPr>
      </w:pPr>
    </w:p>
    <w:p>
      <w:pPr>
        <w:ind w:right="2879" w:firstLine="926"/>
        <w:spacing w:after="0" w:line="235" w:lineRule="auto"/>
        <w:tabs>
          <w:tab w:leader="none" w:pos="1302" w:val="left"/>
        </w:tabs>
        <w:numPr>
          <w:ilvl w:val="0"/>
          <w:numId w:val="2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7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104. Acts of Holders.</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926"/>
        <w:spacing w:after="0" w:line="236" w:lineRule="auto"/>
        <w:tabs>
          <w:tab w:leader="none" w:pos="1302" w:val="left"/>
        </w:tabs>
        <w:numPr>
          <w:ilvl w:val="0"/>
          <w:numId w:val="2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request, demand, authorization, direction, notice, consent, waiver or other action provided by this Indenture to be given or taken by Holders of the Outstanding Securities of all series or one or more series, as the case may be, may be embodied in and evidenced by one or more instruments of substantially similar tenor signed (which may be electronically signed) by such Holders in person or by agents duly appointed in writing. If Securities of a series are issuable as Bearer Securities, any request, demand, authorization, direction, notice, consent, waiver or other action provided by this Indenture to be given or taken by Holders of Securities of such series may, alternatively, be embodied in and evidenced by the record of Holders of Securities of such series voting in favor thereof, either in person or by proxies duly appointed in writing, at any meeting of Holders of Securities of such series duly called and held in accordance with the provisions of Article Fifteen, or a combination of such instruments and any such record. Except as herein otherwise expressly provided, such action shall become effective when such instrument or instruments or record or both are delivered to the Trustee and, where it is hereby expressly required, to the Company. Such instrument or instruments and any such record (and the action embodied therein and evidenced thereby) are herein sometimes referred to as the "Act" of the Holders signing such instrument or instruments or so voting at any such meeting. Proof of execution of any such instrument or of a writing appointing any such agent, or of the holding by any Person of a Security, shall be sufficient for any purpose of this Indenture and conclusive in favor of the Trustee and the Company and any agent of the Trustee or the Company, if made in the manner provided in this Section. The record of any meeting of Holders of Securities shall be proved in the manner provided in Section 1506.</w:t>
      </w:r>
    </w:p>
    <w:p>
      <w:pPr>
        <w:spacing w:after="0" w:line="196" w:lineRule="exact"/>
        <w:rPr>
          <w:rFonts w:ascii="Courier New" w:cs="Courier New" w:eastAsia="Courier New" w:hAnsi="Courier New"/>
          <w:sz w:val="16"/>
          <w:szCs w:val="16"/>
          <w:color w:val="auto"/>
        </w:rPr>
      </w:pPr>
    </w:p>
    <w:p>
      <w:pPr>
        <w:ind w:right="2779" w:firstLine="926"/>
        <w:spacing w:after="0" w:line="274" w:lineRule="auto"/>
        <w:tabs>
          <w:tab w:leader="none" w:pos="1302"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authority. The fact and date of the execution of any such instrument or</w:t>
      </w:r>
    </w:p>
    <w:p>
      <w:pPr>
        <w:spacing w:after="0" w:line="33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55" w:right="1440" w:bottom="1440" w:gutter="0" w:footer="0" w:header="0"/>
        </w:sectPr>
      </w:pPr>
    </w:p>
    <w:bookmarkStart w:id="192" w:name="page193"/>
    <w:bookmarkEnd w:id="192"/>
    <w:p>
      <w:pPr>
        <w:ind w:left="5" w:right="2959"/>
        <w:spacing w:after="0" w:line="234" w:lineRule="auto"/>
        <w:rPr>
          <w:sz w:val="20"/>
          <w:szCs w:val="20"/>
          <w:color w:val="auto"/>
        </w:rPr>
      </w:pPr>
      <w:r>
        <w:rPr>
          <w:rFonts w:ascii="Courier New" w:cs="Courier New" w:eastAsia="Courier New" w:hAnsi="Courier New"/>
          <w:sz w:val="16"/>
          <w:szCs w:val="16"/>
          <w:color w:val="auto"/>
        </w:rPr>
        <w:t>writing, or the authority of the Person executing the same, may also be proved in any other manner which the Trustee deems reasonably sufficient.</w:t>
      </w:r>
    </w:p>
    <w:p>
      <w:pPr>
        <w:spacing w:after="0" w:line="183" w:lineRule="exact"/>
        <w:rPr>
          <w:sz w:val="20"/>
          <w:szCs w:val="20"/>
          <w:color w:val="auto"/>
        </w:rPr>
      </w:pPr>
    </w:p>
    <w:p>
      <w:pPr>
        <w:ind w:left="5" w:right="2959" w:firstLine="926"/>
        <w:spacing w:after="0" w:line="235" w:lineRule="auto"/>
        <w:tabs>
          <w:tab w:leader="none" w:pos="1307" w:val="left"/>
        </w:tabs>
        <w:numPr>
          <w:ilvl w:val="1"/>
          <w:numId w:val="2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amount and serial numbers of Registered Securities held by any Person, and the date of holding the same, shall be proved by the Security Register.</w:t>
      </w:r>
    </w:p>
    <w:p>
      <w:pPr>
        <w:spacing w:after="0" w:line="183" w:lineRule="exact"/>
        <w:rPr>
          <w:rFonts w:ascii="Courier New" w:cs="Courier New" w:eastAsia="Courier New" w:hAnsi="Courier New"/>
          <w:sz w:val="16"/>
          <w:szCs w:val="16"/>
          <w:color w:val="auto"/>
        </w:rPr>
      </w:pPr>
    </w:p>
    <w:p>
      <w:pPr>
        <w:ind w:left="5" w:right="2779" w:firstLine="926"/>
        <w:spacing w:after="0" w:line="272" w:lineRule="auto"/>
        <w:tabs>
          <w:tab w:leader="none" w:pos="1307" w:val="left"/>
        </w:tabs>
        <w:numPr>
          <w:ilvl w:val="1"/>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amount and serial numbers of Bearer Securities held by any Person, and the date of holding the same, may be proved by the production of such Bearer Securities or by a certificate executed, as depositary, by any trust company, bank, banker or other depositary, wherever situated, if such certificate shall be deemed by the Trustee to be satisfactory, showing that at the date therein mentioned such Person had on deposit with such depositary, or exhibited to it, the Bearer Securities therein described; or such facts may be proved by the certificate or affidavit of the Person holding such Bearer Securities, if such certificate or affidavit is deemed by the Trustee to be satisfactory. The Trustee and the Company may assume that such ownership of any Bearer Security continues until (1) another certificate or affidavit bearing a later date issued in respect of the same Bearer Security is produced, or (2) such Bearer Security is produced to the Trustee by some other Person, or (3) such Bearer Security is surrendered in exchange for a Registered Security, or</w:t>
      </w:r>
    </w:p>
    <w:p>
      <w:pPr>
        <w:spacing w:after="0" w:line="164" w:lineRule="exact"/>
        <w:rPr>
          <w:rFonts w:ascii="Courier New" w:cs="Courier New" w:eastAsia="Courier New" w:hAnsi="Courier New"/>
          <w:sz w:val="14"/>
          <w:szCs w:val="14"/>
          <w:color w:val="auto"/>
        </w:rPr>
      </w:pPr>
    </w:p>
    <w:p>
      <w:pPr>
        <w:ind w:left="365" w:hanging="365"/>
        <w:spacing w:after="0" w:line="236" w:lineRule="auto"/>
        <w:tabs>
          <w:tab w:leader="none" w:pos="365" w:val="left"/>
        </w:tabs>
        <w:numPr>
          <w:ilvl w:val="0"/>
          <w:numId w:val="2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Bearer Security is no longer Outstanding. The principal amount and</w:t>
      </w:r>
    </w:p>
    <w:p>
      <w:pPr>
        <w:spacing w:after="0" w:line="4" w:lineRule="exact"/>
        <w:rPr>
          <w:rFonts w:ascii="Courier New" w:cs="Courier New" w:eastAsia="Courier New" w:hAnsi="Courier New"/>
          <w:sz w:val="16"/>
          <w:szCs w:val="16"/>
          <w:color w:val="auto"/>
        </w:rPr>
      </w:pPr>
    </w:p>
    <w:p>
      <w:pPr>
        <w:ind w:left="5" w:right="287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serial numbers of Bearer Securities held by any Person, and the date of holding the same, may also be proved in any other manner that the Trustee deems sufficient.</w:t>
      </w:r>
    </w:p>
    <w:p>
      <w:pPr>
        <w:spacing w:after="0" w:line="183" w:lineRule="exact"/>
        <w:rPr>
          <w:rFonts w:ascii="Courier New" w:cs="Courier New" w:eastAsia="Courier New" w:hAnsi="Courier New"/>
          <w:sz w:val="16"/>
          <w:szCs w:val="16"/>
          <w:color w:val="auto"/>
        </w:rPr>
      </w:pPr>
    </w:p>
    <w:p>
      <w:pPr>
        <w:ind w:left="5" w:right="2779" w:firstLine="926"/>
        <w:spacing w:after="0" w:line="236" w:lineRule="auto"/>
        <w:tabs>
          <w:tab w:leader="none" w:pos="1307" w:val="left"/>
        </w:tabs>
        <w:numPr>
          <w:ilvl w:val="1"/>
          <w:numId w:val="2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Company shall solicit from the Holders of Registered Securities any request, demand, authorization, direction, notice, consent, waiver or other Act, the Company may, at its option, in or pursuant to a Board Resolution, fix in advance a record date for the determination of Holders entitled to give such request, demand, authorization, direction, notice, consent, waiver or other Act, but the Company shall have no obligation to do so. Notwithstanding TIA Section 316(c), such record date shall be the record date specified in or pursuant to such Board Resolution, which shall be a date not earlier than the date 30 days prior to the first solicitation of Holders generally in connection therewith and not later than the date such solicitation is completed.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Securities have authorized or agreed or consented to such request, demand, authorization, direction, notice, consent, waiver or other Act, and for that purpose the Outstanding Securities shall be computed as of such record date; provided that no such authorization, agreement or consent by the Holders on such record date shall be deemed effective unless it shall become effective pursuant to the provisions of this Indenture not later than 180 days after the record date.</w:t>
      </w:r>
    </w:p>
    <w:p>
      <w:pPr>
        <w:spacing w:after="0" w:line="193" w:lineRule="exact"/>
        <w:rPr>
          <w:rFonts w:ascii="Courier New" w:cs="Courier New" w:eastAsia="Courier New" w:hAnsi="Courier New"/>
          <w:sz w:val="16"/>
          <w:szCs w:val="16"/>
          <w:color w:val="auto"/>
        </w:rPr>
      </w:pPr>
    </w:p>
    <w:p>
      <w:pPr>
        <w:ind w:left="5" w:right="2779" w:firstLine="926"/>
        <w:spacing w:after="0" w:line="235" w:lineRule="auto"/>
        <w:tabs>
          <w:tab w:leader="none" w:pos="1307" w:val="left"/>
        </w:tabs>
        <w:numPr>
          <w:ilvl w:val="1"/>
          <w:numId w:val="2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request, demand, authorization, direction, notice, consent, waiver or other Act of the Holder of any Security shall bind every future Holder of the same Security and the Holder of every Security issued upon the</w:t>
      </w:r>
    </w:p>
    <w:p>
      <w:pPr>
        <w:spacing w:after="0" w:line="356"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24"/>
          </w:cols>
          <w:pgMar w:left="235" w:top="654" w:right="1440" w:bottom="1440" w:gutter="0" w:footer="0" w:header="0"/>
        </w:sectPr>
      </w:pPr>
    </w:p>
    <w:bookmarkStart w:id="193" w:name="page194"/>
    <w:bookmarkEnd w:id="193"/>
    <w:p>
      <w:pPr>
        <w:ind w:right="2959"/>
        <w:spacing w:after="0" w:line="235" w:lineRule="auto"/>
        <w:rPr>
          <w:sz w:val="20"/>
          <w:szCs w:val="20"/>
          <w:color w:val="auto"/>
        </w:rPr>
      </w:pPr>
      <w:r>
        <w:rPr>
          <w:rFonts w:ascii="Courier New" w:cs="Courier New" w:eastAsia="Courier New" w:hAnsi="Courier New"/>
          <w:sz w:val="16"/>
          <w:szCs w:val="16"/>
          <w:color w:val="auto"/>
        </w:rPr>
        <w:t>registration of transfer thereof or in exchange therefor or in lieu thereof in respect of anything done, omitted or suffered to be done by the Trustee, any Security Registrar, any Paying Agent, any Authenticating Agent, or the Company in reliance thereon, whether or not notation of such action is made upon such Security.</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105. Notices, Etc., to Trustee and Company.</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3059" w:firstLine="926"/>
        <w:spacing w:after="0" w:line="235" w:lineRule="auto"/>
        <w:tabs>
          <w:tab w:leader="none" w:pos="1302" w:val="left"/>
        </w:tabs>
        <w:numPr>
          <w:ilvl w:val="0"/>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request, demand, authorization, direction, notice, consent, waiver or Act of Holders or other document provided or permitted by this Indenture to be made upon, given or furnished to, or filed with,</w:t>
      </w:r>
    </w:p>
    <w:p>
      <w:pPr>
        <w:spacing w:after="0" w:line="183" w:lineRule="exact"/>
        <w:rPr>
          <w:rFonts w:ascii="Courier New" w:cs="Courier New" w:eastAsia="Courier New" w:hAnsi="Courier New"/>
          <w:sz w:val="16"/>
          <w:szCs w:val="16"/>
          <w:color w:val="auto"/>
        </w:rPr>
      </w:pPr>
    </w:p>
    <w:p>
      <w:pPr>
        <w:ind w:left="920" w:right="2879" w:firstLine="936"/>
        <w:spacing w:after="0" w:line="236" w:lineRule="auto"/>
        <w:tabs>
          <w:tab w:leader="none" w:pos="2222" w:val="left"/>
        </w:tabs>
        <w:numPr>
          <w:ilvl w:val="1"/>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by any Holder or by the Company shall be sufficient for every purpose hereunder if made, given, furnished or filed in writing ( which may be via facsimile) to or with the Trustee at its Corporate Trust Office, Attention: Corporate Trust Administration, or at any other address previously furnished in writing by the Trustee to the Holders or the Company, or</w:t>
      </w:r>
    </w:p>
    <w:p>
      <w:pPr>
        <w:spacing w:after="0" w:line="182" w:lineRule="exact"/>
        <w:rPr>
          <w:rFonts w:ascii="Courier New" w:cs="Courier New" w:eastAsia="Courier New" w:hAnsi="Courier New"/>
          <w:sz w:val="16"/>
          <w:szCs w:val="16"/>
          <w:color w:val="auto"/>
        </w:rPr>
      </w:pPr>
    </w:p>
    <w:p>
      <w:pPr>
        <w:ind w:left="920" w:right="2959" w:firstLine="936"/>
        <w:spacing w:after="0" w:line="236" w:lineRule="auto"/>
        <w:tabs>
          <w:tab w:leader="none" w:pos="2222" w:val="left"/>
        </w:tabs>
        <w:numPr>
          <w:ilvl w:val="1"/>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by the Trustee or by any Holder shall be sufficient for every purpose hereunder (unless otherwise herein expressly provided) if in writing and mailed, first-class postage prepaid, to the Company addressed to it at the address of the Company's principal office specified in the first paragraph of this Indenture or at any other address previously furnished in writing to the Trustee by the Company.</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106. Notice to Holders; Waiver.</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926"/>
        <w:spacing w:after="0" w:line="236" w:lineRule="auto"/>
        <w:tabs>
          <w:tab w:leader="none" w:pos="1302" w:val="left"/>
        </w:tabs>
        <w:numPr>
          <w:ilvl w:val="0"/>
          <w:numId w:val="2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Where this Indenture provides for notice of any event to Holders of Registered Securities by the Company or the Trustee, such notice shall be sufficiently given (unless otherwise herein expressly provided) if in writing and mailed, first-class postage prepaid, or by email, to each such Holder affected by such event, at his physical address or email address as such address appears in the Security Register, not later than the latest date, and not earlier than the earliest date, prescribed for the giving of such notice. In any case where notice to Holders of Registered Securities is given by mail, neither the failure to mail such notice, nor any defect in any notice so mailed, to any particular Holder shall affect the sufficiency of such notice with respect to other Holders of Registered Securities or the sufficiency of any notice to Holders of Bearer Securities given as provided herein. Any notice mailed to a Holder in the manner herein prescribed shall be conclusively deemed to have been received by such Holder, whether or not such Holder actually receives such notice.</w:t>
      </w:r>
    </w:p>
    <w:p>
      <w:pPr>
        <w:spacing w:after="0" w:line="188" w:lineRule="exact"/>
        <w:rPr>
          <w:rFonts w:ascii="Courier New" w:cs="Courier New" w:eastAsia="Courier New" w:hAnsi="Courier New"/>
          <w:sz w:val="16"/>
          <w:szCs w:val="16"/>
          <w:color w:val="auto"/>
        </w:rPr>
      </w:pPr>
    </w:p>
    <w:p>
      <w:pPr>
        <w:ind w:right="2779" w:firstLine="926"/>
        <w:spacing w:after="0" w:line="275" w:lineRule="auto"/>
        <w:tabs>
          <w:tab w:leader="none" w:pos="1302"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by reason of the suspension of or irregularities in regular mail service or by reason of any other cause it shall be impracticable to mail notice of any event to Holders of Registered Securities when such notice is required to be given pursuant to any provision of this Indenture, then any manner of giving such notice as shall be satisfactory to the Trustee shall be deemed to be sufficient giving of such notice for every purpose hereunder.</w:t>
      </w:r>
    </w:p>
    <w:p>
      <w:pPr>
        <w:spacing w:after="0" w:line="33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54" w:right="1440" w:bottom="1440" w:gutter="0" w:footer="0" w:header="0"/>
        </w:sectPr>
      </w:pPr>
    </w:p>
    <w:bookmarkStart w:id="194" w:name="page195"/>
    <w:bookmarkEnd w:id="194"/>
    <w:p>
      <w:pPr>
        <w:ind w:right="2779" w:firstLine="926"/>
        <w:spacing w:after="0" w:line="236" w:lineRule="auto"/>
        <w:tabs>
          <w:tab w:leader="none" w:pos="1302" w:val="left"/>
        </w:tabs>
        <w:numPr>
          <w:ilvl w:val="0"/>
          <w:numId w:val="2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expressly provided herein or otherwise specified with respect to any Securities pursuant to Section 301, where this Indenture provides for notice to Holders of Bearer Securities of any event, such notice shall be sufficiently given to Holders of Bearer Securities if published at least twice in an Authorized Newspaper in The City of New York and in such other city or cities as may be specified in such Securities on a Business Day, the first such publication to be not earlier than the earliest date, and not later than the latest date, prescribed for the giving of such notice. Any such notice shall be deemed to have been given on the date of the first such publication.</w:t>
      </w:r>
    </w:p>
    <w:p>
      <w:pPr>
        <w:spacing w:after="0" w:line="185" w:lineRule="exact"/>
        <w:rPr>
          <w:rFonts w:ascii="Courier New" w:cs="Courier New" w:eastAsia="Courier New" w:hAnsi="Courier New"/>
          <w:sz w:val="16"/>
          <w:szCs w:val="16"/>
          <w:color w:val="auto"/>
        </w:rPr>
      </w:pPr>
    </w:p>
    <w:p>
      <w:pPr>
        <w:ind w:right="2779" w:firstLine="926"/>
        <w:spacing w:after="0" w:line="273" w:lineRule="auto"/>
        <w:tabs>
          <w:tab w:leader="none" w:pos="1302" w:val="left"/>
        </w:tabs>
        <w:numPr>
          <w:ilvl w:val="0"/>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by reason of the suspension of publication of any Authorized Newspaper or Authorized Newspapers or by reason of any other cause it shall be impracticable to publish any notice to Holders of Bearer Securities as provided above, then such notification to Holders of Bearer Securities as shall be given with the approval of the Trustee shall constitute sufficient notice to such Holders for every purpose hereunder. Neither the failure to give notice by publication to any Holder of Bearer Securities as provided above, nor any defect in any notice so published, shall affect the sufficiency of such notice with respect to other Holders of Bearer Securities or the sufficiency of any notice to Holders of Registered Securities given as provided herein.</w:t>
      </w:r>
    </w:p>
    <w:p>
      <w:pPr>
        <w:spacing w:after="0" w:line="344" w:lineRule="exact"/>
        <w:rPr>
          <w:rFonts w:ascii="Courier New" w:cs="Courier New" w:eastAsia="Courier New" w:hAnsi="Courier New"/>
          <w:sz w:val="14"/>
          <w:szCs w:val="14"/>
          <w:color w:val="auto"/>
        </w:rPr>
      </w:pPr>
    </w:p>
    <w:p>
      <w:pPr>
        <w:ind w:right="2779" w:firstLine="926"/>
        <w:spacing w:after="0" w:line="235" w:lineRule="auto"/>
        <w:tabs>
          <w:tab w:leader="none" w:pos="1302" w:val="left"/>
        </w:tabs>
        <w:numPr>
          <w:ilvl w:val="0"/>
          <w:numId w:val="2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request, demand, authorization, direction, notice, consent or waiver required or permitted under this Indenture shall be in the English language, except that any published notice may be in an official language of the country of publication.</w:t>
      </w:r>
    </w:p>
    <w:p>
      <w:pPr>
        <w:spacing w:after="0" w:line="184" w:lineRule="exact"/>
        <w:rPr>
          <w:rFonts w:ascii="Courier New" w:cs="Courier New" w:eastAsia="Courier New" w:hAnsi="Courier New"/>
          <w:sz w:val="16"/>
          <w:szCs w:val="16"/>
          <w:color w:val="auto"/>
        </w:rPr>
      </w:pPr>
    </w:p>
    <w:p>
      <w:pPr>
        <w:ind w:right="2959" w:firstLine="926"/>
        <w:spacing w:after="0" w:line="236" w:lineRule="auto"/>
        <w:tabs>
          <w:tab w:leader="none" w:pos="1302" w:val="left"/>
        </w:tabs>
        <w:numPr>
          <w:ilvl w:val="0"/>
          <w:numId w:val="2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107. Effect of Headings and Table of Contents.</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879" w:firstLine="930"/>
        <w:spacing w:after="0" w:line="234" w:lineRule="auto"/>
        <w:rPr>
          <w:sz w:val="20"/>
          <w:szCs w:val="20"/>
          <w:color w:val="auto"/>
        </w:rPr>
      </w:pPr>
      <w:r>
        <w:rPr>
          <w:rFonts w:ascii="Courier New" w:cs="Courier New" w:eastAsia="Courier New" w:hAnsi="Courier New"/>
          <w:sz w:val="16"/>
          <w:szCs w:val="16"/>
          <w:color w:val="auto"/>
        </w:rPr>
        <w:t>The Article and Section headings herein and the Table of Contents are for convenience only and shall not affect the construction hereof.</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108. Successors and Assigns.</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3059" w:firstLine="930"/>
        <w:spacing w:after="0" w:line="234" w:lineRule="auto"/>
        <w:rPr>
          <w:sz w:val="20"/>
          <w:szCs w:val="20"/>
          <w:color w:val="auto"/>
        </w:rPr>
      </w:pPr>
      <w:r>
        <w:rPr>
          <w:rFonts w:ascii="Courier New" w:cs="Courier New" w:eastAsia="Courier New" w:hAnsi="Courier New"/>
          <w:sz w:val="16"/>
          <w:szCs w:val="16"/>
          <w:color w:val="auto"/>
        </w:rPr>
        <w:t>All covenants and agreements in this Indenture by the Company shall bind its successors and assigns, whether so expressed or not.</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109. Separability Clause.</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879" w:firstLine="930"/>
        <w:spacing w:after="0" w:line="235" w:lineRule="auto"/>
        <w:rPr>
          <w:sz w:val="20"/>
          <w:szCs w:val="20"/>
          <w:color w:val="auto"/>
        </w:rPr>
      </w:pPr>
      <w:r>
        <w:rPr>
          <w:rFonts w:ascii="Courier New" w:cs="Courier New" w:eastAsia="Courier New" w:hAnsi="Courier New"/>
          <w:sz w:val="16"/>
          <w:szCs w:val="16"/>
          <w:color w:val="auto"/>
        </w:rPr>
        <w:t>In case any provision in this Indenture or in any Security, or coupon shall be invalid, illegal or unenforceable, the validity, legality and enforceability of the remaining provisions shall not in any way be affected or impaired thereby.</w:t>
      </w:r>
    </w:p>
    <w:p>
      <w:pPr>
        <w:spacing w:after="0" w:line="35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55" w:right="1440" w:bottom="1440" w:gutter="0" w:footer="0" w:header="0"/>
        </w:sectPr>
      </w:pPr>
    </w:p>
    <w:bookmarkStart w:id="195" w:name="page196"/>
    <w:bookmarkEnd w:id="195"/>
    <w:p>
      <w:pPr>
        <w:ind w:left="460"/>
        <w:spacing w:after="0"/>
        <w:rPr>
          <w:sz w:val="20"/>
          <w:szCs w:val="20"/>
          <w:color w:val="auto"/>
        </w:rPr>
      </w:pPr>
      <w:r>
        <w:rPr>
          <w:rFonts w:ascii="Courier New" w:cs="Courier New" w:eastAsia="Courier New" w:hAnsi="Courier New"/>
          <w:sz w:val="16"/>
          <w:szCs w:val="16"/>
          <w:color w:val="auto"/>
        </w:rPr>
        <w:t>Section 110. Benefits of Indenture.</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930"/>
        <w:spacing w:after="0" w:line="235" w:lineRule="auto"/>
        <w:rPr>
          <w:sz w:val="20"/>
          <w:szCs w:val="20"/>
          <w:color w:val="auto"/>
        </w:rPr>
      </w:pPr>
      <w:r>
        <w:rPr>
          <w:rFonts w:ascii="Courier New" w:cs="Courier New" w:eastAsia="Courier New" w:hAnsi="Courier New"/>
          <w:sz w:val="16"/>
          <w:szCs w:val="16"/>
          <w:color w:val="auto"/>
        </w:rPr>
        <w:t>Nothing in this Indenture or in the Securities, or coupons, express or implied, shall give to any Person, other than the parties hereto, any Security Registrar, any Paying Agent, any Authenticating Agent and their successors hereunder and the Holders any benefit or any legal or equitable right, remedy or claim under this Indenture.</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111. Governing Law.</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930"/>
        <w:spacing w:after="0" w:line="235" w:lineRule="auto"/>
        <w:rPr>
          <w:sz w:val="20"/>
          <w:szCs w:val="20"/>
          <w:color w:val="auto"/>
        </w:rPr>
      </w:pPr>
      <w:r>
        <w:rPr>
          <w:rFonts w:ascii="Courier New" w:cs="Courier New" w:eastAsia="Courier New" w:hAnsi="Courier New"/>
          <w:sz w:val="16"/>
          <w:szCs w:val="16"/>
          <w:color w:val="auto"/>
        </w:rPr>
        <w:t>This Indenture, the Securities, and coupons shall be governed by and construed in accordance with the law of the State of New York. This Indenture is subject to the provisions of the Trust Indenture Act that are required to be part of this Indenture and shall, to the extent applicable, be governed by such provisions.</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112. Legal Holidays.</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930"/>
        <w:spacing w:after="0" w:line="272" w:lineRule="auto"/>
        <w:rPr>
          <w:sz w:val="20"/>
          <w:szCs w:val="20"/>
          <w:color w:val="auto"/>
        </w:rPr>
      </w:pPr>
      <w:r>
        <w:rPr>
          <w:rFonts w:ascii="Courier New" w:cs="Courier New" w:eastAsia="Courier New" w:hAnsi="Courier New"/>
          <w:sz w:val="14"/>
          <w:szCs w:val="14"/>
          <w:color w:val="auto"/>
        </w:rPr>
        <w:t>In any case where any Interest Payment Date, Redemption Date, Repayment Date, sinking fund payment date, Stated Maturity or Maturity of any Security shall not be a Business Day at any Place of Payment, then (notwithstanding any other provision of this Indenture or any Security or coupon other than a provision in the Securities of any series which specifically states that such provision shall apply in lieu of this Section), payment of principal (or premium, if any) or interest, if any, need not be made at such Place of Payment on such date, but may be made on the next succeeding Business Day at such Place of Payment with the same force and effect as if made on the Interest Payment Date, Redemption Date, Repayment Date or sinking fund payment date, or at the Stated Maturity or Maturity; provided that no interest shall accrue on the amount so payable for the period from and after such Interest Payment Date, Redemption Date, Repayment Date, sinking fund payment date, Stated Maturity or Maturity, as the case may be.</w:t>
      </w:r>
    </w:p>
    <w:p>
      <w:pPr>
        <w:spacing w:after="0" w:line="34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113. Conflict of Any Provision of Indenture with Trust</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ind w:left="1660"/>
        <w:spacing w:after="0" w:line="237" w:lineRule="auto"/>
        <w:rPr>
          <w:sz w:val="20"/>
          <w:szCs w:val="20"/>
          <w:color w:val="auto"/>
        </w:rPr>
      </w:pPr>
      <w:r>
        <w:rPr>
          <w:rFonts w:ascii="Courier New" w:cs="Courier New" w:eastAsia="Courier New" w:hAnsi="Courier New"/>
          <w:sz w:val="16"/>
          <w:szCs w:val="16"/>
          <w:color w:val="auto"/>
        </w:rPr>
        <w:t>Indenture Act.</w:t>
      </w:r>
    </w:p>
    <w:p>
      <w:pPr>
        <w:ind w:left="1660"/>
        <w:spacing w:after="0" w:line="237"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930"/>
        <w:spacing w:after="0" w:line="236" w:lineRule="auto"/>
        <w:rPr>
          <w:sz w:val="20"/>
          <w:szCs w:val="20"/>
          <w:color w:val="auto"/>
        </w:rPr>
      </w:pPr>
      <w:r>
        <w:rPr>
          <w:rFonts w:ascii="Courier New" w:cs="Courier New" w:eastAsia="Courier New" w:hAnsi="Courier New"/>
          <w:sz w:val="16"/>
          <w:szCs w:val="16"/>
          <w:color w:val="auto"/>
        </w:rPr>
        <w:t>If and to the extent that any provision of this Indenture limits, qualifies or conflicts with any provision (an "incorporated provision") required by or deemed to be included in this Indenture by operation of the TIA, such imposed duties or incorporated provisions shall control. If any provision of this Indenture modifies or excludes any provision of the TIA that may be so modified or excluded, the latter provision shall be deemed to apply to this Indenture as so modified or excluded, as the case may be.</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114. No Recourse against Others.</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879" w:firstLine="930"/>
        <w:spacing w:after="0" w:line="235" w:lineRule="auto"/>
        <w:rPr>
          <w:sz w:val="20"/>
          <w:szCs w:val="20"/>
          <w:color w:val="auto"/>
        </w:rPr>
      </w:pPr>
      <w:r>
        <w:rPr>
          <w:rFonts w:ascii="Courier New" w:cs="Courier New" w:eastAsia="Courier New" w:hAnsi="Courier New"/>
          <w:sz w:val="16"/>
          <w:szCs w:val="16"/>
          <w:color w:val="auto"/>
        </w:rPr>
        <w:t>A director, officer, employee or stockholder, as such, of the Company shall not have any liability for any obligations of the Company under the Securities, or this Indenture or for any claim based on, in respect of or by reason of such obligations or their creation. Each Holder by accepting any of the Securities waives and releases all such liability.</w:t>
      </w:r>
    </w:p>
    <w:p>
      <w:pPr>
        <w:spacing w:after="0" w:line="35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49" w:right="1440" w:bottom="1440" w:gutter="0" w:footer="0" w:header="0"/>
        </w:sectPr>
      </w:pPr>
    </w:p>
    <w:bookmarkStart w:id="196" w:name="page197"/>
    <w:bookmarkEnd w:id="196"/>
    <w:p>
      <w:pPr>
        <w:ind w:left="460"/>
        <w:spacing w:after="0"/>
        <w:rPr>
          <w:sz w:val="20"/>
          <w:szCs w:val="20"/>
          <w:color w:val="auto"/>
        </w:rPr>
      </w:pPr>
      <w:r>
        <w:rPr>
          <w:rFonts w:ascii="Courier New" w:cs="Courier New" w:eastAsia="Courier New" w:hAnsi="Courier New"/>
          <w:sz w:val="16"/>
          <w:szCs w:val="16"/>
          <w:color w:val="auto"/>
        </w:rPr>
        <w:t>Section 115. Waiver of Trial by Jury.</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3059" w:firstLine="930"/>
        <w:spacing w:after="0" w:line="283" w:lineRule="auto"/>
        <w:rPr>
          <w:sz w:val="20"/>
          <w:szCs w:val="20"/>
          <w:color w:val="auto"/>
        </w:rPr>
      </w:pPr>
      <w:r>
        <w:rPr>
          <w:rFonts w:ascii="Courier New" w:cs="Courier New" w:eastAsia="Courier New" w:hAnsi="Courier New"/>
          <w:sz w:val="14"/>
          <w:szCs w:val="14"/>
          <w:color w:val="auto"/>
        </w:rPr>
        <w:t>The Company, the Trustee, and Holders hereby irrevocably and unconditionally waive the right to trial by jury in connection with any claim arising out of or relating to the Securities and under this Indenture.</w:t>
      </w:r>
    </w:p>
    <w:p>
      <w:pPr>
        <w:spacing w:after="0" w:line="14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ARTICLE TWO</w:t>
      </w:r>
    </w:p>
    <w:p>
      <w:pPr>
        <w:ind w:left="2980"/>
        <w:spacing w:after="0" w:line="236" w:lineRule="auto"/>
        <w:rPr>
          <w:sz w:val="20"/>
          <w:szCs w:val="20"/>
          <w:color w:val="auto"/>
        </w:rPr>
      </w:pPr>
      <w:r>
        <w:rPr>
          <w:rFonts w:ascii="Courier New" w:cs="Courier New" w:eastAsia="Courier New" w:hAnsi="Courier New"/>
          <w:sz w:val="16"/>
          <w:szCs w:val="16"/>
          <w:color w:val="auto"/>
        </w:rPr>
        <w:t>SECURITIES FORMS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201. Forms of Securities.</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926"/>
        <w:spacing w:after="0" w:line="273" w:lineRule="auto"/>
        <w:tabs>
          <w:tab w:leader="none" w:pos="1302"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Registered Securities, if any, of each series, the Bearer Securities, if any, of each series and related coupons shall be in substantially the forms as shall be established in one or more indentures supplemental hereto or approved from time to time by or pursuant to a Board Resolution in accordance with Section 301, shall have such appropriate insertions, omissions, substitutions and other variations as are required or permitted by this Indenture or any indenture supplemental hereto, and may have such letters, numbers or other marks of identification or designation and such legends or endorsements placed thereon as the Company, as the case may be, may deem appropriate and as are not inconsistent with the provisions of this Indenture, or as may be required to comply with any law or with any rule or regulation made pursuant thereto or with any rule or regulation of any stock exchange on which the Securities may be listed, or to conform to usage.</w:t>
      </w:r>
    </w:p>
    <w:p>
      <w:pPr>
        <w:spacing w:after="0" w:line="339" w:lineRule="exact"/>
        <w:rPr>
          <w:rFonts w:ascii="Courier New" w:cs="Courier New" w:eastAsia="Courier New" w:hAnsi="Courier New"/>
          <w:sz w:val="14"/>
          <w:szCs w:val="14"/>
          <w:color w:val="auto"/>
        </w:rPr>
      </w:pPr>
    </w:p>
    <w:p>
      <w:pPr>
        <w:ind w:right="2879" w:firstLine="926"/>
        <w:spacing w:after="0" w:line="234" w:lineRule="auto"/>
        <w:tabs>
          <w:tab w:leader="none" w:pos="1302" w:val="left"/>
        </w:tabs>
        <w:numPr>
          <w:ilvl w:val="0"/>
          <w:numId w:val="2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otherwise specified as contemplated by Section 301, Bearer Securities shall have interest coupons attached.</w:t>
      </w:r>
    </w:p>
    <w:p>
      <w:pPr>
        <w:spacing w:after="0" w:line="183" w:lineRule="exact"/>
        <w:rPr>
          <w:rFonts w:ascii="Courier New" w:cs="Courier New" w:eastAsia="Courier New" w:hAnsi="Courier New"/>
          <w:sz w:val="16"/>
          <w:szCs w:val="16"/>
          <w:color w:val="auto"/>
        </w:rPr>
      </w:pPr>
    </w:p>
    <w:p>
      <w:pPr>
        <w:ind w:right="2879" w:firstLine="926"/>
        <w:spacing w:after="0" w:line="235" w:lineRule="auto"/>
        <w:tabs>
          <w:tab w:leader="none" w:pos="1302" w:val="left"/>
        </w:tabs>
        <w:numPr>
          <w:ilvl w:val="0"/>
          <w:numId w:val="2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definitive Securities and coupons shall be printed, lithographed or engraved or produced by any combination of these methods on a steel engraved border or steel engraved borders or may be produced in any other manner, all as determined by the officers executing such Securities or coupons, as evidenced by their execution of such Securities or coupons.</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202. Form of Trustee's Certificate of Authentication.</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3059" w:firstLine="930"/>
        <w:spacing w:after="0" w:line="234" w:lineRule="auto"/>
        <w:rPr>
          <w:sz w:val="20"/>
          <w:szCs w:val="20"/>
          <w:color w:val="auto"/>
        </w:rPr>
      </w:pPr>
      <w:r>
        <w:rPr>
          <w:rFonts w:ascii="Courier New" w:cs="Courier New" w:eastAsia="Courier New" w:hAnsi="Courier New"/>
          <w:sz w:val="16"/>
          <w:szCs w:val="16"/>
          <w:color w:val="auto"/>
        </w:rPr>
        <w:t>Subject to Section 611, the Trustee's certificate of authentication shall be in substantially the following form:</w:t>
      </w:r>
    </w:p>
    <w:p>
      <w:pPr>
        <w:spacing w:after="0" w:line="183" w:lineRule="exact"/>
        <w:rPr>
          <w:sz w:val="20"/>
          <w:szCs w:val="20"/>
          <w:color w:val="auto"/>
        </w:rPr>
      </w:pPr>
    </w:p>
    <w:p>
      <w:pPr>
        <w:ind w:right="3239" w:firstLine="930"/>
        <w:spacing w:after="0" w:line="234" w:lineRule="auto"/>
        <w:rPr>
          <w:sz w:val="20"/>
          <w:szCs w:val="20"/>
          <w:color w:val="auto"/>
        </w:rPr>
      </w:pPr>
      <w:r>
        <w:rPr>
          <w:rFonts w:ascii="Courier New" w:cs="Courier New" w:eastAsia="Courier New" w:hAnsi="Courier New"/>
          <w:sz w:val="16"/>
          <w:szCs w:val="16"/>
          <w:color w:val="auto"/>
        </w:rPr>
        <w:t>This is one of the Securities of the series designated herein and referred to in the within-mentioned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48" w:right="1440" w:bottom="1440" w:gutter="0" w:footer="0" w:header="0"/>
        </w:sectPr>
      </w:pPr>
    </w:p>
    <w:bookmarkStart w:id="197" w:name="page198"/>
    <w:bookmarkEnd w:id="197"/>
    <w:p>
      <w:pPr>
        <w:ind w:left="1200"/>
        <w:spacing w:after="0"/>
        <w:rPr>
          <w:sz w:val="20"/>
          <w:szCs w:val="20"/>
          <w:color w:val="auto"/>
        </w:rPr>
      </w:pPr>
      <w:r>
        <w:rPr>
          <w:rFonts w:ascii="Courier New" w:cs="Courier New" w:eastAsia="Courier New" w:hAnsi="Courier New"/>
          <w:sz w:val="16"/>
          <w:szCs w:val="16"/>
          <w:color w:val="auto"/>
        </w:rPr>
        <w:t>THE BANK OF NEW YORK</w:t>
      </w:r>
    </w:p>
    <w:p>
      <w:pPr>
        <w:ind w:left="2040"/>
        <w:spacing w:after="0" w:line="236" w:lineRule="auto"/>
        <w:rPr>
          <w:sz w:val="20"/>
          <w:szCs w:val="20"/>
          <w:color w:val="auto"/>
        </w:rPr>
      </w:pPr>
      <w:r>
        <w:rPr>
          <w:rFonts w:ascii="Courier New" w:cs="Courier New" w:eastAsia="Courier New" w:hAnsi="Courier New"/>
          <w:sz w:val="16"/>
          <w:szCs w:val="16"/>
          <w:color w:val="auto"/>
        </w:rPr>
        <w:t>as Trustee</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By:</w:t>
      </w:r>
    </w:p>
    <w:p>
      <w:pPr>
        <w:ind w:left="2040"/>
        <w:spacing w:after="0" w:line="236" w:lineRule="auto"/>
        <w:rPr>
          <w:sz w:val="20"/>
          <w:szCs w:val="20"/>
          <w:color w:val="auto"/>
        </w:rPr>
      </w:pPr>
      <w:r>
        <w:rPr>
          <w:rFonts w:ascii="Courier New" w:cs="Courier New" w:eastAsia="Courier New" w:hAnsi="Courier New"/>
          <w:sz w:val="16"/>
          <w:szCs w:val="16"/>
          <w:color w:val="auto"/>
        </w:rPr>
        <w:t>-----------------------------------</w:t>
      </w:r>
    </w:p>
    <w:p>
      <w:pPr>
        <w:ind w:left="2040"/>
        <w:spacing w:after="0" w:line="237" w:lineRule="auto"/>
        <w:rPr>
          <w:sz w:val="20"/>
          <w:szCs w:val="20"/>
          <w:color w:val="auto"/>
        </w:rPr>
      </w:pPr>
      <w:r>
        <w:rPr>
          <w:rFonts w:ascii="Courier New" w:cs="Courier New" w:eastAsia="Courier New" w:hAnsi="Courier New"/>
          <w:sz w:val="16"/>
          <w:szCs w:val="16"/>
          <w:color w:val="auto"/>
        </w:rPr>
        <w:t>Authorized Signatory</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Dated:</w:t>
      </w:r>
    </w:p>
    <w:p>
      <w:pPr>
        <w:ind w:left="2040"/>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203. Securities Issuable in Global Form.</w:t>
      </w:r>
    </w:p>
    <w:p>
      <w:pPr>
        <w:ind w:left="120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460" w:right="2779" w:firstLine="926"/>
        <w:spacing w:after="0" w:line="272" w:lineRule="auto"/>
        <w:tabs>
          <w:tab w:leader="none" w:pos="842"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Securities of or within a series are issuable in global form, as specified as contemplated by Section 301, then, notwithstanding clause (8) of Subsection 301(b) and the provisions of Section 302, any such Security shall represent such of the Outstanding Securities of such series as shall be specified therein and may provide that it shall represent the aggregate amount of Outstanding Securities of such series from time to time endorsed thereon and that the aggregate amount of Outstanding Securities of such series represented thereby may from time to time be increased or decreased to reflect exchanges. Any endorsement of a Security in global form to reflect the amount, or any increase or decrease in the amount, of Outstanding Securities represented thereby shall be made by the Trustee in such manner and upon instructions given by such Person or Persons as shall be specified therein or in the Company Order to be delivered to the Trustee pursuant to Section 303 or Section 304. Subject to the provisions of Section 303 and, if applicable, Section 304, the Trustee shall deliver and redeliver any Security in permanent global form in the manner and upon instructions given by the Person or Persons specified therein or in the applicable Company Order. If a Company Order pursuant to Section 303 or Section 304 has been, or simultaneously is, delivered, any instructions by the Company with respect to endorsement, delivery or redelivery of a Security in global form shall be in writing but need not comply with Section 102 and need not be accompanied by an Opinion of Counsel.</w:t>
      </w:r>
    </w:p>
    <w:p>
      <w:pPr>
        <w:spacing w:after="0" w:line="200" w:lineRule="exact"/>
        <w:rPr>
          <w:rFonts w:ascii="Courier New" w:cs="Courier New" w:eastAsia="Courier New" w:hAnsi="Courier New"/>
          <w:sz w:val="14"/>
          <w:szCs w:val="14"/>
          <w:color w:val="auto"/>
        </w:rPr>
      </w:pPr>
    </w:p>
    <w:p>
      <w:pPr>
        <w:spacing w:after="0" w:line="320" w:lineRule="exact"/>
        <w:rPr>
          <w:rFonts w:ascii="Courier New" w:cs="Courier New" w:eastAsia="Courier New" w:hAnsi="Courier New"/>
          <w:sz w:val="14"/>
          <w:szCs w:val="14"/>
          <w:color w:val="auto"/>
        </w:rPr>
      </w:pPr>
    </w:p>
    <w:p>
      <w:pPr>
        <w:ind w:left="-460" w:right="2779" w:firstLine="926"/>
        <w:spacing w:after="0" w:line="236" w:lineRule="auto"/>
        <w:tabs>
          <w:tab w:leader="none" w:pos="842" w:val="left"/>
        </w:tabs>
        <w:numPr>
          <w:ilvl w:val="0"/>
          <w:numId w:val="2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provisions of Subsection 303(h) shall apply to any Security represented by a Security in global form if such Security was never issued and sold by the Company and the Company delivers to the Trustee the Security in global form together with written instructions (which need not comply with Section 102 and need not be accompanied by an Opinion of Counsel) with regard to the reduction in the principal amount of Securities represented thereby, together with the written statement contemplated by the last sentence of Section 303.</w:t>
      </w:r>
    </w:p>
    <w:p>
      <w:pPr>
        <w:spacing w:after="0" w:line="184" w:lineRule="exact"/>
        <w:rPr>
          <w:rFonts w:ascii="Courier New" w:cs="Courier New" w:eastAsia="Courier New" w:hAnsi="Courier New"/>
          <w:sz w:val="16"/>
          <w:szCs w:val="16"/>
          <w:color w:val="auto"/>
        </w:rPr>
      </w:pPr>
    </w:p>
    <w:p>
      <w:pPr>
        <w:ind w:left="-460" w:right="2879" w:firstLine="926"/>
        <w:spacing w:after="0" w:line="235" w:lineRule="auto"/>
        <w:tabs>
          <w:tab w:leader="none" w:pos="842" w:val="left"/>
        </w:tabs>
        <w:numPr>
          <w:ilvl w:val="0"/>
          <w:numId w:val="2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provisions of Section 307, unless otherwise specified as contemplated by Section 301, payment of principal of (and premium, if any) and interest, if any, on any Security in permanent global form shall be made to the Person or Persons specified therein.</w:t>
      </w:r>
    </w:p>
    <w:p>
      <w:pPr>
        <w:spacing w:after="0" w:line="184" w:lineRule="exact"/>
        <w:rPr>
          <w:rFonts w:ascii="Courier New" w:cs="Courier New" w:eastAsia="Courier New" w:hAnsi="Courier New"/>
          <w:sz w:val="16"/>
          <w:szCs w:val="16"/>
          <w:color w:val="auto"/>
        </w:rPr>
      </w:pPr>
    </w:p>
    <w:p>
      <w:pPr>
        <w:ind w:left="-460" w:right="2779" w:firstLine="926"/>
        <w:spacing w:after="0" w:line="279" w:lineRule="auto"/>
        <w:tabs>
          <w:tab w:leader="none" w:pos="842"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provisions of Section 309 and except as provided in Subsection (c) of this Section, the Company, the Trustee and any agent of the Company and the Trustee shall treat as the Holder of such principal amount of Outstanding Securities represented by a permanent global Security (1)</w:t>
      </w:r>
    </w:p>
    <w:p>
      <w:pPr>
        <w:spacing w:after="0" w:line="330"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9759"/>
          </w:cols>
          <w:pgMar w:left="700" w:top="648" w:right="1440" w:bottom="1440" w:gutter="0" w:footer="0" w:header="0"/>
        </w:sectPr>
      </w:pPr>
    </w:p>
    <w:bookmarkStart w:id="198" w:name="page199"/>
    <w:bookmarkEnd w:id="198"/>
    <w:p>
      <w:pPr>
        <w:ind w:right="3159"/>
        <w:spacing w:after="0" w:line="235" w:lineRule="auto"/>
        <w:rPr>
          <w:sz w:val="20"/>
          <w:szCs w:val="20"/>
          <w:color w:val="auto"/>
        </w:rPr>
      </w:pPr>
      <w:r>
        <w:rPr>
          <w:rFonts w:ascii="Courier New" w:cs="Courier New" w:eastAsia="Courier New" w:hAnsi="Courier New"/>
          <w:sz w:val="16"/>
          <w:szCs w:val="16"/>
          <w:color w:val="auto"/>
        </w:rPr>
        <w:t>in the case of a permanent global Security in registered form, the Holder of such permanent global Security in registered form, or (2) in the case of a permanent global Security in bearer form, Euroclear or Clearstream.</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204. Form of Legend for Book-Entry Securities.</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jc w:val="both"/>
        <w:ind w:right="2779" w:firstLine="930"/>
        <w:spacing w:after="0" w:line="235" w:lineRule="auto"/>
        <w:rPr>
          <w:sz w:val="20"/>
          <w:szCs w:val="20"/>
          <w:color w:val="auto"/>
        </w:rPr>
      </w:pPr>
      <w:r>
        <w:rPr>
          <w:rFonts w:ascii="Courier New" w:cs="Courier New" w:eastAsia="Courier New" w:hAnsi="Courier New"/>
          <w:sz w:val="16"/>
          <w:szCs w:val="16"/>
          <w:color w:val="auto"/>
        </w:rPr>
        <w:t>Any Global Security authenticated and delivered hereunder shall bear a legend (which would be in addition to any other legends required in the case of a restricted Security) in substantially the following form:</w:t>
      </w:r>
    </w:p>
    <w:p>
      <w:pPr>
        <w:spacing w:after="0" w:line="183" w:lineRule="exact"/>
        <w:rPr>
          <w:sz w:val="20"/>
          <w:szCs w:val="20"/>
          <w:color w:val="auto"/>
        </w:rPr>
      </w:pPr>
    </w:p>
    <w:p>
      <w:pPr>
        <w:ind w:left="920" w:right="2779" w:firstLine="930"/>
        <w:spacing w:after="0" w:line="236" w:lineRule="auto"/>
        <w:rPr>
          <w:sz w:val="20"/>
          <w:szCs w:val="20"/>
          <w:color w:val="auto"/>
        </w:rPr>
      </w:pPr>
      <w:r>
        <w:rPr>
          <w:rFonts w:ascii="Courier New" w:cs="Courier New" w:eastAsia="Courier New" w:hAnsi="Courier New"/>
          <w:sz w:val="16"/>
          <w:szCs w:val="16"/>
          <w:color w:val="auto"/>
        </w:rPr>
        <w:t>THIS SECURITY IS A GLOBAL SECURITY WITHIN THE MEANING OF THE INDENTURE HEREINAFTER REFERRED TO AND IS REGISTERED IN THE NAME OF A DEPOSITORY OR A NOMINEE THEREOF. THIS SECURITY MAY NOT BE EXCHANGED IN WHOLE OR IN PART FOR A SECURITY REGISTERED, AND NO TRANSFER OF THIS SECURITY IN WHOLE OR IN PART MAY BE REGISTERED, IN THE NAME OF ANY PERSON OTHER THAN SUCH DEPOSITORY OR ITS NOMINEE EXCEPT IN THE LIMITED CIRCUMSTANCES DESCRIBED IN THE INDENTURE.</w:t>
      </w:r>
    </w:p>
    <w:p>
      <w:pPr>
        <w:spacing w:after="0" w:line="184" w:lineRule="exact"/>
        <w:rPr>
          <w:sz w:val="20"/>
          <w:szCs w:val="20"/>
          <w:color w:val="auto"/>
        </w:rPr>
      </w:pPr>
    </w:p>
    <w:p>
      <w:pPr>
        <w:ind w:left="920" w:right="2959" w:firstLine="930"/>
        <w:spacing w:after="0" w:line="236" w:lineRule="auto"/>
        <w:rPr>
          <w:sz w:val="20"/>
          <w:szCs w:val="20"/>
          <w:color w:val="auto"/>
        </w:rPr>
      </w:pPr>
      <w:r>
        <w:rPr>
          <w:rFonts w:ascii="Courier New" w:cs="Courier New" w:eastAsia="Courier New" w:hAnsi="Courier New"/>
          <w:sz w:val="16"/>
          <w:szCs w:val="16"/>
          <w:color w:val="auto"/>
        </w:rPr>
        <w:t>UNLESS THIS CERTIFICATE IS PRESENTED BY AN AUTHORIZED REPRESENTATIVE OF THE DEPOSITARY TRUST COMPANY TO THE ISSUER OR ITS AGENT FOR REGISTRATION OF TRANSFER, EXCHANGE OR PAYMENT AND ANY CERTIFICATE ISSUED IN EXCHANGE FOR THIS CERTIFICATE IS REGISTERED IN THE NAME OF CEDE &amp; CO., OR SUCH OTHER NAME AS REQUESTED BY AN AUTHORIZED REPRESENTATIVE OF THE DEPOSITORY, ANY TRANSFER, PLEDGE OR OTHER USE HEREOF FOR VALUE OR OTHERWISE BY OR TO ANY PERSON IS WRONGFUL, SINCE THE REGISTERED OWNER HEREOF, CEDE &amp; CO., HAS AN INTEREST HEREIN.</w:t>
      </w:r>
    </w:p>
    <w:p>
      <w:pPr>
        <w:spacing w:after="0" w:line="179"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ARTICLE THREE</w:t>
      </w:r>
    </w:p>
    <w:p>
      <w:pPr>
        <w:ind w:left="3060"/>
        <w:spacing w:after="0" w:line="236" w:lineRule="auto"/>
        <w:rPr>
          <w:sz w:val="20"/>
          <w:szCs w:val="20"/>
          <w:color w:val="auto"/>
        </w:rPr>
      </w:pPr>
      <w:r>
        <w:rPr>
          <w:rFonts w:ascii="Courier New" w:cs="Courier New" w:eastAsia="Courier New" w:hAnsi="Courier New"/>
          <w:sz w:val="16"/>
          <w:szCs w:val="16"/>
          <w:color w:val="auto"/>
        </w:rPr>
        <w:t>THE SECURITIES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301. Amount Unlimited; Issuable in Series.</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3619" w:firstLine="926"/>
        <w:spacing w:after="0" w:line="234" w:lineRule="auto"/>
        <w:tabs>
          <w:tab w:leader="none" w:pos="1302" w:val="left"/>
        </w:tabs>
        <w:numPr>
          <w:ilvl w:val="0"/>
          <w:numId w:val="2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principal amount of Securities which may be authenticated and delivered under this Indenture is unlimited.</w:t>
      </w:r>
    </w:p>
    <w:p>
      <w:pPr>
        <w:spacing w:after="0" w:line="183" w:lineRule="exact"/>
        <w:rPr>
          <w:rFonts w:ascii="Courier New" w:cs="Courier New" w:eastAsia="Courier New" w:hAnsi="Courier New"/>
          <w:sz w:val="16"/>
          <w:szCs w:val="16"/>
          <w:color w:val="auto"/>
        </w:rPr>
      </w:pPr>
    </w:p>
    <w:p>
      <w:pPr>
        <w:ind w:right="2779" w:firstLine="926"/>
        <w:spacing w:after="0" w:line="274" w:lineRule="auto"/>
        <w:tabs>
          <w:tab w:leader="none" w:pos="1302"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Securities shall be subordinated in right of payment to Senior Indebtedness as provided in Article Sixteen. The Securities shall rank equally and pari passu and may be issued in one or more series. There shall be established in one or more Board Resolutions or pursuant to authority granted by one or more Board Resolutions and, subject to Section 303, set forth, or determined in the manner provided, in an Officers' Certificate, or established in one or more indentures supplemental hereto, prior to the issuance of Securities of any series, any or all of the following, as applicable (each of which (except for the matters set forth in clauses (1), (2) and (15) of this</w:t>
      </w:r>
    </w:p>
    <w:p>
      <w:pPr>
        <w:spacing w:after="0" w:line="200" w:lineRule="exact"/>
        <w:rPr>
          <w:sz w:val="20"/>
          <w:szCs w:val="20"/>
          <w:color w:val="auto"/>
        </w:rPr>
      </w:pPr>
    </w:p>
    <w:p>
      <w:pPr>
        <w:spacing w:after="0" w:line="31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54" w:right="1440" w:bottom="1440" w:gutter="0" w:footer="0" w:header="0"/>
        </w:sectPr>
      </w:pPr>
    </w:p>
    <w:bookmarkStart w:id="199" w:name="page200"/>
    <w:bookmarkEnd w:id="199"/>
    <w:p>
      <w:pPr>
        <w:ind w:right="2879"/>
        <w:spacing w:after="0" w:line="235" w:lineRule="auto"/>
        <w:rPr>
          <w:sz w:val="20"/>
          <w:szCs w:val="20"/>
          <w:color w:val="auto"/>
        </w:rPr>
      </w:pPr>
      <w:r>
        <w:rPr>
          <w:rFonts w:ascii="Courier New" w:cs="Courier New" w:eastAsia="Courier New" w:hAnsi="Courier New"/>
          <w:sz w:val="16"/>
          <w:szCs w:val="16"/>
          <w:color w:val="auto"/>
        </w:rPr>
        <w:t>Subsection), if so provided, may be determined from time to time by the Company with respect to unissued Securities of the series and set forth in such Securities of the series when issued from time to time):</w:t>
      </w:r>
    </w:p>
    <w:p>
      <w:pPr>
        <w:spacing w:after="0" w:line="183" w:lineRule="exact"/>
        <w:rPr>
          <w:sz w:val="20"/>
          <w:szCs w:val="20"/>
          <w:color w:val="auto"/>
        </w:rPr>
      </w:pPr>
    </w:p>
    <w:p>
      <w:pPr>
        <w:ind w:left="920" w:right="2959" w:firstLine="936"/>
        <w:spacing w:after="0" w:line="235" w:lineRule="auto"/>
        <w:tabs>
          <w:tab w:leader="none" w:pos="2222" w:val="left"/>
        </w:tabs>
        <w:numPr>
          <w:ilvl w:val="0"/>
          <w:numId w:val="2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title of the Securities of the series, including CUSIP Numbers (which shall distinguish the Securities of such series from all other series of Securities);</w:t>
      </w:r>
    </w:p>
    <w:p>
      <w:pPr>
        <w:spacing w:after="0" w:line="183" w:lineRule="exact"/>
        <w:rPr>
          <w:rFonts w:ascii="Courier New" w:cs="Courier New" w:eastAsia="Courier New" w:hAnsi="Courier New"/>
          <w:sz w:val="16"/>
          <w:szCs w:val="16"/>
          <w:color w:val="auto"/>
        </w:rPr>
      </w:pPr>
    </w:p>
    <w:p>
      <w:pPr>
        <w:ind w:left="920" w:right="2779" w:firstLine="936"/>
        <w:spacing w:after="0" w:line="236" w:lineRule="auto"/>
        <w:tabs>
          <w:tab w:leader="none" w:pos="2222" w:val="left"/>
        </w:tabs>
        <w:numPr>
          <w:ilvl w:val="0"/>
          <w:numId w:val="2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limit upon the aggregate principal amount of the Securities of the series that may be authenticated and delivered under this Indenture (except for Securities authenticated and delivered upon registration of transfer of, or in exchange for, or in lieu of, other Securities of the series pursuant to Section 304, 305, 306, 906, 1107 or 1305) and whether any series may be reopened for additional Securities of that series; in the event that such series of Securities may be reopened from time to time for issuances of additional Securities of such series, the terms thereof shall indicate whether any such additional Securities shall have the same terms as the prior Securities of such series or whether the Company may establish additional or different terms with respect to such additional Securities;</w:t>
      </w:r>
    </w:p>
    <w:p>
      <w:pPr>
        <w:spacing w:after="0" w:line="187" w:lineRule="exact"/>
        <w:rPr>
          <w:rFonts w:ascii="Courier New" w:cs="Courier New" w:eastAsia="Courier New" w:hAnsi="Courier New"/>
          <w:sz w:val="16"/>
          <w:szCs w:val="16"/>
          <w:color w:val="auto"/>
        </w:rPr>
      </w:pPr>
    </w:p>
    <w:p>
      <w:pPr>
        <w:ind w:left="920" w:right="2959" w:firstLine="936"/>
        <w:spacing w:after="0" w:line="283" w:lineRule="auto"/>
        <w:tabs>
          <w:tab w:leader="none" w:pos="2222"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or dates, or the method by which such date or dates will be determined or extended, on which the principal (and premium, if any,) of the Securities of the series shall be payable;</w:t>
      </w:r>
    </w:p>
    <w:p>
      <w:pPr>
        <w:spacing w:after="0" w:line="154" w:lineRule="exact"/>
        <w:rPr>
          <w:rFonts w:ascii="Courier New" w:cs="Courier New" w:eastAsia="Courier New" w:hAnsi="Courier New"/>
          <w:sz w:val="14"/>
          <w:szCs w:val="14"/>
          <w:color w:val="auto"/>
        </w:rPr>
      </w:pPr>
    </w:p>
    <w:p>
      <w:pPr>
        <w:ind w:left="920" w:right="2779" w:firstLine="936"/>
        <w:spacing w:after="0" w:line="236" w:lineRule="auto"/>
        <w:tabs>
          <w:tab w:leader="none" w:pos="2222" w:val="left"/>
        </w:tabs>
        <w:numPr>
          <w:ilvl w:val="0"/>
          <w:numId w:val="2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rate or rates at which the Securities of the series shall bear interest, if any, or the method by which such rate or rates shall be determined, the date or dates from which such interest shall accrue or the method by which such date or dates shall be determined, the Interest Payment Dates on which such interest shall be payable and the Regular Record Date, if any, for the interest payable on any Registered Security on any Interest Payment Date, or the method by which such date shall be determined, and the basis upon which interest shall be calculated if other than on the basis of a 360-day year of twelve 30-day months;</w:t>
      </w:r>
    </w:p>
    <w:p>
      <w:pPr>
        <w:spacing w:after="0" w:line="185" w:lineRule="exact"/>
        <w:rPr>
          <w:rFonts w:ascii="Courier New" w:cs="Courier New" w:eastAsia="Courier New" w:hAnsi="Courier New"/>
          <w:sz w:val="16"/>
          <w:szCs w:val="16"/>
          <w:color w:val="auto"/>
        </w:rPr>
      </w:pPr>
    </w:p>
    <w:p>
      <w:pPr>
        <w:ind w:left="920" w:right="2779" w:firstLine="936"/>
        <w:spacing w:after="0" w:line="273" w:lineRule="auto"/>
        <w:tabs>
          <w:tab w:leader="none" w:pos="2222"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place or places, if any, other than or in addition to the Borough of Manhattan, The City of New York, where the principal of (and premium, if any) and interest, if any, on Securities of the series shall be payable, where any Registered Securities of the series may be surrendered for registration of transfer, where Securities of the series may be surrendered for exchange, where Securities of the series that are convertible or exchangeable may be surrendered for conversion or exchange, as applicable, and where notices or demands to or upon the Company in respect of the Securities of the series and this Indenture may be served;</w:t>
      </w:r>
    </w:p>
    <w:p>
      <w:pPr>
        <w:spacing w:after="0" w:line="200" w:lineRule="exact"/>
        <w:rPr>
          <w:sz w:val="20"/>
          <w:szCs w:val="20"/>
          <w:color w:val="auto"/>
        </w:rPr>
      </w:pPr>
    </w:p>
    <w:p>
      <w:pPr>
        <w:spacing w:after="0" w:line="31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654" w:right="1440" w:bottom="1440" w:gutter="0" w:footer="0" w:header="0"/>
        </w:sectPr>
      </w:pPr>
    </w:p>
    <w:bookmarkStart w:id="200" w:name="page201"/>
    <w:bookmarkEnd w:id="200"/>
    <w:p>
      <w:pPr>
        <w:ind w:left="-280" w:right="2879" w:firstLine="936"/>
        <w:spacing w:after="0" w:line="235" w:lineRule="auto"/>
        <w:tabs>
          <w:tab w:leader="none" w:pos="1022" w:val="left"/>
        </w:tabs>
        <w:numPr>
          <w:ilvl w:val="0"/>
          <w:numId w:val="2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period or periods within which or the date or dates on which, the price or prices at which, the Currency or Currencies in which, and other terms and conditions upon which Securities of the series may be redeemed, in whole or in part, at the option of the Company, if the Company is to have that option;</w:t>
      </w:r>
    </w:p>
    <w:p>
      <w:pPr>
        <w:spacing w:after="0" w:line="185" w:lineRule="exact"/>
        <w:rPr>
          <w:rFonts w:ascii="Courier New" w:cs="Courier New" w:eastAsia="Courier New" w:hAnsi="Courier New"/>
          <w:sz w:val="16"/>
          <w:szCs w:val="16"/>
          <w:color w:val="auto"/>
        </w:rPr>
      </w:pPr>
    </w:p>
    <w:p>
      <w:pPr>
        <w:ind w:left="-280" w:right="2879" w:firstLine="936"/>
        <w:spacing w:after="0" w:line="236" w:lineRule="auto"/>
        <w:tabs>
          <w:tab w:leader="none" w:pos="1022" w:val="left"/>
        </w:tabs>
        <w:numPr>
          <w:ilvl w:val="0"/>
          <w:numId w:val="2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 if any, of the Company to redeem, repay or purchase Securities of the series pursuant to any sinking fund or analogous provision or at the option of a Holder thereof, and the period or periods within which or the date or dates on which, the price or prices at which, the Currency or Currencies in which, and other terms and conditions upon which Securities of the series shall be redeemed, repaid or purchased, in whole or in part, pursuant to such obligation;</w:t>
      </w:r>
    </w:p>
    <w:p>
      <w:pPr>
        <w:spacing w:after="0" w:line="184" w:lineRule="exact"/>
        <w:rPr>
          <w:rFonts w:ascii="Courier New" w:cs="Courier New" w:eastAsia="Courier New" w:hAnsi="Courier New"/>
          <w:sz w:val="16"/>
          <w:szCs w:val="16"/>
          <w:color w:val="auto"/>
        </w:rPr>
      </w:pPr>
    </w:p>
    <w:p>
      <w:pPr>
        <w:ind w:left="-280" w:right="2959" w:firstLine="936"/>
        <w:spacing w:after="0" w:line="276" w:lineRule="auto"/>
        <w:tabs>
          <w:tab w:leader="none" w:pos="1022"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other than denominations of $1,000 and any integral multiple thereof, the denomination or denominations in which any Registered Securities of the series shall be issuable and, if other than denominations of $5,000, the denomination or denominations in which any Bearer Securities of the series shall be issuable;</w:t>
      </w:r>
    </w:p>
    <w:p>
      <w:pPr>
        <w:spacing w:after="0" w:line="161" w:lineRule="exact"/>
        <w:rPr>
          <w:rFonts w:ascii="Courier New" w:cs="Courier New" w:eastAsia="Courier New" w:hAnsi="Courier New"/>
          <w:sz w:val="14"/>
          <w:szCs w:val="14"/>
          <w:color w:val="auto"/>
        </w:rPr>
      </w:pPr>
    </w:p>
    <w:p>
      <w:pPr>
        <w:ind w:left="-280" w:right="2779" w:firstLine="936"/>
        <w:spacing w:after="0" w:line="234" w:lineRule="auto"/>
        <w:tabs>
          <w:tab w:leader="none" w:pos="1022" w:val="left"/>
        </w:tabs>
        <w:numPr>
          <w:ilvl w:val="0"/>
          <w:numId w:val="2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other than the Trustee, the identity of each Security Registrar and/or Paying Agent;</w:t>
      </w:r>
    </w:p>
    <w:p>
      <w:pPr>
        <w:spacing w:after="0" w:line="183" w:lineRule="exact"/>
        <w:rPr>
          <w:rFonts w:ascii="Courier New" w:cs="Courier New" w:eastAsia="Courier New" w:hAnsi="Courier New"/>
          <w:sz w:val="16"/>
          <w:szCs w:val="16"/>
          <w:color w:val="auto"/>
        </w:rPr>
      </w:pPr>
    </w:p>
    <w:p>
      <w:pPr>
        <w:ind w:left="-280" w:right="2779" w:firstLine="936"/>
        <w:spacing w:after="0" w:line="235" w:lineRule="auto"/>
        <w:tabs>
          <w:tab w:leader="none" w:pos="1115" w:val="left"/>
        </w:tabs>
        <w:numPr>
          <w:ilvl w:val="0"/>
          <w:numId w:val="2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other than the principal amount thereof, the portion of the principal amount of Securities of the series that shall be payable upon declaration of acceleration of the Maturity thereof pursuant to Section 502 or the method by which such portion shall be determined;</w:t>
      </w:r>
    </w:p>
    <w:p>
      <w:pPr>
        <w:spacing w:after="0" w:line="185" w:lineRule="exact"/>
        <w:rPr>
          <w:rFonts w:ascii="Courier New" w:cs="Courier New" w:eastAsia="Courier New" w:hAnsi="Courier New"/>
          <w:sz w:val="16"/>
          <w:szCs w:val="16"/>
          <w:color w:val="auto"/>
        </w:rPr>
      </w:pPr>
    </w:p>
    <w:p>
      <w:pPr>
        <w:ind w:left="-280" w:right="2779" w:firstLine="936"/>
        <w:spacing w:after="0" w:line="236" w:lineRule="auto"/>
        <w:tabs>
          <w:tab w:leader="none" w:pos="1115" w:val="left"/>
        </w:tabs>
        <w:numPr>
          <w:ilvl w:val="0"/>
          <w:numId w:val="2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other than Dollars, the Currency or Currencies in which payment of the principal of (or premium, if any) or interest, if any, on the Securities of the series shall be made or in which the Securities of the series shall be denominated and the particular provisions applicable thereto in accordance with, in addition to or in lieu of any of the provisions of Section 312;</w:t>
      </w:r>
    </w:p>
    <w:p>
      <w:pPr>
        <w:spacing w:after="0" w:line="182" w:lineRule="exact"/>
        <w:rPr>
          <w:rFonts w:ascii="Courier New" w:cs="Courier New" w:eastAsia="Courier New" w:hAnsi="Courier New"/>
          <w:sz w:val="16"/>
          <w:szCs w:val="16"/>
          <w:color w:val="auto"/>
        </w:rPr>
      </w:pPr>
    </w:p>
    <w:p>
      <w:pPr>
        <w:ind w:left="-280" w:right="2779" w:firstLine="936"/>
        <w:spacing w:after="0" w:line="275" w:lineRule="auto"/>
        <w:tabs>
          <w:tab w:leader="none" w:pos="1115"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the amount of payments of principal of (or premium, if any) or interest, if any, on the Securities of the series may be determined with reference to an index, formula or other method (which index, formula or method may be based, without limitation, on one or more Currencies, commodities, equity indices or other indices), and the manner in which such amounts shall be determined;</w:t>
      </w:r>
    </w:p>
    <w:p>
      <w:pPr>
        <w:spacing w:after="0" w:line="161" w:lineRule="exact"/>
        <w:rPr>
          <w:rFonts w:ascii="Courier New" w:cs="Courier New" w:eastAsia="Courier New" w:hAnsi="Courier New"/>
          <w:sz w:val="14"/>
          <w:szCs w:val="14"/>
          <w:color w:val="auto"/>
        </w:rPr>
      </w:pPr>
    </w:p>
    <w:p>
      <w:pPr>
        <w:ind w:left="-280" w:right="2779" w:firstLine="936"/>
        <w:spacing w:after="0" w:line="275" w:lineRule="auto"/>
        <w:tabs>
          <w:tab w:leader="none" w:pos="1115"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the principal of (or premium, if any) or interest, if any, on the Securities of the series are to be payable, at the election of the Company or a Holder thereof, in a Currency other than that in which such Securities are denominated or stated to be payable, the period or periods within which (including the Election Date), and the terms and conditions upon which, such election may be</w:t>
      </w:r>
    </w:p>
    <w:p>
      <w:pPr>
        <w:spacing w:after="0" w:line="335"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9019"/>
          </w:cols>
          <w:pgMar w:left="1440" w:top="655" w:right="1440" w:bottom="1440" w:gutter="0" w:footer="0" w:header="0"/>
        </w:sectPr>
      </w:pPr>
    </w:p>
    <w:bookmarkStart w:id="201" w:name="page202"/>
    <w:bookmarkEnd w:id="201"/>
    <w:p>
      <w:pPr>
        <w:ind w:right="2779"/>
        <w:spacing w:after="0" w:line="235" w:lineRule="auto"/>
        <w:rPr>
          <w:sz w:val="20"/>
          <w:szCs w:val="20"/>
          <w:color w:val="auto"/>
        </w:rPr>
      </w:pPr>
      <w:r>
        <w:rPr>
          <w:rFonts w:ascii="Courier New" w:cs="Courier New" w:eastAsia="Courier New" w:hAnsi="Courier New"/>
          <w:sz w:val="16"/>
          <w:szCs w:val="16"/>
          <w:color w:val="auto"/>
        </w:rPr>
        <w:t>made, and the time and manner of determining the exchange rate between the Currency in which such Securities are denominated or stated to be payable and the Currency in which such Securities are to be so payable, in each case in accordance with, in addition to or in lieu of any of the provisions of Section 312;</w:t>
      </w:r>
    </w:p>
    <w:p>
      <w:pPr>
        <w:spacing w:after="0" w:line="186" w:lineRule="exact"/>
        <w:rPr>
          <w:sz w:val="20"/>
          <w:szCs w:val="20"/>
          <w:color w:val="auto"/>
        </w:rPr>
      </w:pPr>
    </w:p>
    <w:p>
      <w:pPr>
        <w:ind w:right="2779" w:firstLine="936"/>
        <w:spacing w:after="0" w:line="235" w:lineRule="auto"/>
        <w:tabs>
          <w:tab w:leader="none" w:pos="1395" w:val="left"/>
        </w:tabs>
        <w:numPr>
          <w:ilvl w:val="0"/>
          <w:numId w:val="2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provisions, if any, granting special rights to the Holders of Securities of the series upon the occurrence of such events as may be specified;</w:t>
      </w:r>
    </w:p>
    <w:p>
      <w:pPr>
        <w:spacing w:after="0" w:line="183" w:lineRule="exact"/>
        <w:rPr>
          <w:rFonts w:ascii="Courier New" w:cs="Courier New" w:eastAsia="Courier New" w:hAnsi="Courier New"/>
          <w:sz w:val="16"/>
          <w:szCs w:val="16"/>
          <w:color w:val="auto"/>
        </w:rPr>
      </w:pPr>
    </w:p>
    <w:p>
      <w:pPr>
        <w:ind w:right="2779" w:firstLine="936"/>
        <w:spacing w:after="0" w:line="236" w:lineRule="auto"/>
        <w:tabs>
          <w:tab w:leader="none" w:pos="1395" w:val="left"/>
        </w:tabs>
        <w:numPr>
          <w:ilvl w:val="0"/>
          <w:numId w:val="2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deletions from, modifications of or additions to the Events of Default or covenants or other provisions (including any deletions from, modifications of or additions to any of the provisions of Section 1007) of the Company with respect to Securities of the series, whether or not such Events of Default or covenants or other provisions are consistent with the Events of Default or covenants or other provisions set forth herein;</w:t>
      </w:r>
    </w:p>
    <w:p>
      <w:pPr>
        <w:spacing w:after="0" w:line="183" w:lineRule="exact"/>
        <w:rPr>
          <w:rFonts w:ascii="Courier New" w:cs="Courier New" w:eastAsia="Courier New" w:hAnsi="Courier New"/>
          <w:sz w:val="16"/>
          <w:szCs w:val="16"/>
          <w:color w:val="auto"/>
        </w:rPr>
      </w:pPr>
    </w:p>
    <w:p>
      <w:pPr>
        <w:ind w:right="2779" w:firstLine="936"/>
        <w:spacing w:after="0" w:line="272" w:lineRule="auto"/>
        <w:tabs>
          <w:tab w:leader="none" w:pos="1395"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Securities of the series are to be issuable as Registered Securities, Bearer Securities or both, any restrictions applicable to the offer, sale or delivery of Bearer Securities, whether any Securities of the series are to be issuable initially in temporary global form and whether any Securities of the series are to be issuable in permanent global form with or without coupons and, if so, whether beneficial owners of interests in any such permanent global Security may exchange such interests for Securities of such series and of like tenor of any authorized form and denomination and the circumstances under which any such exchanges may occur, if other than in the manner provided in Section 305, whether Registered Securities of the series may be exchanged for Bearer Securities of the series (if permitted by applicable laws and regulations), whether Bearer Securities of the series may be exchanged for Registered Securities of such series, and the circumstances under which and the place or places where any such exchanges may be made and if Securities of the series are to be issuable in global form, the identity of any initial depository therefor;</w:t>
      </w:r>
    </w:p>
    <w:p>
      <w:pPr>
        <w:spacing w:after="0" w:line="200" w:lineRule="exact"/>
        <w:rPr>
          <w:rFonts w:ascii="Courier New" w:cs="Courier New" w:eastAsia="Courier New" w:hAnsi="Courier New"/>
          <w:sz w:val="14"/>
          <w:szCs w:val="14"/>
          <w:color w:val="auto"/>
        </w:rPr>
      </w:pPr>
    </w:p>
    <w:p>
      <w:pPr>
        <w:spacing w:after="0" w:line="323" w:lineRule="exact"/>
        <w:rPr>
          <w:rFonts w:ascii="Courier New" w:cs="Courier New" w:eastAsia="Courier New" w:hAnsi="Courier New"/>
          <w:sz w:val="14"/>
          <w:szCs w:val="14"/>
          <w:color w:val="auto"/>
        </w:rPr>
      </w:pPr>
    </w:p>
    <w:p>
      <w:pPr>
        <w:ind w:right="3059" w:firstLine="936"/>
        <w:spacing w:after="0" w:line="279" w:lineRule="auto"/>
        <w:tabs>
          <w:tab w:leader="none" w:pos="1395"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as of which any Bearer Securities of the series and any temporary global Security representing Outstanding Securities of the series shall be dated if other than the date of original issuance of the first Security of the series to be issued;</w:t>
      </w:r>
    </w:p>
    <w:p>
      <w:pPr>
        <w:spacing w:after="0" w:line="156" w:lineRule="exact"/>
        <w:rPr>
          <w:rFonts w:ascii="Courier New" w:cs="Courier New" w:eastAsia="Courier New" w:hAnsi="Courier New"/>
          <w:sz w:val="14"/>
          <w:szCs w:val="14"/>
          <w:color w:val="auto"/>
        </w:rPr>
      </w:pPr>
    </w:p>
    <w:p>
      <w:pPr>
        <w:ind w:right="2959" w:firstLine="936"/>
        <w:spacing w:after="0" w:line="274" w:lineRule="auto"/>
        <w:tabs>
          <w:tab w:leader="none" w:pos="1395"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Person to whom any interest on any Registered Security of the series shall be payable, if other than the Person in whose name such Security (or one or more Predecessor Securities) is registered at the close of business on the Regular Record Date for such interest, the manner in which, or the Person to whom, any interest on any Bearer Security of the series shall be payable, if otherwise than upon presentation and surrender of the coupons appertaining thereto as they severally mature, and the extent to</w:t>
      </w:r>
    </w:p>
    <w:p>
      <w:pPr>
        <w:spacing w:after="0" w:line="334"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9299"/>
          </w:cols>
          <w:pgMar w:left="1160" w:top="655" w:right="1440" w:bottom="1440" w:gutter="0" w:footer="0" w:header="0"/>
        </w:sectPr>
      </w:pPr>
    </w:p>
    <w:bookmarkStart w:id="202" w:name="page203"/>
    <w:bookmarkEnd w:id="202"/>
    <w:p>
      <w:pPr>
        <w:ind w:right="2779"/>
        <w:spacing w:after="0" w:line="235" w:lineRule="auto"/>
        <w:rPr>
          <w:sz w:val="20"/>
          <w:szCs w:val="20"/>
          <w:color w:val="auto"/>
        </w:rPr>
      </w:pPr>
      <w:r>
        <w:rPr>
          <w:rFonts w:ascii="Courier New" w:cs="Courier New" w:eastAsia="Courier New" w:hAnsi="Courier New"/>
          <w:sz w:val="16"/>
          <w:szCs w:val="16"/>
          <w:color w:val="auto"/>
        </w:rPr>
        <w:t>which, or the manner in which, any interest payable on a temporary global Security on an Interest Payment Date will be paid if other than in the manner provided in Section 304;</w:t>
      </w:r>
    </w:p>
    <w:p>
      <w:pPr>
        <w:spacing w:after="0" w:line="183" w:lineRule="exact"/>
        <w:rPr>
          <w:sz w:val="20"/>
          <w:szCs w:val="20"/>
          <w:color w:val="auto"/>
        </w:rPr>
      </w:pPr>
    </w:p>
    <w:p>
      <w:pPr>
        <w:jc w:val="both"/>
        <w:ind w:right="2779" w:firstLine="936"/>
        <w:spacing w:after="0" w:line="283" w:lineRule="auto"/>
        <w:tabs>
          <w:tab w:leader="none" w:pos="1395" w:val="left"/>
        </w:tabs>
        <w:numPr>
          <w:ilvl w:val="1"/>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applicability, if any, of Sections 1402 and 1403 to the Securities of the series and any provisions in modification of, in addition to or in lieu of any of the provisions of Article Fourteen;</w:t>
      </w:r>
    </w:p>
    <w:p>
      <w:pPr>
        <w:spacing w:after="0" w:line="154" w:lineRule="exact"/>
        <w:rPr>
          <w:rFonts w:ascii="Courier New" w:cs="Courier New" w:eastAsia="Courier New" w:hAnsi="Courier New"/>
          <w:sz w:val="14"/>
          <w:szCs w:val="14"/>
          <w:color w:val="auto"/>
        </w:rPr>
      </w:pPr>
    </w:p>
    <w:p>
      <w:pPr>
        <w:ind w:right="2879" w:firstLine="936"/>
        <w:spacing w:after="0" w:line="236" w:lineRule="auto"/>
        <w:tabs>
          <w:tab w:leader="none" w:pos="1395" w:val="left"/>
        </w:tabs>
        <w:numPr>
          <w:ilvl w:val="1"/>
          <w:numId w:val="2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Securities of such series are to be issuable in definitive form (whether upon original issue or upon exchange of a temporary Security of such series) only upon receipt of certain certificates or other documents or satisfaction of other conditions, then the form and/or terms of such certificates, documents or conditions;</w:t>
      </w:r>
    </w:p>
    <w:p>
      <w:pPr>
        <w:spacing w:after="0" w:line="182" w:lineRule="exact"/>
        <w:rPr>
          <w:rFonts w:ascii="Courier New" w:cs="Courier New" w:eastAsia="Courier New" w:hAnsi="Courier New"/>
          <w:sz w:val="16"/>
          <w:szCs w:val="16"/>
          <w:color w:val="auto"/>
        </w:rPr>
      </w:pPr>
    </w:p>
    <w:p>
      <w:pPr>
        <w:ind w:right="2779" w:firstLine="936"/>
        <w:spacing w:after="0" w:line="236" w:lineRule="auto"/>
        <w:tabs>
          <w:tab w:leader="none" w:pos="1395" w:val="left"/>
        </w:tabs>
        <w:numPr>
          <w:ilvl w:val="1"/>
          <w:numId w:val="2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under what circumstances and the Currency in which, the Company will pay Additional Amounts as contemplated by Section 1005 on the Securities of the series to any Holder who is not a United States person (including any modification to the definition of such term) in respect of any tax, assessment or governmental charge and, if so, whether the Company will have the option to redeem such Securities rather than pay such Additional Amounts (and the terms of any such option);</w:t>
      </w:r>
    </w:p>
    <w:p>
      <w:pPr>
        <w:spacing w:after="0" w:line="184" w:lineRule="exact"/>
        <w:rPr>
          <w:rFonts w:ascii="Courier New" w:cs="Courier New" w:eastAsia="Courier New" w:hAnsi="Courier New"/>
          <w:sz w:val="16"/>
          <w:szCs w:val="16"/>
          <w:color w:val="auto"/>
        </w:rPr>
      </w:pPr>
    </w:p>
    <w:p>
      <w:pPr>
        <w:ind w:left="1400" w:hanging="464"/>
        <w:spacing w:after="0"/>
        <w:tabs>
          <w:tab w:leader="none" w:pos="1400" w:val="left"/>
        </w:tabs>
        <w:numPr>
          <w:ilvl w:val="1"/>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designation of the initial Exchange Rate Agent, if</w:t>
      </w:r>
    </w:p>
    <w:p>
      <w:pPr>
        <w:spacing w:after="0" w:line="16" w:lineRule="exact"/>
        <w:rPr>
          <w:rFonts w:ascii="Courier New" w:cs="Courier New" w:eastAsia="Courier New" w:hAnsi="Courier New"/>
          <w:sz w:val="14"/>
          <w:szCs w:val="14"/>
          <w:color w:val="auto"/>
        </w:rPr>
      </w:pPr>
    </w:p>
    <w:p>
      <w:pPr>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any;</w:t>
      </w:r>
    </w:p>
    <w:p>
      <w:pPr>
        <w:spacing w:after="0" w:line="183" w:lineRule="exact"/>
        <w:rPr>
          <w:rFonts w:ascii="Courier New" w:cs="Courier New" w:eastAsia="Courier New" w:hAnsi="Courier New"/>
          <w:sz w:val="14"/>
          <w:szCs w:val="14"/>
          <w:color w:val="auto"/>
        </w:rPr>
      </w:pPr>
    </w:p>
    <w:p>
      <w:pPr>
        <w:ind w:right="2959" w:firstLine="936"/>
        <w:spacing w:after="0" w:line="274" w:lineRule="auto"/>
        <w:tabs>
          <w:tab w:leader="none" w:pos="1395" w:val="left"/>
        </w:tabs>
        <w:numPr>
          <w:ilvl w:val="1"/>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Securities of the series are to be convertible into or exchangeable for any securities of any Person (including the Company), the terms and conditions upon which such Securities of the series will be so convertible or exchangeable (including, without limitation, the initial conversion price or rate, the conversion period, the conversion agent, if any, adjustments of the applicable conversion price or rate and any requirements with respect to the reservation of shares or Securities for purposes of conversion);</w:t>
      </w:r>
    </w:p>
    <w:p>
      <w:pPr>
        <w:spacing w:after="0" w:line="161" w:lineRule="exact"/>
        <w:rPr>
          <w:rFonts w:ascii="Courier New" w:cs="Courier New" w:eastAsia="Courier New" w:hAnsi="Courier New"/>
          <w:sz w:val="14"/>
          <w:szCs w:val="14"/>
          <w:color w:val="auto"/>
        </w:rPr>
      </w:pPr>
    </w:p>
    <w:p>
      <w:pPr>
        <w:ind w:right="2959" w:firstLine="936"/>
        <w:spacing w:after="0" w:line="235" w:lineRule="auto"/>
        <w:tabs>
          <w:tab w:leader="none" w:pos="1395" w:val="left"/>
        </w:tabs>
        <w:numPr>
          <w:ilvl w:val="1"/>
          <w:numId w:val="2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Securities of the series are to be issued upon the exercise of warrants, the time, manner and place for such Securities to be authenticated and delivered; and</w:t>
      </w:r>
    </w:p>
    <w:p>
      <w:pPr>
        <w:spacing w:after="0" w:line="183" w:lineRule="exact"/>
        <w:rPr>
          <w:rFonts w:ascii="Courier New" w:cs="Courier New" w:eastAsia="Courier New" w:hAnsi="Courier New"/>
          <w:sz w:val="16"/>
          <w:szCs w:val="16"/>
          <w:color w:val="auto"/>
        </w:rPr>
      </w:pPr>
    </w:p>
    <w:p>
      <w:pPr>
        <w:ind w:right="2779" w:firstLine="936"/>
        <w:spacing w:after="0" w:line="234" w:lineRule="auto"/>
        <w:tabs>
          <w:tab w:leader="none" w:pos="1395" w:val="left"/>
        </w:tabs>
        <w:numPr>
          <w:ilvl w:val="1"/>
          <w:numId w:val="2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terms of the series (which terms shall not be inconsistent with the requirements of the TIA).</w:t>
      </w:r>
    </w:p>
    <w:p>
      <w:pPr>
        <w:spacing w:after="0" w:line="183" w:lineRule="exact"/>
        <w:rPr>
          <w:rFonts w:ascii="Courier New" w:cs="Courier New" w:eastAsia="Courier New" w:hAnsi="Courier New"/>
          <w:sz w:val="16"/>
          <w:szCs w:val="16"/>
          <w:color w:val="auto"/>
        </w:rPr>
      </w:pPr>
    </w:p>
    <w:p>
      <w:pPr>
        <w:ind w:left="-920" w:right="2779" w:firstLine="926"/>
        <w:spacing w:after="0" w:line="236" w:lineRule="auto"/>
        <w:tabs>
          <w:tab w:leader="none" w:pos="382" w:val="left"/>
        </w:tabs>
        <w:numPr>
          <w:ilvl w:val="0"/>
          <w:numId w:val="2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Securities of any one series and the coupons appertaining to any Bearer Securities of such series shall be substantially identical except, in the case of Registered Securities, as to denomination and except as may otherwise be provided in or pursuant to such Board Resolution (subject to Section 303) and set forth in such Officers' Certificate or in any such indenture supplemental hereto. Not all Securities of any one series need to be issued at the same time and, unless otherwise provided, a series may be reopened, without the consent of the Holders, for issuances of additional</w:t>
      </w:r>
    </w:p>
    <w:p>
      <w:pPr>
        <w:spacing w:after="0" w:line="357"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9299"/>
          </w:cols>
          <w:pgMar w:left="1160" w:top="655" w:right="1440" w:bottom="1440" w:gutter="0" w:footer="0" w:header="0"/>
        </w:sectPr>
      </w:pPr>
    </w:p>
    <w:bookmarkStart w:id="203" w:name="page204"/>
    <w:bookmarkEnd w:id="203"/>
    <w:p>
      <w:pPr>
        <w:ind w:right="3159"/>
        <w:spacing w:after="0" w:line="235" w:lineRule="auto"/>
        <w:rPr>
          <w:sz w:val="20"/>
          <w:szCs w:val="20"/>
          <w:color w:val="auto"/>
        </w:rPr>
      </w:pPr>
      <w:r>
        <w:rPr>
          <w:rFonts w:ascii="Courier New" w:cs="Courier New" w:eastAsia="Courier New" w:hAnsi="Courier New"/>
          <w:sz w:val="16"/>
          <w:szCs w:val="16"/>
          <w:color w:val="auto"/>
        </w:rPr>
        <w:t>Securities of such series or to establish additional terms of such series of Securities (which additional terms shall only be applicable to unissued or additional Securities of such series).</w:t>
      </w:r>
    </w:p>
    <w:p>
      <w:pPr>
        <w:spacing w:after="0" w:line="183" w:lineRule="exact"/>
        <w:rPr>
          <w:sz w:val="20"/>
          <w:szCs w:val="20"/>
          <w:color w:val="auto"/>
        </w:rPr>
      </w:pPr>
    </w:p>
    <w:p>
      <w:pPr>
        <w:ind w:right="2779" w:firstLine="926"/>
        <w:spacing w:after="0" w:line="236" w:lineRule="auto"/>
        <w:tabs>
          <w:tab w:leader="none" w:pos="1302" w:val="left"/>
        </w:tabs>
        <w:numPr>
          <w:ilvl w:val="0"/>
          <w:numId w:val="2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of the terms of the Securities of any series are established by action taken pursuant to one or more Board Resolutions, a copy of an appropriate record of such action(s) shall be certified by the Secretary or an Assistant Secretary [or any Vice President] of the Company and delivered to the Trustee at or prior to the delivery of the Officers' Certificate setting forth the terms of the Securities of such series.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302. Denominations.</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930"/>
        <w:spacing w:after="0" w:line="236" w:lineRule="auto"/>
        <w:rPr>
          <w:sz w:val="20"/>
          <w:szCs w:val="20"/>
          <w:color w:val="auto"/>
        </w:rPr>
      </w:pPr>
      <w:r>
        <w:rPr>
          <w:rFonts w:ascii="Courier New" w:cs="Courier New" w:eastAsia="Courier New" w:hAnsi="Courier New"/>
          <w:sz w:val="16"/>
          <w:szCs w:val="16"/>
          <w:color w:val="auto"/>
        </w:rPr>
        <w:t>The Securities of each series shall be issuable in such denominations as shall be specified as contemplated by Section 301. In the absence of any such provision with respect to Securities of any series, the principal, premium and interest and Additional Amounts with respect to the Securities shall be payable in Dollars. With respect to Securities of any series denominated in Dollars, in the absence of any such provisions with respect to the Securities of any series, the Registered Securities of such series, other than Registered Securities issued in global form (which may be of any denomination) shall be issuable in denominations of $1,000 and any integral multiple thereof, and the Bearer Securities of such series, other than Bearer Securities issued in global form (which may be of any denomination), shall be issuable in a denomination of $5,000.</w:t>
      </w:r>
    </w:p>
    <w:p>
      <w:pPr>
        <w:spacing w:after="0" w:line="18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303. Execution, Authentication, Delivery and Dating.</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926"/>
        <w:spacing w:after="0" w:line="236" w:lineRule="auto"/>
        <w:tabs>
          <w:tab w:leader="none" w:pos="1302" w:val="left"/>
        </w:tabs>
        <w:numPr>
          <w:ilvl w:val="0"/>
          <w:numId w:val="2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Securities and any coupons appertaining thereto shall be executed on behalf of the Company by its Chairman, its President or Chief Executive Officer, under its corporate seal reproduced thereon or a facsimile or copy thereof and attested by its Secretary or one of its Assistant Secretaries or Vice Presidents. The signature of any of these officers on the Securities and coupons may be manual or facsimile signatures of the present or any future such authorized officer and may be imprinted or otherwise reproduced on the Securities.</w:t>
      </w:r>
    </w:p>
    <w:p>
      <w:pPr>
        <w:spacing w:after="0" w:line="184" w:lineRule="exact"/>
        <w:rPr>
          <w:rFonts w:ascii="Courier New" w:cs="Courier New" w:eastAsia="Courier New" w:hAnsi="Courier New"/>
          <w:sz w:val="16"/>
          <w:szCs w:val="16"/>
          <w:color w:val="auto"/>
        </w:rPr>
      </w:pPr>
    </w:p>
    <w:p>
      <w:pPr>
        <w:ind w:right="2959" w:firstLine="926"/>
        <w:spacing w:after="0" w:line="236" w:lineRule="auto"/>
        <w:tabs>
          <w:tab w:leader="none" w:pos="1302" w:val="left"/>
        </w:tabs>
        <w:numPr>
          <w:ilvl w:val="0"/>
          <w:numId w:val="2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or coupons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 or coupons.</w:t>
      </w:r>
    </w:p>
    <w:p>
      <w:pPr>
        <w:spacing w:after="0" w:line="182" w:lineRule="exact"/>
        <w:rPr>
          <w:rFonts w:ascii="Courier New" w:cs="Courier New" w:eastAsia="Courier New" w:hAnsi="Courier New"/>
          <w:sz w:val="16"/>
          <w:szCs w:val="16"/>
          <w:color w:val="auto"/>
        </w:rPr>
      </w:pPr>
    </w:p>
    <w:p>
      <w:pPr>
        <w:ind w:right="2779" w:firstLine="926"/>
        <w:spacing w:after="0" w:line="273" w:lineRule="auto"/>
        <w:tabs>
          <w:tab w:leader="none" w:pos="1302"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and from time to time after the execution and delivery of this Indenture, the Company may deliver Securities of any series, together with any coupon appertaining thereto, executed by the Company, to the Trustee for authentication, together with a Company Order for the authentication and delivery of such Securities, and the Trustee in accordance with the Company Order shall authenticate and deliver such Securities; provided, that, in connection with its original issuance, no Bearer Security shall be mailed or otherwise delivered to any location in the United States; and provided further that, unless otherwise specified with respect to any series of Securities</w:t>
      </w: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655" w:right="1440" w:bottom="1440" w:gutter="0" w:footer="0" w:header="0"/>
        </w:sectPr>
      </w:pPr>
    </w:p>
    <w:bookmarkStart w:id="204" w:name="page205"/>
    <w:bookmarkEnd w:id="204"/>
    <w:p>
      <w:pPr>
        <w:ind w:right="2779"/>
        <w:spacing w:after="0" w:line="271" w:lineRule="auto"/>
        <w:rPr>
          <w:sz w:val="20"/>
          <w:szCs w:val="20"/>
          <w:color w:val="auto"/>
        </w:rPr>
      </w:pPr>
      <w:r>
        <w:rPr>
          <w:rFonts w:ascii="Courier New" w:cs="Courier New" w:eastAsia="Courier New" w:hAnsi="Courier New"/>
          <w:sz w:val="14"/>
          <w:szCs w:val="14"/>
          <w:color w:val="auto"/>
        </w:rPr>
        <w:t>pursuant to Section 301, a Bearer Security may be delivered in connection with its original issuance only if the Person entitled to receive such Bearer Security shall have furnished a certificate in the form set forth in Exhibit A-1 to this Indenture or such other certificate as may be specified with respect to any series of Securities pursuant to Section 301, dated no earlier than 15 days prior to the earlier of the date on which such Bearer Security is delivered and the date on which any temporary Security first becomes exchangeable for such Bearer Security in accordance with the terms of such temporary Security and this Indenture. If any Security shall be represented by a permanent global Bearer Security, then, for purposes of this Section and Section 304, the notation of a beneficial owner's interest therein upon original issuance of such Security or upon exchange of a portion of a temporary global Security shall be deemed to be delivery in connection with its original issuance of such beneficial owner's interest in such permanent global Bearer Security. Except as permitted by Section 306, the Trustee shall not authenticate and deliver any Bearer Security unless all appurtenant coupons for interest then matured have been detached and cancelled. If all the Securities of any series are not to be issued at one time and if the Board Resolution or supplemental indenture establishing such series shall so permit, such Company Order may set forth procedures acceptable to the Trustee for the issuance of such Securities and determining the terms of particular Securities of such series, such as interest rate, maturity date, date of issuance and date from which interest shall accrue. In authenticating such Securities, and accepting the additional responsibilities under this Indenture in relation to such Securities, the Trustee shall be entitled to receive, and (subject to TIA Sections 315(a) through 315(d)) shall be fully protected in relying upon,</w:t>
      </w:r>
    </w:p>
    <w:p>
      <w:pPr>
        <w:spacing w:after="0" w:line="200" w:lineRule="exact"/>
        <w:rPr>
          <w:sz w:val="20"/>
          <w:szCs w:val="20"/>
          <w:color w:val="auto"/>
        </w:rPr>
      </w:pPr>
    </w:p>
    <w:p>
      <w:pPr>
        <w:spacing w:after="0" w:line="326" w:lineRule="exact"/>
        <w:rPr>
          <w:sz w:val="20"/>
          <w:szCs w:val="20"/>
          <w:color w:val="auto"/>
        </w:rPr>
      </w:pPr>
    </w:p>
    <w:p>
      <w:pPr>
        <w:ind w:left="2220" w:hanging="364"/>
        <w:spacing w:after="0"/>
        <w:tabs>
          <w:tab w:leader="none" w:pos="2220" w:val="left"/>
        </w:tabs>
        <w:numPr>
          <w:ilvl w:val="0"/>
          <w:numId w:val="2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Opinion of Counsel stating,</w:t>
      </w:r>
    </w:p>
    <w:p>
      <w:pPr>
        <w:spacing w:after="0" w:line="182" w:lineRule="exact"/>
        <w:rPr>
          <w:rFonts w:ascii="Courier New" w:cs="Courier New" w:eastAsia="Courier New" w:hAnsi="Courier New"/>
          <w:sz w:val="16"/>
          <w:szCs w:val="16"/>
          <w:color w:val="auto"/>
        </w:rPr>
      </w:pPr>
    </w:p>
    <w:p>
      <w:pPr>
        <w:ind w:left="1860" w:right="2879" w:firstLine="926"/>
        <w:spacing w:after="0" w:line="235" w:lineRule="auto"/>
        <w:tabs>
          <w:tab w:leader="none" w:pos="3162" w:val="left"/>
        </w:tabs>
        <w:numPr>
          <w:ilvl w:val="1"/>
          <w:numId w:val="2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the form or forms of such Securities and any coupons have been established in conformity with the provisions of this Indenture;</w:t>
      </w:r>
    </w:p>
    <w:p>
      <w:pPr>
        <w:spacing w:after="0" w:line="183" w:lineRule="exact"/>
        <w:rPr>
          <w:rFonts w:ascii="Courier New" w:cs="Courier New" w:eastAsia="Courier New" w:hAnsi="Courier New"/>
          <w:sz w:val="16"/>
          <w:szCs w:val="16"/>
          <w:color w:val="auto"/>
        </w:rPr>
      </w:pPr>
    </w:p>
    <w:p>
      <w:pPr>
        <w:ind w:left="1860" w:right="3159" w:firstLine="926"/>
        <w:spacing w:after="0" w:line="235" w:lineRule="auto"/>
        <w:tabs>
          <w:tab w:leader="none" w:pos="3255" w:val="left"/>
        </w:tabs>
        <w:numPr>
          <w:ilvl w:val="1"/>
          <w:numId w:val="2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the terms of such Securities and any coupons have been established in conformity with the provisions of this Indenture; and</w:t>
      </w:r>
    </w:p>
    <w:p>
      <w:pPr>
        <w:spacing w:after="0" w:line="183" w:lineRule="exact"/>
        <w:rPr>
          <w:rFonts w:ascii="Courier New" w:cs="Courier New" w:eastAsia="Courier New" w:hAnsi="Courier New"/>
          <w:sz w:val="16"/>
          <w:szCs w:val="16"/>
          <w:color w:val="auto"/>
        </w:rPr>
      </w:pPr>
    </w:p>
    <w:p>
      <w:pPr>
        <w:ind w:left="1860" w:right="2779" w:firstLine="926"/>
        <w:spacing w:after="0" w:line="273" w:lineRule="auto"/>
        <w:tabs>
          <w:tab w:leader="none" w:pos="3348" w:val="left"/>
        </w:tabs>
        <w:numPr>
          <w:ilvl w:val="1"/>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such Securities, together with any coupons appertaining thereto, when completed by appropriate insertions and executed and delivered by the Company to the Trustee for authentication in accordance with this Indenture, authenticated and delivered by the Trustee in accordance with this Indenture and issued by the Company in the manner and subject to any conditions specified in such Opinion of Counsel, will constitute legal, valid and binding obligations of the Company, enforceable in accordance with their terms, subject to applicable bankruptcy, insolvency, reorganization and other similar laws of general applicability relating to or affecting the enforcement of creditors' rights, to general equitable principles and to</w:t>
      </w:r>
    </w:p>
    <w:p>
      <w:pPr>
        <w:spacing w:after="0" w:line="200" w:lineRule="exact"/>
        <w:rPr>
          <w:sz w:val="20"/>
          <w:szCs w:val="20"/>
          <w:color w:val="auto"/>
        </w:rPr>
      </w:pPr>
    </w:p>
    <w:p>
      <w:pPr>
        <w:spacing w:after="0" w:line="31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655" w:right="1440" w:bottom="1440" w:gutter="0" w:footer="0" w:header="0"/>
        </w:sectPr>
      </w:pPr>
    </w:p>
    <w:bookmarkStart w:id="205" w:name="page206"/>
    <w:bookmarkEnd w:id="205"/>
    <w:p>
      <w:pPr>
        <w:ind w:left="934" w:right="2879"/>
        <w:spacing w:after="0" w:line="235" w:lineRule="auto"/>
        <w:rPr>
          <w:sz w:val="20"/>
          <w:szCs w:val="20"/>
          <w:color w:val="auto"/>
        </w:rPr>
      </w:pPr>
      <w:r>
        <w:rPr>
          <w:rFonts w:ascii="Courier New" w:cs="Courier New" w:eastAsia="Courier New" w:hAnsi="Courier New"/>
          <w:sz w:val="16"/>
          <w:szCs w:val="16"/>
          <w:color w:val="auto"/>
        </w:rPr>
        <w:t>such other qualifications as such counsel shall conclude do not materially affect the rights of Holders of such Securities and any coupons;</w:t>
      </w:r>
    </w:p>
    <w:p>
      <w:pPr>
        <w:spacing w:after="0" w:line="183" w:lineRule="exact"/>
        <w:rPr>
          <w:sz w:val="20"/>
          <w:szCs w:val="20"/>
          <w:color w:val="auto"/>
        </w:rPr>
      </w:pPr>
    </w:p>
    <w:p>
      <w:pPr>
        <w:ind w:left="-6" w:right="2779" w:firstLine="936"/>
        <w:spacing w:after="0" w:line="235" w:lineRule="auto"/>
        <w:tabs>
          <w:tab w:leader="none" w:pos="1297" w:val="left"/>
        </w:tabs>
        <w:numPr>
          <w:ilvl w:val="1"/>
          <w:numId w:val="2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Officers' Certificate stating, to the best of the knowledge of the signers of such certificate, that no Event of Default with respect to any of the Securities shall have occurred and be continuing; and</w:t>
      </w:r>
    </w:p>
    <w:p>
      <w:pPr>
        <w:spacing w:after="0" w:line="178" w:lineRule="exact"/>
        <w:rPr>
          <w:rFonts w:ascii="Courier New" w:cs="Courier New" w:eastAsia="Courier New" w:hAnsi="Courier New"/>
          <w:sz w:val="16"/>
          <w:szCs w:val="16"/>
          <w:color w:val="auto"/>
        </w:rPr>
      </w:pPr>
    </w:p>
    <w:p>
      <w:pPr>
        <w:ind w:left="1294" w:hanging="364"/>
        <w:spacing w:after="0"/>
        <w:tabs>
          <w:tab w:leader="none" w:pos="1294" w:val="left"/>
        </w:tabs>
        <w:numPr>
          <w:ilvl w:val="1"/>
          <w:numId w:val="2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executed supplemental indenture (if any).</w:t>
      </w:r>
    </w:p>
    <w:p>
      <w:pPr>
        <w:spacing w:after="0" w:line="182" w:lineRule="exact"/>
        <w:rPr>
          <w:rFonts w:ascii="Courier New" w:cs="Courier New" w:eastAsia="Courier New" w:hAnsi="Courier New"/>
          <w:sz w:val="16"/>
          <w:szCs w:val="16"/>
          <w:color w:val="auto"/>
        </w:rPr>
      </w:pPr>
    </w:p>
    <w:p>
      <w:pPr>
        <w:ind w:left="-926" w:right="2779" w:firstLine="926"/>
        <w:spacing w:after="0" w:line="236" w:lineRule="auto"/>
        <w:tabs>
          <w:tab w:leader="none" w:pos="377" w:val="left"/>
        </w:tabs>
        <w:numPr>
          <w:ilvl w:val="0"/>
          <w:numId w:val="2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provisions of Section 301 and of this Section 303, if all the Securities of any series are not to be issued at one time, it shall not be necessary to deliver an Officers' Certificate otherwise required pursuant to Section 301 or the Company Order, Opinion of Counsel or Officers' Certificate otherwise required pursuant to Subsection (c) of this Section at the time of issuance of each Security of such series, but such order, opinion and certificates, with appropriate modifications to cover such future issuances, shall be delivered at or before the time of issuance of the first Security of such series.</w:t>
      </w:r>
    </w:p>
    <w:p>
      <w:pPr>
        <w:spacing w:after="0" w:line="184" w:lineRule="exact"/>
        <w:rPr>
          <w:rFonts w:ascii="Courier New" w:cs="Courier New" w:eastAsia="Courier New" w:hAnsi="Courier New"/>
          <w:sz w:val="16"/>
          <w:szCs w:val="16"/>
          <w:color w:val="auto"/>
        </w:rPr>
      </w:pPr>
    </w:p>
    <w:p>
      <w:pPr>
        <w:ind w:left="-926" w:right="2879" w:firstLine="926"/>
        <w:spacing w:after="0" w:line="236" w:lineRule="auto"/>
        <w:tabs>
          <w:tab w:leader="none" w:pos="377" w:val="left"/>
        </w:tabs>
        <w:numPr>
          <w:ilvl w:val="0"/>
          <w:numId w:val="2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not be required to authenticate such Securities if the issue of such Securities pursuant to this Indenture will affect the Trustee's own rights, duties or immunities under the Securities and this Indenture or otherwise in a manner which is not reasonably acceptable to the Trustee. Notwithstanding the generality of the foregoing, the Trustee will not be required to authenticate Securities denominated in a Foreign Currency if the Trustee reasonably believes that it would be unable to perform its duties with respect to such Securities.</w:t>
      </w:r>
    </w:p>
    <w:p>
      <w:pPr>
        <w:spacing w:after="0" w:line="184" w:lineRule="exact"/>
        <w:rPr>
          <w:rFonts w:ascii="Courier New" w:cs="Courier New" w:eastAsia="Courier New" w:hAnsi="Courier New"/>
          <w:sz w:val="16"/>
          <w:szCs w:val="16"/>
          <w:color w:val="auto"/>
        </w:rPr>
      </w:pPr>
    </w:p>
    <w:p>
      <w:pPr>
        <w:ind w:left="-926" w:right="2879" w:firstLine="926"/>
        <w:spacing w:after="0" w:line="235" w:lineRule="auto"/>
        <w:tabs>
          <w:tab w:leader="none" w:pos="377" w:val="left"/>
        </w:tabs>
        <w:numPr>
          <w:ilvl w:val="0"/>
          <w:numId w:val="2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Registered Security shall be dated the date of its authentication and each Bearer Security shall be dated as of the date specified as contemplated by Section 301.</w:t>
      </w:r>
    </w:p>
    <w:p>
      <w:pPr>
        <w:spacing w:after="0" w:line="183" w:lineRule="exact"/>
        <w:rPr>
          <w:rFonts w:ascii="Courier New" w:cs="Courier New" w:eastAsia="Courier New" w:hAnsi="Courier New"/>
          <w:sz w:val="16"/>
          <w:szCs w:val="16"/>
          <w:color w:val="auto"/>
        </w:rPr>
      </w:pPr>
    </w:p>
    <w:p>
      <w:pPr>
        <w:ind w:left="-926" w:right="2779" w:firstLine="926"/>
        <w:spacing w:after="0" w:line="274" w:lineRule="auto"/>
        <w:tabs>
          <w:tab w:leader="none" w:pos="377"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Security or coupon shall be entitled to any benefit under this Indenture or be valid or obligatory for any purpose unless there appears on such Security or Security to which such coupon appertains a certificate of authentication substantially in the form provided for herein duly executed by the Trustee or an Authenticating Agent by manual signature of an authorized signatory, and such certificate upon any Security shall be conclusive evidence, and the only evidence, that such Security has been duly authenticated and delivered hereunder and is entitled to the benefits of this Indenture.</w:t>
      </w:r>
    </w:p>
    <w:p>
      <w:pPr>
        <w:spacing w:after="0" w:line="161" w:lineRule="exact"/>
        <w:rPr>
          <w:rFonts w:ascii="Courier New" w:cs="Courier New" w:eastAsia="Courier New" w:hAnsi="Courier New"/>
          <w:sz w:val="14"/>
          <w:szCs w:val="14"/>
          <w:color w:val="auto"/>
        </w:rPr>
      </w:pPr>
    </w:p>
    <w:p>
      <w:pPr>
        <w:ind w:left="-926" w:right="2779" w:firstLine="926"/>
        <w:spacing w:after="0" w:line="236" w:lineRule="auto"/>
        <w:tabs>
          <w:tab w:leader="none" w:pos="377" w:val="left"/>
        </w:tabs>
        <w:numPr>
          <w:ilvl w:val="0"/>
          <w:numId w:val="2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if any Security shall have been authenticated and delivered hereunder but never issued and sold by the Company, and the Company shall deliver such Security to the Trustee for cancellation as provided in Section 310 together with a written statement (which need not comply with Section 102 and need not be accompanied by an Opinion of Counsel) stating that such Security has never been issued and sold by the Company, for all purposes of this Indenture such Security shall be deemed never to have been authenticated and delivered hereunder and shall never be entitled to the benefits of this Indenture.</w:t>
      </w:r>
    </w:p>
    <w:p>
      <w:pPr>
        <w:spacing w:after="0" w:line="358" w:lineRule="exact"/>
        <w:rPr>
          <w:sz w:val="20"/>
          <w:szCs w:val="20"/>
          <w:color w:val="auto"/>
        </w:rPr>
      </w:pPr>
    </w:p>
    <w:p>
      <w:pPr>
        <w:ind w:left="2694"/>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9294"/>
          </w:cols>
          <w:pgMar w:left="1166" w:top="654" w:right="1440" w:bottom="1440" w:gutter="0" w:footer="0" w:header="0"/>
        </w:sectPr>
      </w:pPr>
    </w:p>
    <w:bookmarkStart w:id="206" w:name="page207"/>
    <w:bookmarkEnd w:id="206"/>
    <w:p>
      <w:pPr>
        <w:spacing w:after="0"/>
        <w:rPr>
          <w:sz w:val="20"/>
          <w:szCs w:val="20"/>
          <w:color w:val="auto"/>
        </w:rPr>
      </w:pPr>
      <w:r>
        <w:rPr>
          <w:rFonts w:ascii="Courier New" w:cs="Courier New" w:eastAsia="Courier New" w:hAnsi="Courier New"/>
          <w:sz w:val="16"/>
          <w:szCs w:val="16"/>
          <w:color w:val="auto"/>
        </w:rPr>
        <w:t>Section 304. Temporary Securities.</w:t>
      </w:r>
    </w:p>
    <w:p>
      <w:pPr>
        <w:ind w:left="120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460" w:right="2879" w:firstLine="926"/>
        <w:spacing w:after="0" w:line="273" w:lineRule="auto"/>
        <w:tabs>
          <w:tab w:leader="none" w:pos="842"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Pending the preparation of definitive Securities of any series,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in lieu of which they are issued, in registered form, or, if authorized, in bearer form with one or more coupons or without coupons, and with such appropriate insertions, omissions, substitutions and other variations as the officers executing such Securities may determine, as conclusively evidenced by their execution of such Securities. Such temporary Securities may be in global form.</w:t>
      </w:r>
    </w:p>
    <w:p>
      <w:pPr>
        <w:spacing w:after="0" w:line="344" w:lineRule="exact"/>
        <w:rPr>
          <w:rFonts w:ascii="Courier New" w:cs="Courier New" w:eastAsia="Courier New" w:hAnsi="Courier New"/>
          <w:sz w:val="14"/>
          <w:szCs w:val="14"/>
          <w:color w:val="auto"/>
        </w:rPr>
      </w:pPr>
    </w:p>
    <w:p>
      <w:pPr>
        <w:ind w:left="-460" w:right="2779" w:firstLine="926"/>
        <w:spacing w:after="0" w:line="272" w:lineRule="auto"/>
        <w:tabs>
          <w:tab w:leader="none" w:pos="842"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in the case of temporary Securities in global form (which shall be exchanged in accordance with Subsection 304(c) or as otherwise provided in or pursuant to a Board Resolution), 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(accompanied by any non-matured coupons appertaining thereto), the Company shall execute and the Trustee shall authenticate and deliver in exchange therefor a like principal amount of definitive Securities of the same series of authorized denominations; provided, that, no definitive Bearer Security shall be delivered in exchange for a temporary Registered Security; and provided further that a definitive Bearer Security shall be delivered in exchange for a temporary Bearer Security only in compliance with the conditions set forth in Section 303. Until so exchanged, the temporary Securities of any series shall in all respects be entitled to the same benefits under this Indenture as definitive Securities of such series.</w:t>
      </w:r>
    </w:p>
    <w:p>
      <w:pPr>
        <w:spacing w:after="0" w:line="200" w:lineRule="exact"/>
        <w:rPr>
          <w:rFonts w:ascii="Courier New" w:cs="Courier New" w:eastAsia="Courier New" w:hAnsi="Courier New"/>
          <w:sz w:val="14"/>
          <w:szCs w:val="14"/>
          <w:color w:val="auto"/>
        </w:rPr>
      </w:pPr>
    </w:p>
    <w:p>
      <w:pPr>
        <w:spacing w:after="0" w:line="321" w:lineRule="exact"/>
        <w:rPr>
          <w:rFonts w:ascii="Courier New" w:cs="Courier New" w:eastAsia="Courier New" w:hAnsi="Courier New"/>
          <w:sz w:val="14"/>
          <w:szCs w:val="14"/>
          <w:color w:val="auto"/>
        </w:rPr>
      </w:pPr>
    </w:p>
    <w:p>
      <w:pPr>
        <w:ind w:left="460" w:right="3239" w:firstLine="6"/>
        <w:spacing w:after="0" w:line="235" w:lineRule="auto"/>
        <w:tabs>
          <w:tab w:leader="none" w:pos="1390" w:val="left"/>
        </w:tabs>
        <w:numPr>
          <w:ilvl w:val="0"/>
          <w:numId w:val="2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(1) Unless otherwise provided in or pursuant to a Board Resolution, this Subsection 304(c) shall govern the exchange of temporary Securities issued in global form.</w:t>
      </w:r>
    </w:p>
    <w:p>
      <w:pPr>
        <w:spacing w:after="0" w:line="183" w:lineRule="exact"/>
        <w:rPr>
          <w:rFonts w:ascii="Courier New" w:cs="Courier New" w:eastAsia="Courier New" w:hAnsi="Courier New"/>
          <w:sz w:val="16"/>
          <w:szCs w:val="16"/>
          <w:color w:val="auto"/>
        </w:rPr>
      </w:pPr>
    </w:p>
    <w:p>
      <w:pPr>
        <w:ind w:left="460" w:right="2779" w:firstLine="936"/>
        <w:spacing w:after="0" w:line="236" w:lineRule="auto"/>
        <w:tabs>
          <w:tab w:leader="none" w:pos="1762" w:val="left"/>
        </w:tabs>
        <w:numPr>
          <w:ilvl w:val="1"/>
          <w:numId w:val="2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temporary Securities of any series are issued in global form, any such temporary global Security shall, unless otherwise provided therein, be delivered to the London office of a depositary or common depositary (the "Common Depositary"), for the benefit of Euroclear and Clearstream, for credit to the respective accounts of the beneficial owners of such Securities (or to such other accounts as they may direct).</w:t>
      </w:r>
    </w:p>
    <w:p>
      <w:pPr>
        <w:spacing w:after="0" w:line="183" w:lineRule="exact"/>
        <w:rPr>
          <w:rFonts w:ascii="Courier New" w:cs="Courier New" w:eastAsia="Courier New" w:hAnsi="Courier New"/>
          <w:sz w:val="16"/>
          <w:szCs w:val="16"/>
          <w:color w:val="auto"/>
        </w:rPr>
      </w:pPr>
    </w:p>
    <w:p>
      <w:pPr>
        <w:ind w:left="460" w:right="2879" w:firstLine="936"/>
        <w:spacing w:after="0" w:line="275" w:lineRule="auto"/>
        <w:tabs>
          <w:tab w:leader="none" w:pos="1762" w:val="left"/>
        </w:tabs>
        <w:numPr>
          <w:ilvl w:val="1"/>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unnecessary delay but in any event not later than the date specified in, or determined pursuant to the terms of, any such temporary global Security (the "Exchange Date"), the Company shall deliver to the Trustee definitive Securities, in aggregate principal amount equal to the principal amount of such temporary global Security, executed by the Company. On or after the Exchange</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9759"/>
          </w:cols>
          <w:pgMar w:left="700" w:top="648" w:right="1440" w:bottom="1440" w:gutter="0" w:footer="0" w:header="0"/>
        </w:sectPr>
      </w:pPr>
    </w:p>
    <w:bookmarkStart w:id="207" w:name="page208"/>
    <w:bookmarkEnd w:id="207"/>
    <w:p>
      <w:pPr>
        <w:ind w:right="2879"/>
        <w:spacing w:after="0" w:line="272" w:lineRule="auto"/>
        <w:rPr>
          <w:sz w:val="20"/>
          <w:szCs w:val="20"/>
          <w:color w:val="auto"/>
        </w:rPr>
      </w:pPr>
      <w:r>
        <w:rPr>
          <w:rFonts w:ascii="Courier New" w:cs="Courier New" w:eastAsia="Courier New" w:hAnsi="Courier New"/>
          <w:sz w:val="14"/>
          <w:szCs w:val="14"/>
          <w:color w:val="auto"/>
        </w:rPr>
        <w:t>Date, such temporary global Security shall be surrendered by the Common Depositary to the Trustee, as the Company's agent for such purpose, to be exchanged, in whole or from time to time in part, for definitive Securities without charge, and the Trustee shall authenticate and deliver, in exchange for each portion of such temporary global Security and upon receipt of the Company Order described in Section 303, an equal aggregate principal amount of definitive Securities of the same series of authorized denominations and of like tenor as the portion of such temporary global Security to be exchanged. The definitive Securities to be delivered in exchange for any such temporary global Security shall be in bearer form, registered form, permanent global bearer form or permanent global registered form, or any combination thereof, as specified as contemplated by Section 301, and, if any combination thereof is so specified, as requested by the beneficial owner thereof; provided, that, -------- unless otherwise specified in such temporary global</w:t>
      </w:r>
    </w:p>
    <w:p>
      <w:pPr>
        <w:spacing w:after="0" w:line="166" w:lineRule="exact"/>
        <w:rPr>
          <w:sz w:val="20"/>
          <w:szCs w:val="20"/>
          <w:color w:val="auto"/>
        </w:rPr>
      </w:pPr>
    </w:p>
    <w:p>
      <w:pPr>
        <w:ind w:right="2779"/>
        <w:spacing w:after="0" w:line="273" w:lineRule="auto"/>
        <w:rPr>
          <w:sz w:val="20"/>
          <w:szCs w:val="20"/>
          <w:color w:val="auto"/>
        </w:rPr>
      </w:pPr>
      <w:r>
        <w:rPr>
          <w:rFonts w:ascii="Courier New" w:cs="Courier New" w:eastAsia="Courier New" w:hAnsi="Courier New"/>
          <w:sz w:val="14"/>
          <w:szCs w:val="14"/>
          <w:color w:val="auto"/>
        </w:rPr>
        <w:t>Security, upon such presentation by the Common Depositary, such temporary global Security is accompanied by a certificate dated the Exchange Date or a subsequent date and signed by Euroclear as to the portion of such temporary global Security held for its account then to be exchanged and a certificate dated the Exchange Date or a subsequent date and signed by Clearstream as to the portion of such temporary global Security held for its account then to be exchanged, each in the form set forth in Exhibit A-2 to this Indenture or in such other form as may be established pursuant to Section 301; and provided further that -------- ------- definitive Bearer Securities shall be delivered</w:t>
      </w:r>
    </w:p>
    <w:p>
      <w:pPr>
        <w:spacing w:after="0" w:line="165" w:lineRule="exact"/>
        <w:rPr>
          <w:sz w:val="20"/>
          <w:szCs w:val="20"/>
          <w:color w:val="auto"/>
        </w:rPr>
      </w:pPr>
    </w:p>
    <w:p>
      <w:pPr>
        <w:ind w:right="3339"/>
        <w:spacing w:after="0" w:line="234" w:lineRule="auto"/>
        <w:rPr>
          <w:sz w:val="20"/>
          <w:szCs w:val="20"/>
          <w:color w:val="auto"/>
        </w:rPr>
      </w:pPr>
      <w:r>
        <w:rPr>
          <w:rFonts w:ascii="Courier New" w:cs="Courier New" w:eastAsia="Courier New" w:hAnsi="Courier New"/>
          <w:sz w:val="16"/>
          <w:szCs w:val="16"/>
          <w:color w:val="auto"/>
        </w:rPr>
        <w:t>in exchange for a portion of a temporary global Security only in compliance with the requirements of Section 303.</w:t>
      </w:r>
    </w:p>
    <w:p>
      <w:pPr>
        <w:spacing w:after="0" w:line="183" w:lineRule="exact"/>
        <w:rPr>
          <w:sz w:val="20"/>
          <w:szCs w:val="20"/>
          <w:color w:val="auto"/>
        </w:rPr>
      </w:pPr>
    </w:p>
    <w:p>
      <w:pPr>
        <w:ind w:right="2779" w:firstLine="936"/>
        <w:spacing w:after="0" w:line="272" w:lineRule="auto"/>
        <w:tabs>
          <w:tab w:leader="none" w:pos="1302"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specified in such temporary global Security, the interest of a beneficial owner of Securities of a series in a temporary global Security shall be exchanged for definitive Securities of the same series and of like tenor following the Exchange Date when the account holder instructs Euroclear or Clearstream, as the case may be, to request such exchange on his behalf and delivers to Euroclear or Clearstream, as the case may be, a certificate in the form set forth in Exhibit A-1 to this Indenture (or in such other form as may be established pursuant to Section 301), dated no earlier than 15 days prior to the Exchange Date, copies of which certificate shall be available from the offices of Euroclear and Clearstream, the Trustee, any Authenticating Agent appointed for such series of Securities and each Paying Agent. Unless otherwise specified in such temporary global Security, any such exchange shall be made free of charge to the beneficial owners of such temporary global Security, except that a Person receiving definitive Securities must bear the cost of insurance, postage, transportation and the like in the event that such Person does not take delivery of such definitive Securities in person at the offices of Euroclear or Clearstream. Definitive Securities in bearer form to be delivered in exchange for any portion</w:t>
      </w:r>
    </w:p>
    <w:p>
      <w:pPr>
        <w:spacing w:after="0" w:line="200" w:lineRule="exact"/>
        <w:rPr>
          <w:sz w:val="20"/>
          <w:szCs w:val="20"/>
          <w:color w:val="auto"/>
        </w:rPr>
      </w:pPr>
    </w:p>
    <w:p>
      <w:pPr>
        <w:spacing w:after="0" w:line="314"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9299"/>
          </w:cols>
          <w:pgMar w:left="1160" w:top="655" w:right="1440" w:bottom="1440" w:gutter="0" w:footer="0" w:header="0"/>
        </w:sectPr>
      </w:pPr>
    </w:p>
    <w:bookmarkStart w:id="208" w:name="page209"/>
    <w:bookmarkEnd w:id="208"/>
    <w:p>
      <w:pPr>
        <w:ind w:left="460" w:right="3159"/>
        <w:spacing w:after="0" w:line="234" w:lineRule="auto"/>
        <w:rPr>
          <w:sz w:val="20"/>
          <w:szCs w:val="20"/>
          <w:color w:val="auto"/>
        </w:rPr>
      </w:pPr>
      <w:r>
        <w:rPr>
          <w:rFonts w:ascii="Courier New" w:cs="Courier New" w:eastAsia="Courier New" w:hAnsi="Courier New"/>
          <w:sz w:val="16"/>
          <w:szCs w:val="16"/>
          <w:color w:val="auto"/>
        </w:rPr>
        <w:t>of a temporary global Security shall be delivered only outside the United States.</w:t>
      </w:r>
    </w:p>
    <w:p>
      <w:pPr>
        <w:spacing w:after="0" w:line="183" w:lineRule="exact"/>
        <w:rPr>
          <w:sz w:val="20"/>
          <w:szCs w:val="20"/>
          <w:color w:val="auto"/>
        </w:rPr>
      </w:pPr>
    </w:p>
    <w:p>
      <w:pPr>
        <w:ind w:left="460" w:right="2779" w:firstLine="936"/>
        <w:spacing w:after="0" w:line="271" w:lineRule="auto"/>
        <w:tabs>
          <w:tab w:leader="none" w:pos="1762"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Until exchanged in full as hereinabove provided, the temporary Securities of any series shall in all respects be entitled to the same benefits under this Indenture as definitive Securities of the same series and of like tenor authenticated and delivered hereunder, except that, unless otherwise specified as contemplated by Section 301, interest payable on a temporary global Security on an Interest Payment Date for Securities of such series occurring prior to the applicable Exchange Date shall be payable to Euroclear and Clearstream on such Interest Payment Date upon delivery by Euroclear and Clearstream to the Trustee of a certificate or certificates in the form set forth in Exhibit A-2 to this Indenture (or in such other forms as may be established pursuant to Section 301), for credit without further interest thereon on or after such Interest Payment Date to the respective accounts of the Persons who are the beneficial owners of such temporary global Security on such Interest Payment Date and who have each delivered to Euroclear or Clearstream, as the case may be, a certificate dated no earlier than 15 days prior to the Interest Payment Date occurring prior to such Exchange Date in the form set forth in Exhibit A-1 to this Indenture (or in such other forms as may be established pursuant to Section 301). Notwithstanding anything to the contrary herein contained, the certifications made pursuant to this clause (5) of Subsection 304(c) shall satisfy the certification requirements of clauses (3) and (4) of this Subsection 304(c) and of Subsection 303(c) of this Indenture and the interests of the Persons who are the beneficial owners of the temporary global Security with respect to which such certification was made will be exchanged for definitive Securities of the same series and of like tenor on the Exchange Date or the date of certification if such date occurs after the Exchange Date, without further act or deed by such beneficial owners. Except as otherwise provided in this clause (5) of Subsection 304(c), no payments of principal (or premium, if any) or interest, if any, owing with respect to a beneficial interest in a temporary global Security will be made unless and until such interest in such temporary global Security shall have been exchanged for an interest in a definitive Security. Any interest so received by Euroclear and Clearstream and not paid as herein provided shall be returned to the Trustee prior to the expiration of two years after such Interest Payment Date in order to be repaid to the Company.</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305. Registration, Registration of Transfer and Exchange.</w:t>
      </w:r>
    </w:p>
    <w:p>
      <w:pPr>
        <w:ind w:left="120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460" w:right="2779" w:firstLine="926"/>
        <w:spacing w:after="0" w:line="276" w:lineRule="auto"/>
        <w:tabs>
          <w:tab w:leader="none" w:pos="842"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cause to be kept at the Corporate Trust Office of the Trustee or in any office or agency of the Company in a Place of Payment a register for each series of Securities (the registers maintained in such office or in any such office or agency of the Company in a Place of Payment being herein sometimes referred to collectively as the "Security Register") in which,</w:t>
      </w:r>
    </w:p>
    <w:p>
      <w:pPr>
        <w:spacing w:after="0" w:line="33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9759"/>
          </w:cols>
          <w:pgMar w:left="700" w:top="655" w:right="1440" w:bottom="1440" w:gutter="0" w:footer="0" w:header="0"/>
        </w:sectPr>
      </w:pPr>
    </w:p>
    <w:bookmarkStart w:id="209" w:name="page210"/>
    <w:bookmarkEnd w:id="209"/>
    <w:p>
      <w:pPr>
        <w:ind w:right="2779"/>
        <w:spacing w:after="0" w:line="273" w:lineRule="auto"/>
        <w:rPr>
          <w:sz w:val="20"/>
          <w:szCs w:val="20"/>
          <w:color w:val="auto"/>
        </w:rPr>
      </w:pPr>
      <w:r>
        <w:rPr>
          <w:rFonts w:ascii="Courier New" w:cs="Courier New" w:eastAsia="Courier New" w:hAnsi="Courier New"/>
          <w:sz w:val="14"/>
          <w:szCs w:val="14"/>
          <w:color w:val="auto"/>
        </w:rPr>
        <w:t>subject to such reasonable regulations as it may prescribe, the Company shall provide for the registration of Registered Securities and of transfers of Registered Securities. The Security Register shall be in written form or any other form capable of being converted into written form within a reasonable time. The Trustee, at its Corporate Trust Office, is hereby initially appointed "Security Registrar" for the purpose of registering Registered Securities and transfers of Registered Securities on such Security Register as herein provided. In the event that the Trustee shall cease to be Security Registrar, it shall have the right to examine the Security Register at all reasonable times.</w:t>
      </w:r>
    </w:p>
    <w:p>
      <w:pPr>
        <w:spacing w:after="0" w:line="165" w:lineRule="exact"/>
        <w:rPr>
          <w:sz w:val="20"/>
          <w:szCs w:val="20"/>
          <w:color w:val="auto"/>
        </w:rPr>
      </w:pPr>
    </w:p>
    <w:p>
      <w:pPr>
        <w:ind w:right="2879" w:firstLine="926"/>
        <w:spacing w:after="0" w:line="274" w:lineRule="auto"/>
        <w:tabs>
          <w:tab w:leader="none" w:pos="1302"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surrender for registration of transfer of any Registered Security of any series at any office or agency in a Place of Payment for the register and transfer of Securities that series, the Company shall execute, and the Trustee shall authenticate and deliver, subject to the terms and conditions of this Article Three, in the name of the designated transferee or transferees, one or more new Registered Securities of the same series, of any authorized denominations and of a like aggregate principal amount, and tenor.</w:t>
      </w:r>
    </w:p>
    <w:p>
      <w:pPr>
        <w:spacing w:after="0" w:line="163" w:lineRule="exact"/>
        <w:rPr>
          <w:rFonts w:ascii="Courier New" w:cs="Courier New" w:eastAsia="Courier New" w:hAnsi="Courier New"/>
          <w:sz w:val="14"/>
          <w:szCs w:val="14"/>
          <w:color w:val="auto"/>
        </w:rPr>
      </w:pPr>
    </w:p>
    <w:p>
      <w:pPr>
        <w:ind w:right="2779" w:firstLine="926"/>
        <w:spacing w:after="0" w:line="273" w:lineRule="auto"/>
        <w:tabs>
          <w:tab w:leader="none" w:pos="1302"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option of the Holder, Registered Securities of any series may be exchanged for other Registered Securities of the same series, of any authorized denomination and of a like aggregate principal amount, containing identical terms and provisions, upon surrender of the Registered Securities to be exchanged at such office or agency. Whenever any Registered Securities are so surrendered for exchange, the Company shall execute, and the Trustee shall authenticate and deliver, the Registered Securities which the Holder making the exchange is entitled to receive. Unless otherwise specified with respect to any series of Securities as contemplated by Section 301, Bearer Securities may not be issued in exchange for Registered Securities.</w:t>
      </w:r>
    </w:p>
    <w:p>
      <w:pPr>
        <w:spacing w:after="0" w:line="344" w:lineRule="exact"/>
        <w:rPr>
          <w:rFonts w:ascii="Courier New" w:cs="Courier New" w:eastAsia="Courier New" w:hAnsi="Courier New"/>
          <w:sz w:val="14"/>
          <w:szCs w:val="14"/>
          <w:color w:val="auto"/>
        </w:rPr>
      </w:pPr>
    </w:p>
    <w:p>
      <w:pPr>
        <w:ind w:right="2779" w:firstLine="926"/>
        <w:spacing w:after="0" w:line="272" w:lineRule="auto"/>
        <w:tabs>
          <w:tab w:leader="none" w:pos="1302"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(but only if) expressly permitted in or pursuant to the applicable Board Resolution and (subject to Section 303) set forth in the applicable Officers' Certificate, or in any indenture supplemental hereto, delivered as contemplated by Section 301, at the option of the Holder, Bearer Securities of any series may be exchanged for Registered Securities of the same series of any authorized denomination and of a like aggregate principal amount and tenor, upon surrender of the Bearer Securities to be exchanged at any such office or agency, with all unmatured coupons and all matured coupons in default thereto appertaining. If the Holder of a Bearer Security is unable to produce any such unmatured coupon or coupons or matured coupon or coupons in default, any such permitted exchange may be effected if the Bearer Securities are accompanied by payment in funds acceptable to the Company in an amount equal to the face amount of such missing coupon or coupons, or the surrender of such missing coupon or coupons may be waived by the Company and the Trustee if there is furnished to them such security or indemnity as they may require to save each of them and any Paying Agent harmless. If thereafter the Holder of such Security shall surrender to any Paying Agent any such missing coupon in respect of which such a payment shall have been made, such Holder shall be entitled to receive the amount of such payment; provided, that, except as otherwise provided in Section 1002, interest represented by coupons shall be payable only upon presentation and surrender of those coupons at an office or agency located outside the United States. Notwithstanding the foregoing, in case a Bearer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655" w:right="1440" w:bottom="1440" w:gutter="0" w:footer="0" w:header="0"/>
        </w:sectPr>
      </w:pPr>
    </w:p>
    <w:bookmarkStart w:id="210" w:name="page211"/>
    <w:bookmarkEnd w:id="210"/>
    <w:p>
      <w:pPr>
        <w:ind w:right="2779"/>
        <w:spacing w:after="0" w:line="273" w:lineRule="auto"/>
        <w:rPr>
          <w:sz w:val="20"/>
          <w:szCs w:val="20"/>
          <w:color w:val="auto"/>
        </w:rPr>
      </w:pPr>
      <w:r>
        <w:rPr>
          <w:rFonts w:ascii="Courier New" w:cs="Courier New" w:eastAsia="Courier New" w:hAnsi="Courier New"/>
          <w:sz w:val="14"/>
          <w:szCs w:val="14"/>
          <w:color w:val="auto"/>
        </w:rPr>
        <w:t>Security of any series is surrendered at any such office or agency in a permitted exchange for a Registered Security of the same series and like tenor after the close of business at such office or agency on (i) any Regular Record Date and before the opening of business at such office or agency on the relevant Interest Payment Date, or (ii) any Special Record Date and before the opening of business at such office or agency on the related proposed date for payment of Defaulted Interest, such Bearer Security shall be surrendered without the coupon relating to such Interest Payment Date or proposed date for payment, as the case may be, and interest or Defaulted Interest, as the case may be, will not be payable on such Interest Payment Date or proposed date for payment, as the case may be, in respect of the Registered Security issued in exchange for such Bearer Security, but will be payable only to the Holder of such coupon when due in accordance with the provisions of this Indenture.</w:t>
      </w:r>
    </w:p>
    <w:p>
      <w:pPr>
        <w:spacing w:after="0" w:line="340" w:lineRule="exact"/>
        <w:rPr>
          <w:sz w:val="20"/>
          <w:szCs w:val="20"/>
          <w:color w:val="auto"/>
        </w:rPr>
      </w:pPr>
    </w:p>
    <w:p>
      <w:pPr>
        <w:jc w:val="both"/>
        <w:ind w:right="3339" w:firstLine="926"/>
        <w:spacing w:after="0" w:line="283" w:lineRule="auto"/>
        <w:tabs>
          <w:tab w:leader="none" w:pos="1302"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any Securities are so surrendered for exchange, the Company shall execute, and the Trustee shall authenticate and deliver, the Securities which the Holder making the exchange is entitled to receive.</w:t>
      </w:r>
    </w:p>
    <w:p>
      <w:pPr>
        <w:spacing w:after="0" w:line="154" w:lineRule="exact"/>
        <w:rPr>
          <w:rFonts w:ascii="Courier New" w:cs="Courier New" w:eastAsia="Courier New" w:hAnsi="Courier New"/>
          <w:sz w:val="14"/>
          <w:szCs w:val="14"/>
          <w:color w:val="auto"/>
        </w:rPr>
      </w:pPr>
    </w:p>
    <w:p>
      <w:pPr>
        <w:ind w:right="2779" w:firstLine="926"/>
        <w:spacing w:after="0" w:line="271" w:lineRule="auto"/>
        <w:tabs>
          <w:tab w:leader="none" w:pos="1302"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except as otherwise specified as contemplated by Section 301, any permanent global Security shall be exchangeable only as provided in this Subsection 305(f). If any beneficial owner of an interest in a permanent global Security is entitled to exchange such interest for Securities of such series and of like tenor and principal amount of another authorized form and denomination, as specified as contemplated by Section 301 and provided that any applicable notice provided in the permanent global Security shall have been given, then without unnecessary delay but in any event not later than the earliest date on which such interest may be so exchanged, the Company shall deliver to the Trustee definitive Securities in aggregate principal amount equal to the principal amount of such beneficial owner's interest in such permanent global Security, executed by the Company. On or after the earliest date on which such interests may be so exchanged, such permanent global Security shall be surrendered by the Common Depositary or such other depositary as shall be specified in the Company Order with respect thereto to the Trustee, as the Company's agent for such purpose, to be exchanged, in whole or from time to time in part, for definitive Securities without charge and the Trustee shall authenticate and deliver, in exchange for each portion of such permanent global Security, an equal aggregate principal amount of definitive Securities of the same series of authorized denominations and of like tenor as the portion of such permanent global Security to be exchanged which, unless the Securities of the series are not issuable both as Bearer Securities and as Registered Securities, as specified as contemplated by Section 301, shall be in the form of Bearer Securities or Registered Securities, or any combination thereof, as shall be specified by the beneficial owner thereof; provided, that, no such exchanges may occur during a period beginning at the opening of business 15 days before any selection of Securities to be redeemed and ending on the relevant Redemption Date if the Security for which exchange is requested may be among those selected for redemption; and provided further that no Bearer Security delivered in exchange for a portion of a permanent global Security shall be mailed or otherwise delivered to any location in the United States. If a Registered Security is issued in exchange for any portion of a permanent global Security after the close of business at the office or agency where such</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655" w:right="1440" w:bottom="1440" w:gutter="0" w:footer="0" w:header="0"/>
        </w:sectPr>
      </w:pPr>
    </w:p>
    <w:bookmarkStart w:id="211" w:name="page212"/>
    <w:bookmarkEnd w:id="211"/>
    <w:p>
      <w:pPr>
        <w:ind w:left="5" w:right="2779"/>
        <w:spacing w:after="0" w:line="236" w:lineRule="auto"/>
        <w:rPr>
          <w:sz w:val="20"/>
          <w:szCs w:val="20"/>
          <w:color w:val="auto"/>
        </w:rPr>
      </w:pPr>
      <w:r>
        <w:rPr>
          <w:rFonts w:ascii="Courier New" w:cs="Courier New" w:eastAsia="Courier New" w:hAnsi="Courier New"/>
          <w:sz w:val="16"/>
          <w:szCs w:val="16"/>
          <w:color w:val="auto"/>
        </w:rPr>
        <w:t>exchange occurs on (1) any Regular Record Date and before the opening of business at such office or agency on the relevant Interest Payment Date, or (2) any Special Record Date and before the opening of business at such office or agency on the related proposed date for payment of Defaulted Interest, interest or Defaulted Interest, as the case may be, will not be payable on such Interest Payment Date or proposed date for payment, as the case may be, in respect of such Registered Security, but will be payable on such Interest Payment Date or proposed date for payment, as the case may be, only to the Person to whom interest in respect of such portion of such permanent global Security is payable in accordance with the provisions of this Indenture.</w:t>
      </w:r>
    </w:p>
    <w:p>
      <w:pPr>
        <w:spacing w:after="0" w:line="186" w:lineRule="exact"/>
        <w:rPr>
          <w:sz w:val="20"/>
          <w:szCs w:val="20"/>
          <w:color w:val="auto"/>
        </w:rPr>
      </w:pPr>
    </w:p>
    <w:p>
      <w:pPr>
        <w:ind w:left="5" w:right="2779" w:firstLine="926"/>
        <w:spacing w:after="0" w:line="235" w:lineRule="auto"/>
        <w:tabs>
          <w:tab w:leader="none" w:pos="1307" w:val="left"/>
        </w:tabs>
        <w:numPr>
          <w:ilvl w:val="1"/>
          <w:numId w:val="2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Securities issued upon any registration of transfer or exchange of Securities shall be valid obligations of the Company, evidencing the same debt and entitled to the same benefits under this Indenture, as the Securities surrendered upon such registration of transfer or exchange.</w:t>
      </w:r>
    </w:p>
    <w:p>
      <w:pPr>
        <w:spacing w:after="0" w:line="184" w:lineRule="exact"/>
        <w:rPr>
          <w:rFonts w:ascii="Courier New" w:cs="Courier New" w:eastAsia="Courier New" w:hAnsi="Courier New"/>
          <w:sz w:val="16"/>
          <w:szCs w:val="16"/>
          <w:color w:val="auto"/>
        </w:rPr>
      </w:pPr>
    </w:p>
    <w:p>
      <w:pPr>
        <w:ind w:left="5" w:right="2779" w:firstLine="926"/>
        <w:spacing w:after="0" w:line="236" w:lineRule="auto"/>
        <w:tabs>
          <w:tab w:leader="none" w:pos="1307" w:val="left"/>
        </w:tabs>
        <w:numPr>
          <w:ilvl w:val="1"/>
          <w:numId w:val="2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Every Registered Security presented or surrendered for registration of transfer or for exchange shall (if so required by the Company or the Security Registrar) be duly endorsed, or be accompanied by a written instrument of transfer in form satisfactory to the Company and the Security Registrar, duly executed by the Holder thereof or his attorney duly authorized in writing.</w:t>
      </w:r>
    </w:p>
    <w:p>
      <w:pPr>
        <w:spacing w:after="0" w:line="182" w:lineRule="exact"/>
        <w:rPr>
          <w:rFonts w:ascii="Courier New" w:cs="Courier New" w:eastAsia="Courier New" w:hAnsi="Courier New"/>
          <w:sz w:val="16"/>
          <w:szCs w:val="16"/>
          <w:color w:val="auto"/>
        </w:rPr>
      </w:pPr>
    </w:p>
    <w:p>
      <w:pPr>
        <w:ind w:left="5" w:right="2879" w:firstLine="926"/>
        <w:spacing w:after="0" w:line="236" w:lineRule="auto"/>
        <w:tabs>
          <w:tab w:leader="none" w:pos="1307" w:val="left"/>
        </w:tabs>
        <w:numPr>
          <w:ilvl w:val="1"/>
          <w:numId w:val="2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service charge shall be made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Section 304, 906, 1107 or 1305 not involving any transfer.</w:t>
      </w:r>
    </w:p>
    <w:p>
      <w:pPr>
        <w:spacing w:after="0" w:line="182" w:lineRule="exact"/>
        <w:rPr>
          <w:rFonts w:ascii="Courier New" w:cs="Courier New" w:eastAsia="Courier New" w:hAnsi="Courier New"/>
          <w:sz w:val="16"/>
          <w:szCs w:val="16"/>
          <w:color w:val="auto"/>
        </w:rPr>
      </w:pPr>
    </w:p>
    <w:p>
      <w:pPr>
        <w:ind w:left="5" w:right="2779" w:firstLine="926"/>
        <w:spacing w:after="0" w:line="274" w:lineRule="auto"/>
        <w:tabs>
          <w:tab w:leader="none" w:pos="1307" w:val="left"/>
        </w:tabs>
        <w:numPr>
          <w:ilvl w:val="1"/>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not be required (1) to issue, register the transfer of or exchange any Security if such Security may be among those selected for redemption during a period beginning at the opening of business 15 days before, and ending at the close of business on (i) if such Securities are issuable only as Registered Securities, the day of the mailing of the relevant notice of redemption and (ii) if such Securities are issuable as Bearer Securities, the day of the first publication of the relevant notice of redemption or, if such Securities are also issuable as Registered Securities and there is no publication, the mailing of the relevant notice of redemption, or</w:t>
      </w:r>
    </w:p>
    <w:p>
      <w:pPr>
        <w:spacing w:after="0" w:line="161" w:lineRule="exact"/>
        <w:rPr>
          <w:rFonts w:ascii="Courier New" w:cs="Courier New" w:eastAsia="Courier New" w:hAnsi="Courier New"/>
          <w:sz w:val="14"/>
          <w:szCs w:val="14"/>
          <w:color w:val="auto"/>
        </w:rPr>
      </w:pPr>
    </w:p>
    <w:p>
      <w:pPr>
        <w:ind w:left="5" w:right="2879" w:hanging="5"/>
        <w:spacing w:after="0" w:line="273" w:lineRule="auto"/>
        <w:tabs>
          <w:tab w:leader="none" w:pos="377"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register the transfer of or exchange any Registered Security so selected for redemption in whole or in part, except, in the case of any Registered Security to be redeemed in part, the unredeemed portion thereof, or (3) to exchange any Bearer Security so selected for redemption except that such a Bearer Security may be exchanged for a Registered Security of that series and like tenor, provided that such Registered Security shall be simultaneously surrendered for redemption, or (4) to issue, register the transfer of or exchange any Security which has been surrendered for repayment at the option of the Holder, except the portion, if any, of such Security not to be so repaid.</w:t>
      </w:r>
    </w:p>
    <w:p>
      <w:pPr>
        <w:spacing w:after="0" w:line="165" w:lineRule="exact"/>
        <w:rPr>
          <w:rFonts w:ascii="Courier New" w:cs="Courier New" w:eastAsia="Courier New" w:hAnsi="Courier New"/>
          <w:sz w:val="14"/>
          <w:szCs w:val="14"/>
          <w:color w:val="auto"/>
        </w:rPr>
      </w:pPr>
    </w:p>
    <w:p>
      <w:pPr>
        <w:ind w:left="5" w:right="2879" w:firstLine="926"/>
        <w:spacing w:after="0" w:line="295" w:lineRule="auto"/>
        <w:tabs>
          <w:tab w:leader="none" w:pos="1307" w:val="left"/>
        </w:tabs>
        <w:numPr>
          <w:ilvl w:val="1"/>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Holder of a Security agrees to indemnify the Company and the Trustee against any liability that may result from the transfer, exchange or</w:t>
      </w:r>
    </w:p>
    <w:p>
      <w:pPr>
        <w:spacing w:after="0" w:line="320"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24"/>
          </w:cols>
          <w:pgMar w:left="235" w:top="654" w:right="1440" w:bottom="1440" w:gutter="0" w:footer="0" w:header="0"/>
        </w:sectPr>
      </w:pPr>
    </w:p>
    <w:bookmarkStart w:id="212" w:name="page213"/>
    <w:bookmarkEnd w:id="212"/>
    <w:p>
      <w:pPr>
        <w:jc w:val="both"/>
        <w:ind w:right="3339"/>
        <w:spacing w:after="0" w:line="295" w:lineRule="auto"/>
        <w:rPr>
          <w:sz w:val="20"/>
          <w:szCs w:val="20"/>
          <w:color w:val="auto"/>
        </w:rPr>
      </w:pPr>
      <w:r>
        <w:rPr>
          <w:rFonts w:ascii="Courier New" w:cs="Courier New" w:eastAsia="Courier New" w:hAnsi="Courier New"/>
          <w:sz w:val="14"/>
          <w:szCs w:val="14"/>
          <w:color w:val="auto"/>
        </w:rPr>
        <w:t>assignment of such Holder's Security in violation of any provision of this Indenture and/or applicable United States Federal or state securities law.</w:t>
      </w:r>
    </w:p>
    <w:p>
      <w:pPr>
        <w:spacing w:after="0" w:line="147" w:lineRule="exact"/>
        <w:rPr>
          <w:sz w:val="20"/>
          <w:szCs w:val="20"/>
          <w:color w:val="auto"/>
        </w:rPr>
      </w:pPr>
    </w:p>
    <w:p>
      <w:pPr>
        <w:ind w:right="2779" w:firstLine="926"/>
        <w:spacing w:after="0" w:line="274" w:lineRule="auto"/>
        <w:tabs>
          <w:tab w:leader="none" w:pos="1302"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Depository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33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306. Mutilated, Destroyed, Lost and Stolen Securities.</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926"/>
        <w:spacing w:after="0" w:line="274" w:lineRule="auto"/>
        <w:tabs>
          <w:tab w:leader="none" w:pos="1302"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mutilated Security or a Security with a mutilated coupon appertaining to it is surrendered to the Trustee or the Company, together with, in proper cases, such security or indemnity as may be required by the Company or the Trustee to save each of them or any agent of either of them harmless, the Company shall execute and the Trustee shall authenticate and deliver in exchange therefor a new Security of the same series and of like tenor and principal amount, and bearing a number not contemporaneously outstanding, with coupons corresponding to the coupons, if any, appertaining to the surrendered Security.</w:t>
      </w:r>
    </w:p>
    <w:p>
      <w:pPr>
        <w:spacing w:after="0" w:line="161" w:lineRule="exact"/>
        <w:rPr>
          <w:rFonts w:ascii="Courier New" w:cs="Courier New" w:eastAsia="Courier New" w:hAnsi="Courier New"/>
          <w:sz w:val="14"/>
          <w:szCs w:val="14"/>
          <w:color w:val="auto"/>
        </w:rPr>
      </w:pPr>
    </w:p>
    <w:p>
      <w:pPr>
        <w:ind w:right="2779" w:firstLine="926"/>
        <w:spacing w:after="0" w:line="236" w:lineRule="auto"/>
        <w:tabs>
          <w:tab w:leader="none" w:pos="1302" w:val="left"/>
        </w:tabs>
        <w:numPr>
          <w:ilvl w:val="0"/>
          <w:numId w:val="2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there shall be delivered to the Company and to the Trustee (1) evidence to their satisfaction of the destruction, loss or theft of any Security or coupon, and (2) such security or indemnity as may be required by them to save each of them and any agent of either of them harmless, then, in the absence of notice to the Company or the Trustee that such Security or coupon has been acquired by a bona fide purchaser, the Company shall execute and upon Company Order the Trustee shall authenticate and deliver, in lieu of any such destroyed, lost or stolen Security or in exchange for the Security to which a destroyed, lost or stolen coupon appertains (with all appurtenant coupons not destroyed, lost or stolen), a new Security of the same series and of like tenor and principal amount and bearing a number not contemporaneously outstanding, with coupons corresponding to the coupons, if any, appertaining to such destroyed, lost or stolen Security or to the Security to which such destroyed, lost or stolen coupon appertains.</w:t>
      </w:r>
    </w:p>
    <w:p>
      <w:pPr>
        <w:spacing w:after="0" w:line="188" w:lineRule="exact"/>
        <w:rPr>
          <w:rFonts w:ascii="Courier New" w:cs="Courier New" w:eastAsia="Courier New" w:hAnsi="Courier New"/>
          <w:sz w:val="16"/>
          <w:szCs w:val="16"/>
          <w:color w:val="auto"/>
        </w:rPr>
      </w:pPr>
    </w:p>
    <w:p>
      <w:pPr>
        <w:ind w:right="2779" w:firstLine="926"/>
        <w:spacing w:after="0" w:line="273" w:lineRule="auto"/>
        <w:tabs>
          <w:tab w:leader="none" w:pos="1302"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provisions of the Subsections 306(a) and (b), in case any such mutilated, destroyed, lost or stolen Security or coupon has become or is about to become due and payable, the Company in its discretion may, instead of issuing a new Security, with coupons corresponding to the coupons, if any, appertaining to such mutilated, destroyed, lost or stolen Security or to the Security to which such mutilated, destroyed, lost or stolen coupon appertains, pay such Security or coupon; provided, that, payment of principal of (and premium, if any) and interest, if any, on Bearer Securities shall, except as otherwise provided in Section 1002, be payable only at an office or agency located outside the United States and, unless otherwise specified as</w:t>
      </w:r>
    </w:p>
    <w:p>
      <w:pPr>
        <w:spacing w:after="0" w:line="33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654" w:right="1440" w:bottom="1440" w:gutter="0" w:footer="0" w:header="0"/>
        </w:sectPr>
      </w:pPr>
    </w:p>
    <w:bookmarkStart w:id="213" w:name="page214"/>
    <w:bookmarkEnd w:id="213"/>
    <w:p>
      <w:pPr>
        <w:ind w:right="2879"/>
        <w:spacing w:after="0" w:line="295" w:lineRule="auto"/>
        <w:rPr>
          <w:sz w:val="20"/>
          <w:szCs w:val="20"/>
          <w:color w:val="auto"/>
        </w:rPr>
      </w:pPr>
      <w:r>
        <w:rPr>
          <w:rFonts w:ascii="Courier New" w:cs="Courier New" w:eastAsia="Courier New" w:hAnsi="Courier New"/>
          <w:sz w:val="14"/>
          <w:szCs w:val="14"/>
          <w:color w:val="auto"/>
        </w:rPr>
        <w:t>contemplated by Section 301, any interest on Bearer Securities shall be payable only upon presentation and surrender of the coupons appertaining thereto.</w:t>
      </w:r>
    </w:p>
    <w:p>
      <w:pPr>
        <w:spacing w:after="0" w:line="147" w:lineRule="exact"/>
        <w:rPr>
          <w:sz w:val="20"/>
          <w:szCs w:val="20"/>
          <w:color w:val="auto"/>
        </w:rPr>
      </w:pPr>
    </w:p>
    <w:p>
      <w:pPr>
        <w:ind w:right="2959" w:firstLine="926"/>
        <w:spacing w:after="0" w:line="279" w:lineRule="auto"/>
        <w:tabs>
          <w:tab w:leader="none" w:pos="1302"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56" w:lineRule="exact"/>
        <w:rPr>
          <w:rFonts w:ascii="Courier New" w:cs="Courier New" w:eastAsia="Courier New" w:hAnsi="Courier New"/>
          <w:sz w:val="14"/>
          <w:szCs w:val="14"/>
          <w:color w:val="auto"/>
        </w:rPr>
      </w:pPr>
    </w:p>
    <w:p>
      <w:pPr>
        <w:ind w:right="2779" w:firstLine="926"/>
        <w:spacing w:after="0" w:line="236" w:lineRule="auto"/>
        <w:tabs>
          <w:tab w:leader="none" w:pos="1302" w:val="left"/>
        </w:tabs>
        <w:numPr>
          <w:ilvl w:val="0"/>
          <w:numId w:val="2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Every new Security of any series, together with its coupons, if any, issued pursuant to this Section in lieu of any mutilated, destroyed, lost or stolen Security, or in exchange for a Security to which a mutilated, destroyed, lost or stolen coupon appertains, shall constitute an original additional contractual obligation of the Company, whether or not the mutilated, destroyed, lost or stolen Security and its coupons, if any, or the mutilated, destroyed, lost or stolen coupon shall be at any time enforceable by anyone, and shall be entitled to all the benefits of this Indenture equally and proportionately with any and all other Securities of that series and their coupons, if any, duly issued hereunder.</w:t>
      </w:r>
    </w:p>
    <w:p>
      <w:pPr>
        <w:spacing w:after="0" w:line="185" w:lineRule="exact"/>
        <w:rPr>
          <w:rFonts w:ascii="Courier New" w:cs="Courier New" w:eastAsia="Courier New" w:hAnsi="Courier New"/>
          <w:sz w:val="16"/>
          <w:szCs w:val="16"/>
          <w:color w:val="auto"/>
        </w:rPr>
      </w:pPr>
    </w:p>
    <w:p>
      <w:pPr>
        <w:ind w:right="3059" w:firstLine="926"/>
        <w:spacing w:after="0" w:line="235" w:lineRule="auto"/>
        <w:tabs>
          <w:tab w:leader="none" w:pos="1302" w:val="left"/>
        </w:tabs>
        <w:numPr>
          <w:ilvl w:val="0"/>
          <w:numId w:val="2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provisions of this Section are exclusive and shall preclude (to the extent lawful) all other rights and remedies with respect to the replacement or payment of mutilated, destroyed, lost or stolen Securities or coupons.</w:t>
      </w:r>
    </w:p>
    <w:p>
      <w:pPr>
        <w:spacing w:after="0" w:line="17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307. Payment of Interest; Interest Rights Preserved; Optional</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ind w:left="1660"/>
        <w:spacing w:after="0" w:line="237" w:lineRule="auto"/>
        <w:rPr>
          <w:sz w:val="20"/>
          <w:szCs w:val="20"/>
          <w:color w:val="auto"/>
        </w:rPr>
      </w:pPr>
      <w:r>
        <w:rPr>
          <w:rFonts w:ascii="Courier New" w:cs="Courier New" w:eastAsia="Courier New" w:hAnsi="Courier New"/>
          <w:sz w:val="16"/>
          <w:szCs w:val="16"/>
          <w:color w:val="auto"/>
        </w:rPr>
        <w:t>Interest Reset.</w:t>
      </w:r>
    </w:p>
    <w:p>
      <w:pPr>
        <w:ind w:left="1660"/>
        <w:spacing w:after="0" w:line="237"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926"/>
        <w:spacing w:after="0" w:line="236" w:lineRule="auto"/>
        <w:tabs>
          <w:tab w:leader="none" w:pos="1302" w:val="left"/>
        </w:tabs>
        <w:numPr>
          <w:ilvl w:val="0"/>
          <w:numId w:val="2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specified with respect to a series of Securities in accordance with the provisions of Section 301, interest, if any, on any Registered Security that is payable, and is punctually paid or duly provided for, on any Interest Payment Date shall be paid to the Person in whose name that Security (or one or more Predecessor Securities) is registered at the close of business on the Regular Record Date for such interest at the office or agency of the Company maintained for such purpose pursuant to Section 1002; provided, that, each installment of interest, if any, on any Registered Security may at the Company's option be paid by (1) mailing a check for such interest, payable to or upon the written order of the Person entitled thereto pursuant to Section 309, to the address of such Person as it appears on the Security Register or (2) transfer to an account located in the United States maintained by the payee.</w:t>
      </w:r>
    </w:p>
    <w:p>
      <w:pPr>
        <w:spacing w:after="0" w:line="187" w:lineRule="exact"/>
        <w:rPr>
          <w:rFonts w:ascii="Courier New" w:cs="Courier New" w:eastAsia="Courier New" w:hAnsi="Courier New"/>
          <w:sz w:val="16"/>
          <w:szCs w:val="16"/>
          <w:color w:val="auto"/>
        </w:rPr>
      </w:pPr>
    </w:p>
    <w:p>
      <w:pPr>
        <w:ind w:right="3159" w:firstLine="926"/>
        <w:spacing w:after="0" w:line="235" w:lineRule="auto"/>
        <w:tabs>
          <w:tab w:leader="none" w:pos="1302" w:val="left"/>
        </w:tabs>
        <w:numPr>
          <w:ilvl w:val="0"/>
          <w:numId w:val="2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otherwise provided as contemplated by Section 301 with respect to the Securities of any series, payment of interest, if any, may be made, in the case of a Bearer Security, by transfer to an account located outside the United States maintained by the payee.</w:t>
      </w:r>
    </w:p>
    <w:p>
      <w:pPr>
        <w:spacing w:after="0" w:line="184" w:lineRule="exact"/>
        <w:rPr>
          <w:rFonts w:ascii="Courier New" w:cs="Courier New" w:eastAsia="Courier New" w:hAnsi="Courier New"/>
          <w:sz w:val="16"/>
          <w:szCs w:val="16"/>
          <w:color w:val="auto"/>
        </w:rPr>
      </w:pPr>
    </w:p>
    <w:p>
      <w:pPr>
        <w:ind w:right="2959" w:firstLine="926"/>
        <w:spacing w:after="0" w:line="276" w:lineRule="auto"/>
        <w:tabs>
          <w:tab w:leader="none" w:pos="1302"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provided as contemplated by Section 301, every permanent global Security will provide that interest, if any, payable on any Interest Payment Date will be paid to each of Euroclear and Clearstream with respect to that portion of such permanent global Security held for its account by the Common Depositary, for the purpose of permitting each of Euroclear and</w:t>
      </w:r>
    </w:p>
    <w:p>
      <w:pPr>
        <w:spacing w:after="0" w:line="33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654" w:right="1440" w:bottom="1440" w:gutter="0" w:footer="0" w:header="0"/>
        </w:sectPr>
      </w:pPr>
    </w:p>
    <w:bookmarkStart w:id="214" w:name="page215"/>
    <w:bookmarkEnd w:id="214"/>
    <w:p>
      <w:pPr>
        <w:ind w:right="3059"/>
        <w:spacing w:after="0" w:line="295" w:lineRule="auto"/>
        <w:rPr>
          <w:sz w:val="20"/>
          <w:szCs w:val="20"/>
          <w:color w:val="auto"/>
        </w:rPr>
      </w:pPr>
      <w:r>
        <w:rPr>
          <w:rFonts w:ascii="Courier New" w:cs="Courier New" w:eastAsia="Courier New" w:hAnsi="Courier New"/>
          <w:sz w:val="14"/>
          <w:szCs w:val="14"/>
          <w:color w:val="auto"/>
        </w:rPr>
        <w:t>Clearstream to credit the interest, if any, received by it in respect of such permanent global Security to the accounts of the beneficial owners thereof.</w:t>
      </w:r>
    </w:p>
    <w:p>
      <w:pPr>
        <w:spacing w:after="0" w:line="147" w:lineRule="exact"/>
        <w:rPr>
          <w:sz w:val="20"/>
          <w:szCs w:val="20"/>
          <w:color w:val="auto"/>
        </w:rPr>
      </w:pPr>
    </w:p>
    <w:p>
      <w:pPr>
        <w:ind w:right="2779" w:firstLine="926"/>
        <w:spacing w:after="0" w:line="236" w:lineRule="auto"/>
        <w:tabs>
          <w:tab w:leader="none" w:pos="1302" w:val="left"/>
        </w:tabs>
        <w:numPr>
          <w:ilvl w:val="0"/>
          <w:numId w:val="2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a Bearer Security of any series is surrendered in exchange for a Registered Security of such series after the close of business (at an office or agency in a Place of Payment for such series) on any Regular Record Date and before the opening of business (at such office or agency) on the next succeeding Interest Payment Date, such Bearer Security shall be surrendered without the coupon relating to such Interest Payment Date and interest will not be payable on such Interest Payment Date in respect of the Registered Security issued in exchange for such Bearer Security, but will be payable only to the Holder of such coupon when due in accordance with the provisions of this Indenture.</w:t>
      </w:r>
    </w:p>
    <w:p>
      <w:pPr>
        <w:spacing w:after="0" w:line="185" w:lineRule="exact"/>
        <w:rPr>
          <w:rFonts w:ascii="Courier New" w:cs="Courier New" w:eastAsia="Courier New" w:hAnsi="Courier New"/>
          <w:sz w:val="16"/>
          <w:szCs w:val="16"/>
          <w:color w:val="auto"/>
        </w:rPr>
      </w:pPr>
    </w:p>
    <w:p>
      <w:pPr>
        <w:ind w:right="2779" w:firstLine="926"/>
        <w:spacing w:after="0" w:line="236" w:lineRule="auto"/>
        <w:tabs>
          <w:tab w:leader="none" w:pos="1302" w:val="left"/>
        </w:tabs>
        <w:numPr>
          <w:ilvl w:val="0"/>
          <w:numId w:val="2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specified with respect to a series of Securities in accordance with the provisions of Section 301, any interest on any Registered Security of any series that is payable, but is not punctually paid or duly provided for, on any Interest Payment Date (herein called "Defaulted Interest") shall forthwith cease to be payable to the registered Holder thereof on the relevant Regular Record Date by virtue of having been such Holder, and such Defaulted Interest may be paid by the Company, at its election in each case, as provided in clause (1) or (2) of this Subsection:</w:t>
      </w:r>
    </w:p>
    <w:p>
      <w:pPr>
        <w:spacing w:after="0" w:line="184" w:lineRule="exact"/>
        <w:rPr>
          <w:rFonts w:ascii="Courier New" w:cs="Courier New" w:eastAsia="Courier New" w:hAnsi="Courier New"/>
          <w:sz w:val="16"/>
          <w:szCs w:val="16"/>
          <w:color w:val="auto"/>
        </w:rPr>
      </w:pPr>
    </w:p>
    <w:p>
      <w:pPr>
        <w:ind w:left="920" w:right="2779" w:firstLine="936"/>
        <w:spacing w:after="0" w:line="271" w:lineRule="auto"/>
        <w:tabs>
          <w:tab w:leader="none" w:pos="2222" w:val="left"/>
        </w:tabs>
        <w:numPr>
          <w:ilvl w:val="1"/>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elect to make payment of any Defaulted Interest to the Persons in whose names the Registered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Registered Security of such series and the date of the proposed payment (which shall not be less than 20 days after such notice is received by the Trustee), and at the same time the Company shall deposit with the Trustee an amount of money in the Currency in which the Securities of such series are payable (except as otherwise specified pursuant to Section 301 for the Securities of such series and except, if applicable, as provided in Subsections 312(b), 312(d) and 312(e)) equal to the aggregate amount proposed to be paid in respect of such Defaulted Interest or shall make arrangements satisfactory to the Trustee for such deposit on or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given in the manner provided in Section 106, not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655" w:right="1440" w:bottom="1440" w:gutter="0" w:footer="0" w:header="0"/>
        </w:sectPr>
      </w:pPr>
    </w:p>
    <w:bookmarkStart w:id="215" w:name="page216"/>
    <w:bookmarkEnd w:id="215"/>
    <w:p>
      <w:pPr>
        <w:ind w:right="2779"/>
        <w:spacing w:after="0" w:line="272" w:lineRule="auto"/>
        <w:rPr>
          <w:sz w:val="20"/>
          <w:szCs w:val="20"/>
          <w:color w:val="auto"/>
        </w:rPr>
      </w:pPr>
      <w:r>
        <w:rPr>
          <w:rFonts w:ascii="Courier New" w:cs="Courier New" w:eastAsia="Courier New" w:hAnsi="Courier New"/>
          <w:sz w:val="14"/>
          <w:szCs w:val="14"/>
          <w:color w:val="auto"/>
        </w:rPr>
        <w:t>less than 10 days prior to such Special Record Date. Notice of the proposed payment of such Defaulted Interest and the Special Record Date therefor having been so given, such Defaulted Interest shall be paid to the Persons in whose names the Registered Securities of such series (or their respective Predecessor Securities) are registered at the close of business on such Special Record Date and shall no longer be payable pursuant to the following clause (2) of this Subsection. In case a Bearer Security of any series is surrendered at the office or agency in a Place of Payment for such series in exchange for a Registered Security of such series after the close of business at such office or agency on any Special Record Date and before the opening of business at such office or agency on the related proposed date for payment of Defaulted Interest, such Bearer Security shall be surrendered without the coupon relating to such proposed date of payment and Defaulted Interest will not be payable on such proposed date of payment in respect of the Registered Security issued in exchange for such Bearer Security, but will be payable only to the Holder of such coupon when due in accordance with the provisions of this Indenture.</w:t>
      </w:r>
    </w:p>
    <w:p>
      <w:pPr>
        <w:spacing w:after="0" w:line="200" w:lineRule="exact"/>
        <w:rPr>
          <w:sz w:val="20"/>
          <w:szCs w:val="20"/>
          <w:color w:val="auto"/>
        </w:rPr>
      </w:pPr>
    </w:p>
    <w:p>
      <w:pPr>
        <w:spacing w:after="0" w:line="322" w:lineRule="exact"/>
        <w:rPr>
          <w:sz w:val="20"/>
          <w:szCs w:val="20"/>
          <w:color w:val="auto"/>
        </w:rPr>
      </w:pPr>
    </w:p>
    <w:p>
      <w:pPr>
        <w:ind w:right="2879" w:firstLine="936"/>
        <w:spacing w:after="0" w:line="274" w:lineRule="auto"/>
        <w:tabs>
          <w:tab w:leader="none" w:pos="1302" w:val="left"/>
        </w:tabs>
        <w:numPr>
          <w:ilvl w:val="1"/>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make payment of any Defaulted Interest on the Registered Securities of any series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63" w:lineRule="exact"/>
        <w:rPr>
          <w:rFonts w:ascii="Courier New" w:cs="Courier New" w:eastAsia="Courier New" w:hAnsi="Courier New"/>
          <w:sz w:val="14"/>
          <w:szCs w:val="14"/>
          <w:color w:val="auto"/>
        </w:rPr>
      </w:pPr>
    </w:p>
    <w:p>
      <w:pPr>
        <w:ind w:left="-920" w:right="2779" w:firstLine="926"/>
        <w:spacing w:after="0" w:line="236" w:lineRule="auto"/>
        <w:tabs>
          <w:tab w:leader="none" w:pos="382" w:val="left"/>
        </w:tabs>
        <w:numPr>
          <w:ilvl w:val="0"/>
          <w:numId w:val="2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provisions of this Subsection 307(f) may be made applicable to any series of Securities pursuant to Section 301 (with such modifications, additions or substitutions as may be specified pursuant to such Section 301). The interest rate (or the spread or spread multiplier used to calculate such interest rate, if applicable) on any Security of such series may be reset by the Company on the date or dates specified on the face of such Security (each an "Optional Reset Date"). The Company may exercise such option with respect to such Security by notifying the Trustee of such exercise at least 45 but not more than 60 days prior to an Optional Reset Date for such Security. Not later than 40 days prior to each Optional Reset Date, the Trustee shall transmit, in the manner provided for in Section 106, to the Holder of any such Security a notice (the "Reset Notice") indicating whether the Company has elected to reset the interest rate (or the spread or spread multiplier used to calculate such interest rate, if applicable), and if so (1) such new interest rate (or such new spread or spread multiplier, if applicable) and (2) the provisions, if any, for redemption during the period from such Optional Reset Date to the next Optional Reset Date or if there is no such next Optional Reset Date, to the Stated Maturity of such Security (each such period a "Subsequent Interest Period"), including the date or dates on which or the period or periods during which and the price or prices at which such redemption may occur during the Subsequent Interest Period.</w:t>
      </w:r>
    </w:p>
    <w:p>
      <w:pPr>
        <w:spacing w:after="0" w:line="366"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9299"/>
          </w:cols>
          <w:pgMar w:left="1160" w:top="655" w:right="1440" w:bottom="1440" w:gutter="0" w:footer="0" w:header="0"/>
        </w:sectPr>
      </w:pPr>
    </w:p>
    <w:bookmarkStart w:id="216" w:name="page217"/>
    <w:bookmarkEnd w:id="216"/>
    <w:p>
      <w:pPr>
        <w:ind w:left="-460" w:right="2779" w:firstLine="926"/>
        <w:spacing w:after="0" w:line="236" w:lineRule="auto"/>
        <w:tabs>
          <w:tab w:leader="none" w:pos="842" w:val="left"/>
        </w:tabs>
        <w:numPr>
          <w:ilvl w:val="0"/>
          <w:numId w:val="2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not later than 20 days prior to the Optional Reset Date, the Company may, at its option, revoke the interest rate (or the spread or spread multiplier used to calculate such interest rate, if applicable) provided for in the Reset Notice and establish a higher interest rate (or a spread or spread multiplier providing for a higher interest rate, if applicable) for the Subsequent Interest Period by causing the Trustee to transmit, in the manner provided for in Section 106, notice of such higher interest rate (or such spread or spread multiplier providing for a higher interest rate, if applicable) to the Holder of such Security. Such notice shall be irrevocable. All Securities with respect to which the interest rate (or the spread or spread multiplier used to calculate such interest rate, if applicable) is reset on an Optional Reset Date, and with respect to which the Holders of such Securities have not tendered such Securities for repayment (or have validly revoked any such tender) pursuant to Subsection 307(h), will bear such higher interest rate (or such spread or spread multiplier providing for a higher interest rate, if applicable).</w:t>
      </w:r>
    </w:p>
    <w:p>
      <w:pPr>
        <w:spacing w:after="0" w:line="189" w:lineRule="exact"/>
        <w:rPr>
          <w:rFonts w:ascii="Courier New" w:cs="Courier New" w:eastAsia="Courier New" w:hAnsi="Courier New"/>
          <w:sz w:val="16"/>
          <w:szCs w:val="16"/>
          <w:color w:val="auto"/>
        </w:rPr>
      </w:pPr>
    </w:p>
    <w:p>
      <w:pPr>
        <w:ind w:left="-460" w:right="2779" w:firstLine="926"/>
        <w:spacing w:after="0" w:line="273" w:lineRule="auto"/>
        <w:tabs>
          <w:tab w:leader="none" w:pos="842" w:val="left"/>
        </w:tabs>
        <w:numPr>
          <w:ilvl w:val="0"/>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 of any such Security may have the option to elect repayment by the Company of the principal of such Security on each Optional Reset Date at a price equal to the principal amount thereof plus interest accrued to such Optional Reset Date. In order to obtain repayment on an Optional Reset Date, the Holder must follow the procedures set forth in Article Thirteen for repayment at the option of Holders except that the period for delivery or notification to the Trustee shall be at least 25 but not more than 35 days prior to such Optional Reset Date and except that, if the Holder has tendered any Security for repayment pursuant to the Reset Notice, the Holder may, by written notice to the Trustee, revoke such tender or repayment until the close of business on the tenth day before such Optional Reset Date.</w:t>
      </w:r>
    </w:p>
    <w:p>
      <w:pPr>
        <w:spacing w:after="0" w:line="342" w:lineRule="exact"/>
        <w:rPr>
          <w:rFonts w:ascii="Courier New" w:cs="Courier New" w:eastAsia="Courier New" w:hAnsi="Courier New"/>
          <w:sz w:val="14"/>
          <w:szCs w:val="14"/>
          <w:color w:val="auto"/>
        </w:rPr>
      </w:pPr>
    </w:p>
    <w:p>
      <w:pPr>
        <w:ind w:left="-460" w:right="2779" w:firstLine="926"/>
        <w:spacing w:after="0" w:line="235" w:lineRule="auto"/>
        <w:tabs>
          <w:tab w:leader="none" w:pos="842" w:val="left"/>
        </w:tabs>
        <w:numPr>
          <w:ilvl w:val="0"/>
          <w:numId w:val="2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foregoing provisions of this Section and Section 305, each Security delivered under this Indenture upon registration of transfer of or in exchange for or in lieu of any other Security shall carry the rights to interest accrued and unpaid, and to accrue, which were carried by such other Security.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308. Optional Extension of Maturity.</w:t>
      </w:r>
    </w:p>
    <w:p>
      <w:pPr>
        <w:ind w:left="120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460" w:right="2779" w:firstLine="926"/>
        <w:spacing w:after="0" w:line="272" w:lineRule="auto"/>
        <w:tabs>
          <w:tab w:leader="none" w:pos="842" w:val="left"/>
        </w:tabs>
        <w:numPr>
          <w:ilvl w:val="0"/>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provisions of this Section 308 may be made applicable to any series of Securities pursuant to Section 301 (with such modifications, additions or substitutions as may be specified pursuant to such Section 301). The Stated Maturity of any Security of such series may be extended at the option of the Company for the period or periods specified on the face of such Security (each an "Extension Period") up to but not beyond the date (the "Final Maturity") set forth on the face of such Security. The Company may exercise such option with respect to any Security by notifying the Trustee of such exercise at least 45 but not more than 60 days prior to the Stated Maturity of such Security in effect prior to the exercise of such option (the "Original Stated Maturity"). If the Company exercises such option, the Trustee shall transmit, in the manner provided for in Section 106, to the Holder of such Security not later than 40 days prior to the Original Stated Maturity a notice (the "Extension Notice") indicating (i) the election of the Company to extend the Stated Maturity, (ii) the new Stated Maturity, (iii) the interest rate (or spread, spread multiplier or other formula used to calculate such interest rate, if applicable), if any,</w:t>
      </w:r>
    </w:p>
    <w:p>
      <w:pPr>
        <w:spacing w:after="0" w:line="200" w:lineRule="exact"/>
        <w:rPr>
          <w:sz w:val="20"/>
          <w:szCs w:val="20"/>
          <w:color w:val="auto"/>
        </w:rPr>
      </w:pPr>
    </w:p>
    <w:p>
      <w:pPr>
        <w:spacing w:after="0" w:line="31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9759"/>
          </w:cols>
          <w:pgMar w:left="700" w:top="655" w:right="1440" w:bottom="1440" w:gutter="0" w:footer="0" w:header="0"/>
        </w:sectPr>
      </w:pPr>
    </w:p>
    <w:bookmarkStart w:id="217" w:name="page218"/>
    <w:bookmarkEnd w:id="217"/>
    <w:p>
      <w:pPr>
        <w:ind w:left="5" w:right="2959"/>
        <w:spacing w:after="0" w:line="236" w:lineRule="auto"/>
        <w:rPr>
          <w:sz w:val="20"/>
          <w:szCs w:val="20"/>
          <w:color w:val="auto"/>
        </w:rPr>
      </w:pPr>
      <w:r>
        <w:rPr>
          <w:rFonts w:ascii="Courier New" w:cs="Courier New" w:eastAsia="Courier New" w:hAnsi="Courier New"/>
          <w:sz w:val="16"/>
          <w:szCs w:val="16"/>
          <w:color w:val="auto"/>
        </w:rPr>
        <w:t>applicable to the Extension Period and (iv) the provisions, if any, for redemption during such Extension Period. Upon the Trustee's transmittal of the Extension Notice, the Stated Maturity of such Security shall be extended automatically and, except as modified by the Extension Notice and as described in Subsection (b) of this Section, such Security will have the same terms as prior to the transmittal of such Extension Notice.</w:t>
      </w:r>
    </w:p>
    <w:p>
      <w:pPr>
        <w:spacing w:after="0" w:line="183" w:lineRule="exact"/>
        <w:rPr>
          <w:sz w:val="20"/>
          <w:szCs w:val="20"/>
          <w:color w:val="auto"/>
        </w:rPr>
      </w:pPr>
    </w:p>
    <w:p>
      <w:pPr>
        <w:ind w:left="5" w:right="2779" w:firstLine="926"/>
        <w:spacing w:after="0" w:line="236" w:lineRule="auto"/>
        <w:tabs>
          <w:tab w:leader="none" w:pos="1307" w:val="left"/>
        </w:tabs>
        <w:numPr>
          <w:ilvl w:val="0"/>
          <w:numId w:val="2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not later than 20 days before the Original Stated Maturity of such Security, the Company may, at its option, revoke the interest rate (or spread, spread multiplier or other formula used to calculate such interest rate, if applicable) provided for in the Extension Notice and establish a higher interest rate (or spread, spread multiplier or other formula used to calculate such higher interest rate, if applicable) for the Extension Period by causing the Trustee to transmit, in the manner provided for in Section 106, notice of such higher interest rate (or spread, spread multiplier or other formula used to calculate such interest rate, if applicable) to the Holder of such Security. Such notice shall be irrevocable. All Securities with respect to which the Stated Maturity is extended will bear such higher interest rate.</w:t>
      </w:r>
    </w:p>
    <w:p>
      <w:pPr>
        <w:spacing w:after="0" w:line="186" w:lineRule="exact"/>
        <w:rPr>
          <w:rFonts w:ascii="Courier New" w:cs="Courier New" w:eastAsia="Courier New" w:hAnsi="Courier New"/>
          <w:sz w:val="16"/>
          <w:szCs w:val="16"/>
          <w:color w:val="auto"/>
        </w:rPr>
      </w:pPr>
    </w:p>
    <w:p>
      <w:pPr>
        <w:ind w:left="5" w:right="2779" w:firstLine="926"/>
        <w:spacing w:after="0" w:line="273" w:lineRule="auto"/>
        <w:tabs>
          <w:tab w:leader="none" w:pos="1307"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extends the Stated Maturity of any Security, the Holder will have the option to elect repayment of such Security by the Company on the Original Stated Maturity at a price equal to the principal amount thereof, plus interest accrued to such date. In order to obtain repayment on the Original Stated Maturity once the Company has extended the Stated Maturity thereof, the Holder must follow the procedures set forth in Article Thirteen for repayment at the option of Holders, except that the period for delivery or notification to the Trustee shall be at least 25 but not more than 35 days prior to the Original Stated Maturity and except that, if the Holder has tendered any Security for repayment pursuant to an Extension Notice, the Holder may by written notice to the Trustee revoke such tender for repayment until the close of business on the tenth day before the Original Stated Maturity.</w:t>
      </w:r>
    </w:p>
    <w:p>
      <w:pPr>
        <w:spacing w:after="0" w:line="335"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Section 309. Persons Deemed Owners.</w:t>
      </w:r>
    </w:p>
    <w:p>
      <w:pPr>
        <w:ind w:left="1665"/>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5" w:right="2779" w:firstLine="926"/>
        <w:spacing w:after="0" w:line="270" w:lineRule="auto"/>
        <w:tabs>
          <w:tab w:leader="none" w:pos="1307" w:val="left"/>
        </w:tabs>
        <w:numPr>
          <w:ilvl w:val="1"/>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due presentment of a Registered Security for registration of transfer, the Company, the Trustee and any agent of the Company or the Trustee may treat the Person in whose name such Registered Security is registered as the owner of such Registered Security for the purpose of receiving payment of principal of (and premium, if any) and (subject to Sections 305 and</w:t>
      </w:r>
    </w:p>
    <w:p>
      <w:pPr>
        <w:spacing w:after="0" w:line="2" w:lineRule="exact"/>
        <w:rPr>
          <w:rFonts w:ascii="Courier New" w:cs="Courier New" w:eastAsia="Courier New" w:hAnsi="Courier New"/>
          <w:sz w:val="14"/>
          <w:szCs w:val="14"/>
          <w:color w:val="auto"/>
        </w:rPr>
      </w:pPr>
    </w:p>
    <w:p>
      <w:pPr>
        <w:ind w:left="5" w:right="2879" w:hanging="5"/>
        <w:spacing w:after="0" w:line="235" w:lineRule="auto"/>
        <w:tabs>
          <w:tab w:leader="none" w:pos="470" w:val="left"/>
        </w:tabs>
        <w:numPr>
          <w:ilvl w:val="0"/>
          <w:numId w:val="2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if any, on such Registered Security and for all other purposes whatsoever, whether or not such Registered Security be overdue, and none of the Company, the Trustee nor any agent of the Company or the Trustee shall be affected by notice to the contrary.</w:t>
      </w:r>
    </w:p>
    <w:p>
      <w:pPr>
        <w:spacing w:after="0" w:line="184" w:lineRule="exact"/>
        <w:rPr>
          <w:rFonts w:ascii="Courier New" w:cs="Courier New" w:eastAsia="Courier New" w:hAnsi="Courier New"/>
          <w:sz w:val="16"/>
          <w:szCs w:val="16"/>
          <w:color w:val="auto"/>
        </w:rPr>
      </w:pPr>
    </w:p>
    <w:p>
      <w:pPr>
        <w:ind w:left="5" w:right="2779" w:firstLine="926"/>
        <w:spacing w:after="0" w:line="275" w:lineRule="auto"/>
        <w:tabs>
          <w:tab w:leader="none" w:pos="1307" w:val="left"/>
        </w:tabs>
        <w:numPr>
          <w:ilvl w:val="1"/>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Title to any Bearer Security and any coupons appertaining thereto shall pass by delivery. The Company, the Trustee and any agent of the Company, or the Trustee may treat the bearer of any Bearer Security and the bearer of any coupon as the absolute owner of such Security or coupon for the purpose of receiving payment thereof or on account thereof and for all other purposes whatsoever, whether or not such Security or coupon be overdue, and none of the</w:t>
      </w:r>
    </w:p>
    <w:p>
      <w:pPr>
        <w:spacing w:after="0" w:line="335"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24"/>
          </w:cols>
          <w:pgMar w:left="235" w:top="655" w:right="1440" w:bottom="1440" w:gutter="0" w:footer="0" w:header="0"/>
        </w:sectPr>
      </w:pPr>
    </w:p>
    <w:bookmarkStart w:id="218" w:name="page219"/>
    <w:bookmarkEnd w:id="218"/>
    <w:p>
      <w:pPr>
        <w:ind w:right="3339"/>
        <w:spacing w:after="0" w:line="234" w:lineRule="auto"/>
        <w:rPr>
          <w:sz w:val="20"/>
          <w:szCs w:val="20"/>
          <w:color w:val="auto"/>
        </w:rPr>
      </w:pPr>
      <w:r>
        <w:rPr>
          <w:rFonts w:ascii="Courier New" w:cs="Courier New" w:eastAsia="Courier New" w:hAnsi="Courier New"/>
          <w:sz w:val="16"/>
          <w:szCs w:val="16"/>
          <w:color w:val="auto"/>
        </w:rPr>
        <w:t>Company, the Trustee nor any agent of the Company, or the Trustee shall be affected by notice to the contrary.</w:t>
      </w:r>
    </w:p>
    <w:p>
      <w:pPr>
        <w:spacing w:after="0" w:line="183" w:lineRule="exact"/>
        <w:rPr>
          <w:sz w:val="20"/>
          <w:szCs w:val="20"/>
          <w:color w:val="auto"/>
        </w:rPr>
      </w:pPr>
    </w:p>
    <w:p>
      <w:pPr>
        <w:ind w:right="2779" w:firstLine="926"/>
        <w:spacing w:after="0" w:line="276" w:lineRule="auto"/>
        <w:tabs>
          <w:tab w:leader="none" w:pos="1302"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the Company, the Trustee, any Paying Agent or the Security Registrar will have any responsibility or liability for any aspect of the records relating to or payments made on account of beneficial ownership interests of a Security in global form or for maintaining, supervising or reviewing any records relating to such beneficial ownership interests.</w:t>
      </w:r>
    </w:p>
    <w:p>
      <w:pPr>
        <w:spacing w:after="0" w:line="161" w:lineRule="exact"/>
        <w:rPr>
          <w:rFonts w:ascii="Courier New" w:cs="Courier New" w:eastAsia="Courier New" w:hAnsi="Courier New"/>
          <w:sz w:val="14"/>
          <w:szCs w:val="14"/>
          <w:color w:val="auto"/>
        </w:rPr>
      </w:pPr>
    </w:p>
    <w:p>
      <w:pPr>
        <w:ind w:right="2779" w:firstLine="926"/>
        <w:spacing w:after="0" w:line="236" w:lineRule="auto"/>
        <w:tabs>
          <w:tab w:leader="none" w:pos="1302" w:val="left"/>
        </w:tabs>
        <w:numPr>
          <w:ilvl w:val="0"/>
          <w:numId w:val="2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with respect to any global Security, nothing herein shall prevent the Company, the Trustee, or any agent of the Company, or the Trustee, from giving effect to any written certification, proxy or other authorization furnished by any depositary, as a Holder, with respect to such global Security or impair, as between such depositary and owners of beneficial interests in such global Security, the operation of customary practices governing the exercise of the rights of such depositary (or its nominee) as Holder of such global Security.</w:t>
      </w:r>
    </w:p>
    <w:p>
      <w:pPr>
        <w:spacing w:after="0" w:line="17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310. Cancellation.</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926"/>
        <w:spacing w:after="0" w:line="272" w:lineRule="auto"/>
        <w:tabs>
          <w:tab w:leader="none" w:pos="1302"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Securities and coupons surrendered for payment, redemption, repayment at the option of the Holder, registration of transfer or exchange or for credit against any sinking fund payment shall, if surrendered to any Person other than the Trustee, be delivered to the Trustee, and any such Securities and coupons and Securities and coupons surrendered directly to the Trustee for any such purpose shall be promptly cancelled by it.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cancelled by the Trustee. If the Company shall so acquire any of the Securities, however, such acquisition shall not operate as a redemption or satisfaction of the indebtedness represented by such Securities unless and until the same are surrendered to the Trustee for cancellation. No Securities shall be authenticated in lieu of or in exchange for any Securities cancelled as provided in this Section, except as expressly permitted by this Indenture. Cancelled Securities and coupons held by the Trustee shall be disposed of by the Trustee in its customary manner unless by a Company Order the Company directs that cancelled Securities be returned to the Company.</w:t>
      </w:r>
    </w:p>
    <w:p>
      <w:pPr>
        <w:spacing w:after="0" w:line="200" w:lineRule="exact"/>
        <w:rPr>
          <w:sz w:val="20"/>
          <w:szCs w:val="20"/>
          <w:color w:val="auto"/>
        </w:rPr>
      </w:pPr>
    </w:p>
    <w:p>
      <w:pPr>
        <w:spacing w:after="0" w:line="315"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311. Computation of Interest.</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930"/>
        <w:spacing w:after="0" w:line="283" w:lineRule="auto"/>
        <w:rPr>
          <w:sz w:val="20"/>
          <w:szCs w:val="20"/>
          <w:color w:val="auto"/>
        </w:rPr>
      </w:pPr>
      <w:r>
        <w:rPr>
          <w:rFonts w:ascii="Courier New" w:cs="Courier New" w:eastAsia="Courier New" w:hAnsi="Courier New"/>
          <w:sz w:val="14"/>
          <w:szCs w:val="14"/>
          <w:color w:val="auto"/>
        </w:rPr>
        <w:t>Except as otherwise specified as contemplated by Section 301 with respect to Securities of any series, interest, if any, on the Securities of each series shall be computed on the basis of a 360-day year of twelve 30-day months.</w:t>
      </w:r>
    </w:p>
    <w:p>
      <w:pPr>
        <w:spacing w:after="0" w:line="14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312. Currency and Manner of Payments in Respect of Securities.</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926"/>
        <w:spacing w:after="0" w:line="295" w:lineRule="auto"/>
        <w:tabs>
          <w:tab w:leader="none" w:pos="1302"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specified with respect to any Securities pursuant to Section 301, with respect to Registered Securities of any series not</w:t>
      </w:r>
    </w:p>
    <w:p>
      <w:pPr>
        <w:spacing w:after="0" w:line="32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19"/>
          </w:cols>
          <w:pgMar w:left="240" w:top="654" w:right="1440" w:bottom="1440" w:gutter="0" w:footer="0" w:header="0"/>
        </w:sectPr>
      </w:pPr>
    </w:p>
    <w:bookmarkStart w:id="219" w:name="page220"/>
    <w:bookmarkEnd w:id="219"/>
    <w:p>
      <w:pPr>
        <w:ind w:right="2879"/>
        <w:spacing w:after="0" w:line="236" w:lineRule="auto"/>
        <w:rPr>
          <w:sz w:val="20"/>
          <w:szCs w:val="20"/>
          <w:color w:val="auto"/>
        </w:rPr>
      </w:pPr>
      <w:r>
        <w:rPr>
          <w:rFonts w:ascii="Courier New" w:cs="Courier New" w:eastAsia="Courier New" w:hAnsi="Courier New"/>
          <w:sz w:val="16"/>
          <w:szCs w:val="16"/>
          <w:color w:val="auto"/>
        </w:rPr>
        <w:t>permitting the election provided for in Subsection (b) of this Section or the Holders of which have not made the election provided for in Subsection (b) of this Section, and with respect to Bearer Securities of any series, except as provided in Subsection (d) of this Section, payment of the principal of (and premium, if any) and interest, if any, on any Registered or Bearer Security of such series will be made in the Currency in which such Registered Security or Bearer Security, as the case may be, is payable. The provisions of this Section 312 may be modified or superseded with respect to any Securities pursuant to Section 301.</w:t>
      </w:r>
    </w:p>
    <w:p>
      <w:pPr>
        <w:spacing w:after="0" w:line="185" w:lineRule="exact"/>
        <w:rPr>
          <w:sz w:val="20"/>
          <w:szCs w:val="20"/>
          <w:color w:val="auto"/>
        </w:rPr>
      </w:pPr>
    </w:p>
    <w:p>
      <w:pPr>
        <w:ind w:right="2779" w:firstLine="926"/>
        <w:spacing w:after="0" w:line="271" w:lineRule="auto"/>
        <w:tabs>
          <w:tab w:leader="none" w:pos="1302" w:val="left"/>
        </w:tabs>
        <w:numPr>
          <w:ilvl w:val="0"/>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may be provided pursuant to Section 301 with respect to Registered Securities of any series that Holders shall have the option, subject to Subsection (d) and (e) of this Section, to receive payments of principal of (or premium, if any) or interest, if any, on such Registered Securities in any of the Currencies which may be designated for such election by delivering to the Trustee a written election with signature guarantees and in the applicable form established pursuant to Section 301, not later than the close of business on the Election Date immediately preceding the applicable payment date. If a Holder so elects to receive such payments in any such Currency, such election will remain in effect for such Holder or any transferee of such Holder until changed by such Holder or such transferee by written notice to the Trustee (but any such change must be made not later than the close of business on the Election Date immediately preceding the next payment date to be effective for the payment to be made on such payment date and no such change of election may be made with respect to payments to be made on any Registered Security of such series with respect to which an Event of Default has occurred or with respect to which the Company has deposited funds pursuant to Article Four or Fourteen or with respect to which a notice of redemption has been given by the Company or a notice of option to elect repayment has been sent by such Holder or such transferee). Any Holder of any such Registered Security who shall not have delivered any such election to the Trustee of such series of Registered Securities not later than the close of business on the applicable Election Date will be paid the amount due on the applicable payment date in the relevant Currency as provided in Subsection (a) of this Section. The Trustee shall notify the Exchange Rate Agent as soon as practicable after the Election Date of the aggregate principal amount of Registered Securities for which Holders have made such written election.</w:t>
      </w:r>
    </w:p>
    <w:p>
      <w:pPr>
        <w:spacing w:after="0" w:line="200" w:lineRule="exact"/>
        <w:rPr>
          <w:rFonts w:ascii="Courier New" w:cs="Courier New" w:eastAsia="Courier New" w:hAnsi="Courier New"/>
          <w:sz w:val="14"/>
          <w:szCs w:val="14"/>
          <w:color w:val="auto"/>
        </w:rPr>
      </w:pPr>
    </w:p>
    <w:p>
      <w:pPr>
        <w:spacing w:after="0" w:line="332" w:lineRule="exact"/>
        <w:rPr>
          <w:rFonts w:ascii="Courier New" w:cs="Courier New" w:eastAsia="Courier New" w:hAnsi="Courier New"/>
          <w:sz w:val="14"/>
          <w:szCs w:val="14"/>
          <w:color w:val="auto"/>
        </w:rPr>
      </w:pPr>
    </w:p>
    <w:p>
      <w:pPr>
        <w:ind w:right="2779" w:firstLine="926"/>
        <w:spacing w:after="0" w:line="272" w:lineRule="auto"/>
        <w:tabs>
          <w:tab w:leader="none" w:pos="1302" w:val="left"/>
        </w:tabs>
        <w:numPr>
          <w:ilvl w:val="0"/>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specified pursuant to Section 301, if the election referred to in Subsection (b) of this Section has been provided for pursuant to Section 301, then, unless otherwise specified pursuant to Section 301, not later than the fourth Business Day after the Election Date for each payment date for Registered Securities of any series, the Exchange Rate Agent will deliver to the Company a written notice specifying the Currency in which Registered Securities of such series are payable, the respective aggregate amounts of principal of (and premium, if any) and interest, if any, on the Registered Securities to be paid on such payment date, specifying the amounts in such Currency so payable in respect of the Registered Securities as to which the Holders of Registered Securities of such Series shall have elected to be paid in another Currency as provided in Subsection (b) of this Section. If the election referred to in Subsection (b) of this Section has been provided for pursuant to Section 301 and if at least one Holder has made such election, then, unless</w:t>
      </w:r>
    </w:p>
    <w:p>
      <w:pPr>
        <w:spacing w:after="0" w:line="200" w:lineRule="exact"/>
        <w:rPr>
          <w:sz w:val="20"/>
          <w:szCs w:val="20"/>
          <w:color w:val="auto"/>
        </w:rPr>
      </w:pPr>
    </w:p>
    <w:p>
      <w:pPr>
        <w:spacing w:after="0" w:line="32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654" w:right="1440" w:bottom="1440" w:gutter="0" w:footer="0" w:header="0"/>
        </w:sectPr>
      </w:pPr>
    </w:p>
    <w:bookmarkStart w:id="220" w:name="page221"/>
    <w:bookmarkEnd w:id="220"/>
    <w:p>
      <w:pPr>
        <w:ind w:right="2779"/>
        <w:spacing w:after="0" w:line="236" w:lineRule="auto"/>
        <w:rPr>
          <w:sz w:val="20"/>
          <w:szCs w:val="20"/>
          <w:color w:val="auto"/>
        </w:rPr>
      </w:pPr>
      <w:r>
        <w:rPr>
          <w:rFonts w:ascii="Courier New" w:cs="Courier New" w:eastAsia="Courier New" w:hAnsi="Courier New"/>
          <w:sz w:val="16"/>
          <w:szCs w:val="16"/>
          <w:color w:val="auto"/>
        </w:rPr>
        <w:t>otherwise specified pursuant to Section 301, on the second Business Day preceding such payment date the Company will deliver to the Trustee for such series of Registered Securities an Exchange Rate Officer's Certificate in respect of the Dollar or Foreign Currency payments to be made on such payment date. Unless otherwise specified pursuant to Section 301, the Dollar or Foreign Currency amount receivable by Holders of Registered Securities who have elected payment in a Currency as provided in Subsection (b) of this Section shall be determined by the Company on the basis of the applicable Market Exchange Rate in effect on the second Business Day (the "Valuation Date") immediately preceding each payment date, and such determination shall be conclusive and binding for all purposes, absent manifest error.</w:t>
      </w:r>
    </w:p>
    <w:p>
      <w:pPr>
        <w:spacing w:after="0" w:line="186" w:lineRule="exact"/>
        <w:rPr>
          <w:sz w:val="20"/>
          <w:szCs w:val="20"/>
          <w:color w:val="auto"/>
        </w:rPr>
      </w:pPr>
    </w:p>
    <w:p>
      <w:pPr>
        <w:ind w:right="2779" w:firstLine="926"/>
        <w:spacing w:after="0" w:line="236" w:lineRule="auto"/>
        <w:tabs>
          <w:tab w:leader="none" w:pos="1302" w:val="left"/>
        </w:tabs>
        <w:numPr>
          <w:ilvl w:val="0"/>
          <w:numId w:val="2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Conversion Event occurs with respect to a Foreign Currency in which any of the Securities are denominated or payable other than pursuant to an election provided for pursuant to Subsection (b) of this Section, then with respect to each date for the payment of principal of (and premium, if any) and interest, if any, on the applicable Securities denominated or payable in such Foreign Currency occurring after the last date on which such Foreign Currency was used (the "Conversion Date"), the Dollar shall be the currency of payment for use on each such payment date. Unless otherwise specified pursuant to Section 301, the Dollar amount to be paid by the Company to the Trustee and by such Trustee or any Paying Agent to the Holders of such Securities with respect to such payment date shall be, in the case of a Foreign Currency other than a currency unit, the Dollar Equivalent of the Foreign Currency or, in the case of a currency unit, the Dollar Equivalent of the Currency Unit, in each case as determined by the Exchange Rate Agent in the manner provided in Subsection (f) or (g) of this Section.</w:t>
      </w:r>
    </w:p>
    <w:p>
      <w:pPr>
        <w:spacing w:after="0" w:line="188" w:lineRule="exact"/>
        <w:rPr>
          <w:rFonts w:ascii="Courier New" w:cs="Courier New" w:eastAsia="Courier New" w:hAnsi="Courier New"/>
          <w:sz w:val="16"/>
          <w:szCs w:val="16"/>
          <w:color w:val="auto"/>
        </w:rPr>
      </w:pPr>
    </w:p>
    <w:p>
      <w:pPr>
        <w:ind w:right="2779" w:firstLine="926"/>
        <w:spacing w:after="0" w:line="236" w:lineRule="auto"/>
        <w:tabs>
          <w:tab w:leader="none" w:pos="1302" w:val="left"/>
        </w:tabs>
        <w:numPr>
          <w:ilvl w:val="0"/>
          <w:numId w:val="2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otherwise specified pursuant to Section 301, if the Holder of a Registered Security denominated in any Currency shall have elected to be paid in another Currency as provided in Subsection (b) of this Section, and a Conversion Event occurs with respect to such elected Currency, such Holder shall receive payment in the Currency in which payment would have been made in the absence of such election; and if a Conversion Event occurs with respect to the Currency in which payment would have been made in the absence of such election, such Holder shall receive payment in Dollars as provided in Subsection (d) of this Section.</w:t>
      </w:r>
    </w:p>
    <w:p>
      <w:pPr>
        <w:spacing w:after="0" w:line="184" w:lineRule="exact"/>
        <w:rPr>
          <w:rFonts w:ascii="Courier New" w:cs="Courier New" w:eastAsia="Courier New" w:hAnsi="Courier New"/>
          <w:sz w:val="16"/>
          <w:szCs w:val="16"/>
          <w:color w:val="auto"/>
        </w:rPr>
      </w:pPr>
    </w:p>
    <w:p>
      <w:pPr>
        <w:ind w:right="2879" w:firstLine="926"/>
        <w:spacing w:after="0" w:line="235" w:lineRule="auto"/>
        <w:tabs>
          <w:tab w:leader="none" w:pos="1302" w:val="left"/>
        </w:tabs>
        <w:numPr>
          <w:ilvl w:val="0"/>
          <w:numId w:val="2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"Dollar Equivalent of the Foreign Currency" shall be determined by the Exchange Rate Agent and shall be obtained for each subsequent payment date by converting the specified Foreign Currency into Dollars at the Market Exchange Rate on the Conversion Date.</w:t>
      </w:r>
    </w:p>
    <w:p>
      <w:pPr>
        <w:spacing w:after="0" w:line="184" w:lineRule="exact"/>
        <w:rPr>
          <w:rFonts w:ascii="Courier New" w:cs="Courier New" w:eastAsia="Courier New" w:hAnsi="Courier New"/>
          <w:sz w:val="16"/>
          <w:szCs w:val="16"/>
          <w:color w:val="auto"/>
        </w:rPr>
      </w:pPr>
    </w:p>
    <w:p>
      <w:pPr>
        <w:ind w:right="2879" w:firstLine="926"/>
        <w:spacing w:after="0" w:line="236" w:lineRule="auto"/>
        <w:tabs>
          <w:tab w:leader="none" w:pos="1302" w:val="left"/>
        </w:tabs>
        <w:numPr>
          <w:ilvl w:val="0"/>
          <w:numId w:val="2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"Dollar Equivalent of the Currency Unit" shall be determined by the Exchange Rate Agent and subject to the provisions of Subsection (h) of this Section shall be the sum of each amount obtained by converting the Specified Amount of each Component Currency into Dollars at the Market Exchange Rate for such Component Currency on the Valuation Date with respect to each payment.</w:t>
      </w:r>
    </w:p>
    <w:p>
      <w:pPr>
        <w:spacing w:after="0" w:line="182" w:lineRule="exact"/>
        <w:rPr>
          <w:rFonts w:ascii="Courier New" w:cs="Courier New" w:eastAsia="Courier New" w:hAnsi="Courier New"/>
          <w:sz w:val="16"/>
          <w:szCs w:val="16"/>
          <w:color w:val="auto"/>
        </w:rPr>
      </w:pPr>
    </w:p>
    <w:p>
      <w:pPr>
        <w:ind w:right="2959" w:firstLine="926"/>
        <w:spacing w:after="0" w:line="234" w:lineRule="auto"/>
        <w:tabs>
          <w:tab w:leader="none" w:pos="1302" w:val="left"/>
        </w:tabs>
        <w:numPr>
          <w:ilvl w:val="0"/>
          <w:numId w:val="2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Section 312, the following terms shall have the following meanings:</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19"/>
          </w:cols>
          <w:pgMar w:left="240" w:top="655" w:right="1440" w:bottom="1440" w:gutter="0" w:footer="0" w:header="0"/>
        </w:sectPr>
      </w:pPr>
    </w:p>
    <w:bookmarkStart w:id="221" w:name="page222"/>
    <w:bookmarkEnd w:id="221"/>
    <w:p>
      <w:pPr>
        <w:ind w:right="3519" w:firstLine="930"/>
        <w:spacing w:after="0" w:line="235" w:lineRule="auto"/>
        <w:rPr>
          <w:sz w:val="20"/>
          <w:szCs w:val="20"/>
          <w:color w:val="auto"/>
        </w:rPr>
      </w:pPr>
      <w:r>
        <w:rPr>
          <w:rFonts w:ascii="Courier New" w:cs="Courier New" w:eastAsia="Courier New" w:hAnsi="Courier New"/>
          <w:sz w:val="16"/>
          <w:szCs w:val="16"/>
          <w:color w:val="auto"/>
        </w:rPr>
        <w:t>A "Component Currency" shall mean any currency which, on the Conversion Date, was a component currency of the relevant currency unit, including, but not limited to, the euro.</w:t>
      </w:r>
    </w:p>
    <w:p>
      <w:pPr>
        <w:spacing w:after="0" w:line="183" w:lineRule="exact"/>
        <w:rPr>
          <w:sz w:val="20"/>
          <w:szCs w:val="20"/>
          <w:color w:val="auto"/>
        </w:rPr>
      </w:pPr>
    </w:p>
    <w:p>
      <w:pPr>
        <w:ind w:right="2779" w:firstLine="930"/>
        <w:spacing w:after="0" w:line="271" w:lineRule="auto"/>
        <w:rPr>
          <w:sz w:val="20"/>
          <w:szCs w:val="20"/>
          <w:color w:val="auto"/>
        </w:rPr>
      </w:pPr>
      <w:r>
        <w:rPr>
          <w:rFonts w:ascii="Courier New" w:cs="Courier New" w:eastAsia="Courier New" w:hAnsi="Courier New"/>
          <w:sz w:val="14"/>
          <w:szCs w:val="14"/>
          <w:color w:val="auto"/>
        </w:rPr>
        <w:t>A "Specified Amount" of a Component Currency shall mean the number of units of such Component Currency or fractions thereof which were represented in the relevant currency unit, including, but not limited to, the euro, on the Conversion Date. If after the Conversion Date the official unit of any Component Currency is altered by way of combination or subdivision, the Specified Amount of such Component Currency shall be divided or multiplied in the same proportion. If after the Conversion Date two or more Component Currencies are consolidated into a single Currency, the respective Specified Amounts of such Component Currencies shall be replaced by an amount in such single Currency equal to the sum of the respective Specified Amounts of such consolidated Component Currencies expressed in such single Currency, and such amount shall thereafter be a Specified Amount and such single Currency shall thereafter be a Component Currency. If after the Conversion Date any Component Currency shall be divided into two or more currencies, the Specified Amount of such Component Currency shall be replaced by amounts of such two or more currencies, having an aggregate Dollar Equivalent value at the Market Exchange Rate on the date of such replacement equal to the Dollar Equivalent of the Specified Amount of such former Component Currency at the Market Exchange Rate immediately before such division, and such amounts shall thereafter be Specified Amounts and such currencies shall thereafter be Component Currencies. If, after the Conversion Date of the relevant currency unit, including, but not limited to, the euro, a Conversion Event (other than any event referred to above in this definition of "Specified Amount") occurs with respect to any Component Currency of such currency unit and is continuing on the applicable Valuation Date, the Specified Amount of such Component Currency shall, for purposes of calculating the Dollar Equivalent of the Currency Unit, be converted into Dollars at the Market Exchange Rate in effect on the Conversion Date of such Component Currency.</w:t>
      </w:r>
    </w:p>
    <w:p>
      <w:pPr>
        <w:spacing w:after="0" w:line="200" w:lineRule="exact"/>
        <w:rPr>
          <w:sz w:val="20"/>
          <w:szCs w:val="20"/>
          <w:color w:val="auto"/>
        </w:rPr>
      </w:pPr>
    </w:p>
    <w:p>
      <w:pPr>
        <w:spacing w:after="0" w:line="332" w:lineRule="exact"/>
        <w:rPr>
          <w:sz w:val="20"/>
          <w:szCs w:val="20"/>
          <w:color w:val="auto"/>
        </w:rPr>
      </w:pPr>
    </w:p>
    <w:p>
      <w:pPr>
        <w:ind w:right="2779" w:firstLine="930"/>
        <w:spacing w:after="0" w:line="235" w:lineRule="auto"/>
        <w:rPr>
          <w:sz w:val="20"/>
          <w:szCs w:val="20"/>
          <w:color w:val="auto"/>
        </w:rPr>
      </w:pPr>
      <w:r>
        <w:rPr>
          <w:rFonts w:ascii="Courier New" w:cs="Courier New" w:eastAsia="Courier New" w:hAnsi="Courier New"/>
          <w:sz w:val="16"/>
          <w:szCs w:val="16"/>
          <w:color w:val="auto"/>
        </w:rPr>
        <w:t>"Election Date" shall mean the Regular Record Date for the applicable series of Registered Securities or at least 16 days prior to Maturity, as the case may be, or such other prior date for any series of Registered Securities as specified pursuant to clause 13 of Section 301 by which the written election referred to in Subsection 312(b) may be made.</w:t>
      </w:r>
    </w:p>
    <w:p>
      <w:pPr>
        <w:spacing w:after="0" w:line="186" w:lineRule="exact"/>
        <w:rPr>
          <w:sz w:val="20"/>
          <w:szCs w:val="20"/>
          <w:color w:val="auto"/>
        </w:rPr>
      </w:pPr>
    </w:p>
    <w:p>
      <w:pPr>
        <w:ind w:right="2779" w:firstLine="926"/>
        <w:spacing w:after="0" w:line="236" w:lineRule="auto"/>
        <w:tabs>
          <w:tab w:leader="none" w:pos="1302" w:val="left"/>
        </w:tabs>
        <w:numPr>
          <w:ilvl w:val="0"/>
          <w:numId w:val="2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decisions and determinations of the Exchange Rate Agent regarding the Dollar Equivalent of the Foreign Currency, the Dollar Equivalent of the Currency Unit, the Market Exchange Rate and changes in the Specified Amounts as specified above shall be in its sole discretion and shall, in the absence of manifest error, be conclusive for all purposes and irrevocably binding upon the Company, the Trustee and all Holders of such Securities denominated or payable in the relevant Currency. The Exchange Rate Agent shall promptly give written notice to the Company and the Trustee of any such decision or determination.</w:t>
      </w:r>
    </w:p>
    <w:p>
      <w:pPr>
        <w:spacing w:after="0" w:line="184" w:lineRule="exact"/>
        <w:rPr>
          <w:rFonts w:ascii="Courier New" w:cs="Courier New" w:eastAsia="Courier New" w:hAnsi="Courier New"/>
          <w:sz w:val="16"/>
          <w:szCs w:val="16"/>
          <w:color w:val="auto"/>
        </w:rPr>
      </w:pPr>
    </w:p>
    <w:p>
      <w:pPr>
        <w:ind w:right="3059" w:firstLine="926"/>
        <w:spacing w:after="0" w:line="295" w:lineRule="auto"/>
        <w:tabs>
          <w:tab w:leader="none" w:pos="1302"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Company determines in good faith that a Conversion Event has occurred with respect to a Foreign Currency, the Company</w:t>
      </w:r>
    </w:p>
    <w:p>
      <w:pPr>
        <w:spacing w:after="0" w:line="32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19"/>
          </w:cols>
          <w:pgMar w:left="240" w:top="655" w:right="1440" w:bottom="1440" w:gutter="0" w:footer="0" w:header="0"/>
        </w:sectPr>
      </w:pPr>
    </w:p>
    <w:bookmarkStart w:id="222" w:name="page223"/>
    <w:bookmarkEnd w:id="222"/>
    <w:p>
      <w:pPr>
        <w:ind w:right="2779"/>
        <w:spacing w:after="0" w:line="273" w:lineRule="auto"/>
        <w:rPr>
          <w:sz w:val="20"/>
          <w:szCs w:val="20"/>
          <w:color w:val="auto"/>
        </w:rPr>
      </w:pPr>
      <w:r>
        <w:rPr>
          <w:rFonts w:ascii="Courier New" w:cs="Courier New" w:eastAsia="Courier New" w:hAnsi="Courier New"/>
          <w:sz w:val="14"/>
          <w:szCs w:val="14"/>
          <w:color w:val="auto"/>
        </w:rPr>
        <w:t>will immediately give written notice thereof to the Trustee and to the Exchange Rate Agent (and such Trustee will promptly thereafter give notice in the manner provided for in Section 106 to the affected Holders) specifying the Conversion Date. In the event the Company so determines that a Conversion Event has occurred with respect to the euro or any other currency unit in which Securities are denominated or payable, the Company will immediately give written notice thereof to the Trustee and to the Exchange Rate Agent (and such Trustee will promptly thereafter give notice in the manner provided in Section 106 to the affected Holders) specifying the Conversion Date and the Specified Amount of each Component Currency on the Conversion Date. In the event the Company determines in good faith that any subsequent change in any Component Currency as set forth in the definition of Specified Amount above has occurred, the Company will similarly give written notice to the Trustee and the Exchange Rate Agent.</w:t>
      </w:r>
    </w:p>
    <w:p>
      <w:pPr>
        <w:spacing w:after="0" w:line="340" w:lineRule="exact"/>
        <w:rPr>
          <w:sz w:val="20"/>
          <w:szCs w:val="20"/>
          <w:color w:val="auto"/>
        </w:rPr>
      </w:pPr>
    </w:p>
    <w:p>
      <w:pPr>
        <w:ind w:right="2779" w:firstLine="926"/>
        <w:spacing w:after="0" w:line="276" w:lineRule="auto"/>
        <w:tabs>
          <w:tab w:leader="none" w:pos="1302"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of the appropriate series of Securities shall be fully justified and protected in conclusively relying and acting upon information received by it from the Company and the Exchange Rate Agent and shall not otherwise have any duty or obligation to determine the accuracy or validity of such information independent of the Company or the Exchange Rate Agent.</w:t>
      </w:r>
    </w:p>
    <w:p>
      <w:pPr>
        <w:spacing w:after="0" w:line="161"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Section 313. Appointment and Resignation of Successor Exchange Rate Agent.</w:t>
      </w:r>
    </w:p>
    <w:p>
      <w:pPr>
        <w:spacing w:after="0" w:line="14"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926"/>
        <w:spacing w:after="0" w:line="273" w:lineRule="auto"/>
        <w:tabs>
          <w:tab w:leader="none" w:pos="1302"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specified pursuant to Section 301, if and so long as the Securities of any series (1) are denominated in a Foreign Currency or (2) may be payable in a Foreign Currency, or so long as it is required under any other provision of this Indenture, then the Company will maintain with respect to each such series of Securities, or as so required, at least one Exchange Rate Agent. The Company will cause the Exchange Rate Agent to make the necessary foreign exchange determinations at the time and in the manner specified pursuant to Section 301 for the purpose of determining the applicable rate of exchange and, if applicable, for the purpose of converting the issued Foreign Currency into the applicable payment Currency for the payment of principal (and premium, if any) and interest, if any, pursuant to Section 312.</w:t>
      </w:r>
    </w:p>
    <w:p>
      <w:pPr>
        <w:spacing w:after="0" w:line="342" w:lineRule="exact"/>
        <w:rPr>
          <w:rFonts w:ascii="Courier New" w:cs="Courier New" w:eastAsia="Courier New" w:hAnsi="Courier New"/>
          <w:sz w:val="14"/>
          <w:szCs w:val="14"/>
          <w:color w:val="auto"/>
        </w:rPr>
      </w:pPr>
    </w:p>
    <w:p>
      <w:pPr>
        <w:ind w:right="2879" w:firstLine="926"/>
        <w:spacing w:after="0" w:line="236" w:lineRule="auto"/>
        <w:tabs>
          <w:tab w:leader="none" w:pos="1302" w:val="left"/>
        </w:tabs>
        <w:numPr>
          <w:ilvl w:val="0"/>
          <w:numId w:val="2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resignation of the Exchange Rate Agent and no appointment of a successor Exchange Rate Agent pursuant to this Section shall become effective until the acceptance of appointment by the successor Exchange Rate Agent as evidenced by a written instrument delivered to the Company and the Trustee of the appropriate series of Securities accepting such appointment executed by the successor Exchange Rate Agent.</w:t>
      </w:r>
    </w:p>
    <w:p>
      <w:pPr>
        <w:spacing w:after="0" w:line="182" w:lineRule="exact"/>
        <w:rPr>
          <w:rFonts w:ascii="Courier New" w:cs="Courier New" w:eastAsia="Courier New" w:hAnsi="Courier New"/>
          <w:sz w:val="16"/>
          <w:szCs w:val="16"/>
          <w:color w:val="auto"/>
        </w:rPr>
      </w:pPr>
    </w:p>
    <w:p>
      <w:pPr>
        <w:ind w:right="2879" w:firstLine="926"/>
        <w:spacing w:after="0" w:line="273" w:lineRule="auto"/>
        <w:tabs>
          <w:tab w:leader="none" w:pos="1302"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Exchange Rate Agent shall resign, be removed or become incapable of acting, or if a vacancy shall occur in the office of the Exchange Rate Agent for any cause, with respect to the Securities of one or more series, the Company, by or pursuant to a Board Resolution, shall promptly appoint a successor Exchange Rate Agent or Exchange Rate Agents with respect to the Securities of that or those series (it being understood that any such successor Exchange Rate Agent may be appointed with respect to the Securities of one or more or all of such series and that, unless otherwise specified pursuant to Section 301, at any time there shall only be one Exchange Rate Agent with</w:t>
      </w: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19"/>
          </w:cols>
          <w:pgMar w:left="240" w:top="655" w:right="1440" w:bottom="1440" w:gutter="0" w:footer="0" w:header="0"/>
        </w:sectPr>
      </w:pPr>
    </w:p>
    <w:bookmarkStart w:id="223" w:name="page224"/>
    <w:bookmarkEnd w:id="223"/>
    <w:p>
      <w:pPr>
        <w:ind w:right="2779"/>
        <w:spacing w:after="0" w:line="235" w:lineRule="auto"/>
        <w:rPr>
          <w:sz w:val="20"/>
          <w:szCs w:val="20"/>
          <w:color w:val="auto"/>
        </w:rPr>
      </w:pPr>
      <w:r>
        <w:rPr>
          <w:rFonts w:ascii="Courier New" w:cs="Courier New" w:eastAsia="Courier New" w:hAnsi="Courier New"/>
          <w:sz w:val="16"/>
          <w:szCs w:val="16"/>
          <w:color w:val="auto"/>
        </w:rPr>
        <w:t>respect to the Securities of any particular series that are originally issued by the Company on the same date and that are initially denominated and/or payable in the same Currency).</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314. CUSIP Numbers.</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930"/>
        <w:spacing w:after="0" w:line="273" w:lineRule="auto"/>
        <w:rPr>
          <w:sz w:val="20"/>
          <w:szCs w:val="20"/>
          <w:color w:val="auto"/>
        </w:rPr>
      </w:pPr>
      <w:r>
        <w:rPr>
          <w:rFonts w:ascii="Courier New" w:cs="Courier New" w:eastAsia="Courier New" w:hAnsi="Courier New"/>
          <w:sz w:val="14"/>
          <w:szCs w:val="14"/>
          <w:color w:val="auto"/>
        </w:rPr>
        <w:t>The Company in issuing the Securities may use "CUSIP" numbers (if then generally in use), and, if so, the Trustee shall indicate the "CUSIP" numbers of the Securities in notices of redemption as a convenience to Holders; provided that, any such notice may state that no representation is made as to the correctness of such numbers either as printed on the Securities or as contained in any notice of redemption and that reliance may be placed only on the other identification numbers printed on the Securities, and any such redemption shall not be affected by any defect in or omission of such numbers. The Company will promptly notify the Trustee of any change in the "CUSIP" numbers.</w:t>
      </w:r>
    </w:p>
    <w:p>
      <w:pPr>
        <w:spacing w:after="0" w:line="159"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ARTICLE FOUR</w:t>
      </w:r>
    </w:p>
    <w:p>
      <w:pPr>
        <w:jc w:val="center"/>
        <w:ind w:right="2779"/>
        <w:spacing w:after="0" w:line="236" w:lineRule="auto"/>
        <w:rPr>
          <w:sz w:val="20"/>
          <w:szCs w:val="20"/>
          <w:color w:val="auto"/>
        </w:rPr>
      </w:pPr>
      <w:r>
        <w:rPr>
          <w:rFonts w:ascii="Courier New" w:cs="Courier New" w:eastAsia="Courier New" w:hAnsi="Courier New"/>
          <w:sz w:val="16"/>
          <w:szCs w:val="16"/>
          <w:color w:val="auto"/>
        </w:rPr>
        <w:t>SATISFACTION AND DISCHARGE</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401. Satisfaction and Discharge of Indenture.</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926"/>
        <w:spacing w:after="0" w:line="236" w:lineRule="auto"/>
        <w:tabs>
          <w:tab w:leader="none" w:pos="1302" w:val="left"/>
        </w:tabs>
        <w:numPr>
          <w:ilvl w:val="0"/>
          <w:numId w:val="2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otherwise specified pursuant to Section 301, this Indenture shall upon Company Request cease to be of further effect with respect to any series of Securities specified in such Company Request (except as to any surviving rights of registration of transfer or exchange of Securities of such series expressly provided for herein or pursuant hereto and any right to receive Additional Amounts, as provided in Section 1005), and the Trustee, upon receipt of a Company Order, and at the expense of the Company, shall execute proper instruments acknowledging satisfaction and discharge of this Indenture as to such series when</w:t>
      </w:r>
    </w:p>
    <w:p>
      <w:pPr>
        <w:spacing w:after="0" w:line="178" w:lineRule="exact"/>
        <w:rPr>
          <w:rFonts w:ascii="Courier New" w:cs="Courier New" w:eastAsia="Courier New" w:hAnsi="Courier New"/>
          <w:sz w:val="16"/>
          <w:szCs w:val="16"/>
          <w:color w:val="auto"/>
        </w:rPr>
      </w:pPr>
    </w:p>
    <w:p>
      <w:pPr>
        <w:ind w:left="2220" w:hanging="364"/>
        <w:spacing w:after="0"/>
        <w:tabs>
          <w:tab w:leader="none" w:pos="2220" w:val="left"/>
        </w:tabs>
        <w:numPr>
          <w:ilvl w:val="1"/>
          <w:numId w:val="2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either</w:t>
      </w:r>
    </w:p>
    <w:p>
      <w:pPr>
        <w:spacing w:after="0" w:line="182" w:lineRule="exact"/>
        <w:rPr>
          <w:rFonts w:ascii="Courier New" w:cs="Courier New" w:eastAsia="Courier New" w:hAnsi="Courier New"/>
          <w:sz w:val="16"/>
          <w:szCs w:val="16"/>
          <w:color w:val="auto"/>
        </w:rPr>
      </w:pPr>
    </w:p>
    <w:p>
      <w:pPr>
        <w:ind w:left="1860" w:right="2779" w:firstLine="926"/>
        <w:spacing w:after="0" w:line="272" w:lineRule="auto"/>
        <w:tabs>
          <w:tab w:leader="none" w:pos="3162" w:val="left"/>
        </w:tabs>
        <w:numPr>
          <w:ilvl w:val="2"/>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Securities of such series theretofore authenticated and delivered and all coupons, if any, appertaining thereto (other than (A) coupons appertaining to Bearer Securities surrendered for exchange for Registered Securities and maturing after such exchange, whose surrender is not required or has been waived as provided in Section 305, (B)Securities and coupons of such series which have been destroyed, lost or stolen and which have been replaced or paid as provided in Section 306, (C)coupons appertaining to Securities called for redemption and maturing after the relevant Redemption Date, whose surrender has been waived as provided in Section 1106, and (D) Securities and coupons of such series for whose payment money has theretofore been deposited with the Trustee or any Paying Agent in trust or segregated and held in trust by the Company and thereafter repaid to the Company or discharged from such trust, as provided in Section 1003) have been delivered to the Trustee for cancellation; or</w:t>
      </w:r>
    </w:p>
    <w:p>
      <w:pPr>
        <w:spacing w:after="0" w:line="200" w:lineRule="exact"/>
        <w:rPr>
          <w:sz w:val="20"/>
          <w:szCs w:val="20"/>
          <w:color w:val="auto"/>
        </w:rPr>
      </w:pPr>
    </w:p>
    <w:p>
      <w:pPr>
        <w:spacing w:after="0" w:line="31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10219"/>
          </w:cols>
          <w:pgMar w:left="240" w:top="655" w:right="1440" w:bottom="1440" w:gutter="0" w:footer="0" w:header="0"/>
        </w:sectPr>
      </w:pPr>
    </w:p>
    <w:bookmarkStart w:id="224" w:name="page225"/>
    <w:bookmarkEnd w:id="224"/>
    <w:p>
      <w:pPr>
        <w:ind w:left="934" w:right="3059" w:firstLine="926"/>
        <w:spacing w:after="0" w:line="235" w:lineRule="auto"/>
        <w:tabs>
          <w:tab w:leader="none" w:pos="2330" w:val="left"/>
        </w:tabs>
        <w:numPr>
          <w:ilvl w:val="2"/>
          <w:numId w:val="2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Securities of such series and, in the case of subclause (A) or (B) of this clause (ii), any coupons appertaining thereto not theretofore delivered to the Trustee for cancellation,</w:t>
      </w:r>
    </w:p>
    <w:p>
      <w:pPr>
        <w:spacing w:after="0" w:line="178" w:lineRule="exact"/>
        <w:rPr>
          <w:rFonts w:ascii="Courier New" w:cs="Courier New" w:eastAsia="Courier New" w:hAnsi="Courier New"/>
          <w:sz w:val="16"/>
          <w:szCs w:val="16"/>
          <w:color w:val="auto"/>
        </w:rPr>
      </w:pPr>
    </w:p>
    <w:p>
      <w:pPr>
        <w:ind w:left="1574" w:hanging="644"/>
        <w:spacing w:after="0"/>
        <w:tabs>
          <w:tab w:leader="none" w:pos="1574" w:val="left"/>
        </w:tabs>
        <w:numPr>
          <w:ilvl w:val="0"/>
          <w:numId w:val="2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have become due and payable, or</w:t>
      </w:r>
    </w:p>
    <w:p>
      <w:pPr>
        <w:spacing w:after="0" w:line="182" w:lineRule="exact"/>
        <w:rPr>
          <w:rFonts w:ascii="Courier New" w:cs="Courier New" w:eastAsia="Courier New" w:hAnsi="Courier New"/>
          <w:sz w:val="16"/>
          <w:szCs w:val="16"/>
          <w:color w:val="auto"/>
        </w:rPr>
      </w:pPr>
    </w:p>
    <w:p>
      <w:pPr>
        <w:ind w:left="1574" w:right="3719" w:hanging="644"/>
        <w:spacing w:after="0" w:line="234" w:lineRule="auto"/>
        <w:tabs>
          <w:tab w:leader="none" w:pos="1574" w:val="left"/>
        </w:tabs>
        <w:numPr>
          <w:ilvl w:val="0"/>
          <w:numId w:val="2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become due and payable at their Stated Maturity within one year, or</w:t>
      </w:r>
    </w:p>
    <w:p>
      <w:pPr>
        <w:spacing w:after="0" w:line="183" w:lineRule="exact"/>
        <w:rPr>
          <w:rFonts w:ascii="Courier New" w:cs="Courier New" w:eastAsia="Courier New" w:hAnsi="Courier New"/>
          <w:sz w:val="16"/>
          <w:szCs w:val="16"/>
          <w:color w:val="auto"/>
        </w:rPr>
      </w:pPr>
    </w:p>
    <w:p>
      <w:pPr>
        <w:ind w:left="1574" w:right="3059" w:hanging="644"/>
        <w:spacing w:after="0" w:line="270" w:lineRule="auto"/>
        <w:tabs>
          <w:tab w:leader="none" w:pos="1574"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redeemable at the option of the Company, are to be called for redemption within one year under arrangements satisfactory to the Trustee for the giving of notice of redemption by the Trustee in the name, and at the expense, of the Company, and the Company, in the case of subclauses (A), (B) or</w:t>
      </w:r>
    </w:p>
    <w:p>
      <w:pPr>
        <w:spacing w:after="0" w:line="2" w:lineRule="exact"/>
        <w:rPr>
          <w:rFonts w:ascii="Courier New" w:cs="Courier New" w:eastAsia="Courier New" w:hAnsi="Courier New"/>
          <w:sz w:val="14"/>
          <w:szCs w:val="14"/>
          <w:color w:val="auto"/>
        </w:rPr>
      </w:pPr>
    </w:p>
    <w:p>
      <w:pPr>
        <w:ind w:left="1574" w:right="3059" w:firstLine="7"/>
        <w:spacing w:after="0" w:line="273" w:lineRule="auto"/>
        <w:tabs>
          <w:tab w:leader="none" w:pos="1947" w:val="left"/>
        </w:tabs>
        <w:numPr>
          <w:ilvl w:val="1"/>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this clause (ii), has irrevocably deposited or caused to be deposited with the Trustee as trust funds in trust for such purpose an amount in the Currency in which the Securities of such series are payable, sufficient to pay and discharge the entire indebtedness on such Securities and such coupons not theretofore delivered to the Trustee for cancellation, including the principal (and premium, if any) and interest, if any, to the date of such deposit (in the case of Securities which have become due and payable) or to the Stated Maturity or Redemption Date, as the case may be;</w:t>
      </w:r>
    </w:p>
    <w:p>
      <w:pPr>
        <w:spacing w:after="0" w:line="200" w:lineRule="exact"/>
        <w:rPr>
          <w:sz w:val="20"/>
          <w:szCs w:val="20"/>
          <w:color w:val="auto"/>
        </w:rPr>
      </w:pPr>
    </w:p>
    <w:p>
      <w:pPr>
        <w:spacing w:after="0" w:line="320" w:lineRule="exact"/>
        <w:rPr>
          <w:sz w:val="20"/>
          <w:szCs w:val="20"/>
          <w:color w:val="auto"/>
        </w:rPr>
      </w:pPr>
    </w:p>
    <w:p>
      <w:pPr>
        <w:ind w:left="-6" w:right="2779" w:firstLine="936"/>
        <w:spacing w:after="0" w:line="234" w:lineRule="auto"/>
        <w:tabs>
          <w:tab w:leader="none" w:pos="1297" w:val="left"/>
        </w:tabs>
        <w:numPr>
          <w:ilvl w:val="1"/>
          <w:numId w:val="2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paid or caused to be paid all other sums payable hereunder by the Company; and</w:t>
      </w:r>
    </w:p>
    <w:p>
      <w:pPr>
        <w:spacing w:after="0" w:line="183" w:lineRule="exact"/>
        <w:rPr>
          <w:rFonts w:ascii="Courier New" w:cs="Courier New" w:eastAsia="Courier New" w:hAnsi="Courier New"/>
          <w:sz w:val="16"/>
          <w:szCs w:val="16"/>
          <w:color w:val="auto"/>
        </w:rPr>
      </w:pPr>
    </w:p>
    <w:p>
      <w:pPr>
        <w:ind w:left="-6" w:right="2879" w:firstLine="936"/>
        <w:spacing w:after="0" w:line="235" w:lineRule="auto"/>
        <w:tabs>
          <w:tab w:leader="none" w:pos="1297" w:val="left"/>
        </w:tabs>
        <w:numPr>
          <w:ilvl w:val="1"/>
          <w:numId w:val="2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delivered to the Trustee an Officers' Certificate and an Opinion of Counsel, each stating that all conditions precedent herein provided for relating to the satisfaction and discharge of this Indenture as to such series have been complied with.</w:t>
      </w:r>
    </w:p>
    <w:p>
      <w:pPr>
        <w:spacing w:after="0" w:line="185" w:lineRule="exact"/>
        <w:rPr>
          <w:rFonts w:ascii="Courier New" w:cs="Courier New" w:eastAsia="Courier New" w:hAnsi="Courier New"/>
          <w:sz w:val="16"/>
          <w:szCs w:val="16"/>
          <w:color w:val="auto"/>
        </w:rPr>
      </w:pPr>
    </w:p>
    <w:p>
      <w:pPr>
        <w:ind w:left="-926" w:right="2779" w:firstLine="926"/>
        <w:spacing w:after="0" w:line="273" w:lineRule="auto"/>
        <w:tabs>
          <w:tab w:leader="none" w:pos="377"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satisfaction and discharge of this Indenture, the obligations of the Company to the Trustee and any predecessor Trustee under Section 606, the obligations of the Company to any Authenticating Agent under Section 611 if money shall have been deposited with the Trustee pursuant to clause (1) of Subsection 401(a), the obligations of the Trustee under Section 402 and Subsection 1003(d) and the obligations of the Company and the Trustee with respect to Securities of such series under Sections 305, 306, 1002 and 1005, with respect to the payment of Additional Amounts, if any, with respect to any rights of Holders to require the Company to repay such Securities as contemplated by Section 1301 and with respect to any rights of Holders to convert or exchange such Securities into other Securities, shall survive such</w:t>
      </w:r>
    </w:p>
    <w:p>
      <w:pPr>
        <w:spacing w:after="0" w:line="200" w:lineRule="exact"/>
        <w:rPr>
          <w:sz w:val="20"/>
          <w:szCs w:val="20"/>
          <w:color w:val="auto"/>
        </w:rPr>
      </w:pPr>
    </w:p>
    <w:p>
      <w:pPr>
        <w:spacing w:after="0" w:line="315" w:lineRule="exact"/>
        <w:rPr>
          <w:sz w:val="20"/>
          <w:szCs w:val="20"/>
          <w:color w:val="auto"/>
        </w:rPr>
      </w:pPr>
    </w:p>
    <w:p>
      <w:pPr>
        <w:ind w:left="2694"/>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9294"/>
          </w:cols>
          <w:pgMar w:left="1166" w:top="655" w:right="1440" w:bottom="1440" w:gutter="0" w:footer="0" w:header="0"/>
        </w:sectPr>
      </w:pPr>
    </w:p>
    <w:bookmarkStart w:id="225" w:name="page226"/>
    <w:bookmarkEnd w:id="225"/>
    <w:p>
      <w:pPr>
        <w:ind w:right="2879"/>
        <w:spacing w:after="0" w:line="234" w:lineRule="auto"/>
        <w:rPr>
          <w:sz w:val="20"/>
          <w:szCs w:val="20"/>
          <w:color w:val="auto"/>
        </w:rPr>
      </w:pPr>
      <w:r>
        <w:rPr>
          <w:rFonts w:ascii="Courier New" w:cs="Courier New" w:eastAsia="Courier New" w:hAnsi="Courier New"/>
          <w:sz w:val="16"/>
          <w:szCs w:val="16"/>
          <w:color w:val="auto"/>
        </w:rPr>
        <w:t>satisfaction and discharge. These obligations shall continue to be governed and construed in accordance with Section 111.</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402. Application of Trust Funds.</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879" w:firstLine="930"/>
        <w:spacing w:after="0" w:line="236" w:lineRule="auto"/>
        <w:rPr>
          <w:sz w:val="20"/>
          <w:szCs w:val="20"/>
          <w:color w:val="auto"/>
        </w:rPr>
      </w:pPr>
      <w:r>
        <w:rPr>
          <w:rFonts w:ascii="Courier New" w:cs="Courier New" w:eastAsia="Courier New" w:hAnsi="Courier New"/>
          <w:sz w:val="16"/>
          <w:szCs w:val="16"/>
          <w:color w:val="auto"/>
        </w:rPr>
        <w:t>Subject to the provisions of Subsection 1003(d), all money deposited with the Trustee pursuant to Section 401 shall be held in trust and applied by it, in accordance with the provisions of the Securities, the coupons and this Indenture, to the payment, either directly or through any Paying Agent (including the Company acting as its own Paying Agent) as the Trustee may determine, to the Persons entitled thereto, of the principal (and premium, if any) and interest, if any, for whose payment such money has been deposited with or received by the Trustee, but such money need not be segregated from other funds except to the extent required by law.</w:t>
      </w:r>
    </w:p>
    <w:p>
      <w:pPr>
        <w:spacing w:after="0" w:line="179"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ARTICLE FIVE</w:t>
      </w:r>
    </w:p>
    <w:p>
      <w:pPr>
        <w:jc w:val="center"/>
        <w:ind w:right="2779"/>
        <w:spacing w:after="0" w:line="236" w:lineRule="auto"/>
        <w:rPr>
          <w:sz w:val="20"/>
          <w:szCs w:val="20"/>
          <w:color w:val="auto"/>
        </w:rPr>
      </w:pPr>
      <w:r>
        <w:rPr>
          <w:rFonts w:ascii="Courier New" w:cs="Courier New" w:eastAsia="Courier New" w:hAnsi="Courier New"/>
          <w:sz w:val="16"/>
          <w:szCs w:val="16"/>
          <w:color w:val="auto"/>
        </w:rPr>
        <w:t>REMEDIES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501. Events of Default.</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959" w:firstLine="926"/>
        <w:spacing w:after="0" w:line="236" w:lineRule="auto"/>
        <w:tabs>
          <w:tab w:leader="none" w:pos="1302" w:val="left"/>
        </w:tabs>
        <w:numPr>
          <w:ilvl w:val="0"/>
          <w:numId w:val="2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"Event of Default", wherever used herein with respect to any particular series of Securities, means any one of the following events as such events may be otherwise amended in accordance with Section 301 (whatever the reason for such Event of Default and whether or not it shall be voluntary or involuntary or be effected by operation of law or pursuant to any judgment, decree or order of any court or any order, rule or regulation of any administrative or governmental body):</w:t>
      </w:r>
    </w:p>
    <w:p>
      <w:pPr>
        <w:spacing w:after="0" w:line="183" w:lineRule="exact"/>
        <w:rPr>
          <w:rFonts w:ascii="Courier New" w:cs="Courier New" w:eastAsia="Courier New" w:hAnsi="Courier New"/>
          <w:sz w:val="16"/>
          <w:szCs w:val="16"/>
          <w:color w:val="auto"/>
        </w:rPr>
      </w:pPr>
    </w:p>
    <w:p>
      <w:pPr>
        <w:ind w:left="920" w:right="2879" w:firstLine="936"/>
        <w:spacing w:after="0" w:line="235" w:lineRule="auto"/>
        <w:tabs>
          <w:tab w:leader="none" w:pos="2222" w:val="left"/>
        </w:tabs>
        <w:numPr>
          <w:ilvl w:val="1"/>
          <w:numId w:val="2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payment of any interest upon, or any Additional Amount payable in respect of, any Security of that series or of any coupon appertaining thereto, when such interest or coupon becomes due and payable, and continuance of such default for a period of 30 days; or</w:t>
      </w:r>
    </w:p>
    <w:p>
      <w:pPr>
        <w:spacing w:after="0" w:line="185" w:lineRule="exact"/>
        <w:rPr>
          <w:rFonts w:ascii="Courier New" w:cs="Courier New" w:eastAsia="Courier New" w:hAnsi="Courier New"/>
          <w:sz w:val="16"/>
          <w:szCs w:val="16"/>
          <w:color w:val="auto"/>
        </w:rPr>
      </w:pPr>
    </w:p>
    <w:p>
      <w:pPr>
        <w:ind w:left="920" w:right="2879" w:firstLine="936"/>
        <w:spacing w:after="0" w:line="295" w:lineRule="auto"/>
        <w:tabs>
          <w:tab w:leader="none" w:pos="2222" w:val="left"/>
        </w:tabs>
        <w:numPr>
          <w:ilvl w:val="1"/>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the payment of the principal of (or premium, if any, on) any Security of that series at its Maturity; or</w:t>
      </w:r>
    </w:p>
    <w:p>
      <w:pPr>
        <w:spacing w:after="0" w:line="146" w:lineRule="exact"/>
        <w:rPr>
          <w:rFonts w:ascii="Courier New" w:cs="Courier New" w:eastAsia="Courier New" w:hAnsi="Courier New"/>
          <w:sz w:val="14"/>
          <w:szCs w:val="14"/>
          <w:color w:val="auto"/>
        </w:rPr>
      </w:pPr>
    </w:p>
    <w:p>
      <w:pPr>
        <w:ind w:left="920" w:right="2779" w:firstLine="936"/>
        <w:spacing w:after="0" w:line="234" w:lineRule="auto"/>
        <w:tabs>
          <w:tab w:leader="none" w:pos="2222" w:val="left"/>
        </w:tabs>
        <w:numPr>
          <w:ilvl w:val="1"/>
          <w:numId w:val="2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deposit of any sinking fund payment, when and as due by the terms of any Security of that series; or</w:t>
      </w:r>
    </w:p>
    <w:p>
      <w:pPr>
        <w:spacing w:after="0" w:line="183" w:lineRule="exact"/>
        <w:rPr>
          <w:rFonts w:ascii="Courier New" w:cs="Courier New" w:eastAsia="Courier New" w:hAnsi="Courier New"/>
          <w:sz w:val="16"/>
          <w:szCs w:val="16"/>
          <w:color w:val="auto"/>
        </w:rPr>
      </w:pPr>
    </w:p>
    <w:p>
      <w:pPr>
        <w:ind w:left="920" w:right="2779" w:firstLine="936"/>
        <w:spacing w:after="0" w:line="273" w:lineRule="auto"/>
        <w:tabs>
          <w:tab w:leader="none" w:pos="2222" w:val="left"/>
        </w:tabs>
        <w:numPr>
          <w:ilvl w:val="1"/>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the performance, or breach, of any covenant or agreement of the Company in this Indenture with respect to any Security of that series (other than a covenant or agreement a default in whose performance or whose breach is elsewhere in this Section specifically dealt with), and continuance of such default or breach for a period of 60 days after there has been given, by registered or certified mail, to the Company by the Trustee or to the Company and the Trustee by the Holders of at least 25% in principal amount of the Outstanding Securities of that series a written notice specifying such</w:t>
      </w: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10219"/>
          </w:cols>
          <w:pgMar w:left="240" w:top="654" w:right="1440" w:bottom="1440" w:gutter="0" w:footer="0" w:header="0"/>
        </w:sectPr>
      </w:pPr>
    </w:p>
    <w:bookmarkStart w:id="226" w:name="page227"/>
    <w:bookmarkEnd w:id="226"/>
    <w:p>
      <w:pPr>
        <w:ind w:left="460" w:right="3159"/>
        <w:spacing w:after="0" w:line="234" w:lineRule="auto"/>
        <w:rPr>
          <w:sz w:val="20"/>
          <w:szCs w:val="20"/>
          <w:color w:val="auto"/>
        </w:rPr>
      </w:pPr>
      <w:r>
        <w:rPr>
          <w:rFonts w:ascii="Courier New" w:cs="Courier New" w:eastAsia="Courier New" w:hAnsi="Courier New"/>
          <w:sz w:val="16"/>
          <w:szCs w:val="16"/>
          <w:color w:val="auto"/>
        </w:rPr>
        <w:t>default or breach and requiring it to be remedied and stating that such notice is a "Notice of Default" hereunder; or</w:t>
      </w:r>
    </w:p>
    <w:p>
      <w:pPr>
        <w:spacing w:after="0" w:line="183" w:lineRule="exact"/>
        <w:rPr>
          <w:sz w:val="20"/>
          <w:szCs w:val="20"/>
          <w:color w:val="auto"/>
        </w:rPr>
      </w:pPr>
    </w:p>
    <w:p>
      <w:pPr>
        <w:ind w:left="460" w:right="3159" w:firstLine="936"/>
        <w:spacing w:after="0" w:line="234" w:lineRule="auto"/>
        <w:tabs>
          <w:tab w:leader="none" w:pos="1762" w:val="left"/>
        </w:tabs>
        <w:numPr>
          <w:ilvl w:val="1"/>
          <w:numId w:val="2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pursuant to or within the meaning of any Bankruptcy Law:</w:t>
      </w:r>
    </w:p>
    <w:p>
      <w:pPr>
        <w:spacing w:after="0" w:line="177" w:lineRule="exact"/>
        <w:rPr>
          <w:rFonts w:ascii="Courier New" w:cs="Courier New" w:eastAsia="Courier New" w:hAnsi="Courier New"/>
          <w:sz w:val="16"/>
          <w:szCs w:val="16"/>
          <w:color w:val="auto"/>
        </w:rPr>
      </w:pPr>
    </w:p>
    <w:p>
      <w:pPr>
        <w:ind w:left="2700" w:hanging="374"/>
        <w:spacing w:after="0"/>
        <w:tabs>
          <w:tab w:leader="none" w:pos="2700" w:val="left"/>
        </w:tabs>
        <w:numPr>
          <w:ilvl w:val="2"/>
          <w:numId w:val="2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commences a voluntary case or proceedings,</w:t>
      </w:r>
    </w:p>
    <w:p>
      <w:pPr>
        <w:spacing w:after="0" w:line="182" w:lineRule="exact"/>
        <w:rPr>
          <w:rFonts w:ascii="Courier New" w:cs="Courier New" w:eastAsia="Courier New" w:hAnsi="Courier New"/>
          <w:sz w:val="16"/>
          <w:szCs w:val="16"/>
          <w:color w:val="auto"/>
        </w:rPr>
      </w:pPr>
    </w:p>
    <w:p>
      <w:pPr>
        <w:ind w:left="1400" w:right="2879" w:firstLine="926"/>
        <w:spacing w:after="0" w:line="234" w:lineRule="auto"/>
        <w:tabs>
          <w:tab w:leader="none" w:pos="2795" w:val="left"/>
        </w:tabs>
        <w:numPr>
          <w:ilvl w:val="2"/>
          <w:numId w:val="2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consents to the entry of an order for relief against it in an involuntary case or proceedings,</w:t>
      </w:r>
    </w:p>
    <w:p>
      <w:pPr>
        <w:spacing w:after="0" w:line="183" w:lineRule="exact"/>
        <w:rPr>
          <w:rFonts w:ascii="Courier New" w:cs="Courier New" w:eastAsia="Courier New" w:hAnsi="Courier New"/>
          <w:sz w:val="16"/>
          <w:szCs w:val="16"/>
          <w:color w:val="auto"/>
        </w:rPr>
      </w:pPr>
    </w:p>
    <w:p>
      <w:pPr>
        <w:ind w:left="1400" w:right="2959" w:firstLine="926"/>
        <w:spacing w:after="0" w:line="295" w:lineRule="auto"/>
        <w:tabs>
          <w:tab w:leader="none" w:pos="2888" w:val="left"/>
        </w:tabs>
        <w:numPr>
          <w:ilvl w:val="2"/>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consents to the appointment of a Custodian of it or for all or substantially all of its property,</w:t>
      </w:r>
    </w:p>
    <w:p>
      <w:pPr>
        <w:spacing w:after="0" w:line="146" w:lineRule="exact"/>
        <w:rPr>
          <w:rFonts w:ascii="Courier New" w:cs="Courier New" w:eastAsia="Courier New" w:hAnsi="Courier New"/>
          <w:sz w:val="14"/>
          <w:szCs w:val="14"/>
          <w:color w:val="auto"/>
        </w:rPr>
      </w:pPr>
    </w:p>
    <w:p>
      <w:pPr>
        <w:ind w:left="1400" w:right="2779" w:firstLine="926"/>
        <w:spacing w:after="0" w:line="234" w:lineRule="auto"/>
        <w:tabs>
          <w:tab w:leader="none" w:pos="2795" w:val="left"/>
        </w:tabs>
        <w:numPr>
          <w:ilvl w:val="2"/>
          <w:numId w:val="2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makes a general assignment for the benefit of its creditors, or</w:t>
      </w:r>
    </w:p>
    <w:p>
      <w:pPr>
        <w:spacing w:after="0" w:line="183" w:lineRule="exact"/>
        <w:rPr>
          <w:rFonts w:ascii="Courier New" w:cs="Courier New" w:eastAsia="Courier New" w:hAnsi="Courier New"/>
          <w:sz w:val="16"/>
          <w:szCs w:val="16"/>
          <w:color w:val="auto"/>
        </w:rPr>
      </w:pPr>
    </w:p>
    <w:p>
      <w:pPr>
        <w:ind w:left="1400" w:right="2879" w:firstLine="926"/>
        <w:spacing w:after="0" w:line="295" w:lineRule="auto"/>
        <w:tabs>
          <w:tab w:leader="none" w:pos="2702" w:val="left"/>
        </w:tabs>
        <w:numPr>
          <w:ilvl w:val="2"/>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issues a public announcement admitting its inability to pay its debts generally as they become due; or</w:t>
      </w:r>
    </w:p>
    <w:p>
      <w:pPr>
        <w:spacing w:after="0" w:line="146" w:lineRule="exact"/>
        <w:rPr>
          <w:rFonts w:ascii="Courier New" w:cs="Courier New" w:eastAsia="Courier New" w:hAnsi="Courier New"/>
          <w:sz w:val="14"/>
          <w:szCs w:val="14"/>
          <w:color w:val="auto"/>
        </w:rPr>
      </w:pPr>
    </w:p>
    <w:p>
      <w:pPr>
        <w:ind w:left="460" w:right="3159" w:firstLine="936"/>
        <w:spacing w:after="0" w:line="234" w:lineRule="auto"/>
        <w:tabs>
          <w:tab w:leader="none" w:pos="1762" w:val="left"/>
        </w:tabs>
        <w:numPr>
          <w:ilvl w:val="1"/>
          <w:numId w:val="2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court of competent jurisdiction enters an order or decree under any Bankruptcy Law that:</w:t>
      </w:r>
    </w:p>
    <w:p>
      <w:pPr>
        <w:spacing w:after="0" w:line="183" w:lineRule="exact"/>
        <w:rPr>
          <w:rFonts w:ascii="Courier New" w:cs="Courier New" w:eastAsia="Courier New" w:hAnsi="Courier New"/>
          <w:sz w:val="16"/>
          <w:szCs w:val="16"/>
          <w:color w:val="auto"/>
        </w:rPr>
      </w:pPr>
    </w:p>
    <w:p>
      <w:pPr>
        <w:ind w:left="1400" w:right="3439" w:firstLine="926"/>
        <w:spacing w:after="0" w:line="234" w:lineRule="auto"/>
        <w:tabs>
          <w:tab w:leader="none" w:pos="2702" w:val="left"/>
        </w:tabs>
        <w:numPr>
          <w:ilvl w:val="2"/>
          <w:numId w:val="2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for relief against the Company in an involuntary case,</w:t>
      </w:r>
    </w:p>
    <w:p>
      <w:pPr>
        <w:spacing w:after="0" w:line="183" w:lineRule="exact"/>
        <w:rPr>
          <w:rFonts w:ascii="Courier New" w:cs="Courier New" w:eastAsia="Courier New" w:hAnsi="Courier New"/>
          <w:sz w:val="16"/>
          <w:szCs w:val="16"/>
          <w:color w:val="auto"/>
        </w:rPr>
      </w:pPr>
    </w:p>
    <w:p>
      <w:pPr>
        <w:ind w:left="1400" w:right="3059" w:firstLine="926"/>
        <w:spacing w:after="0" w:line="234" w:lineRule="auto"/>
        <w:tabs>
          <w:tab w:leader="none" w:pos="2795" w:val="left"/>
        </w:tabs>
        <w:numPr>
          <w:ilvl w:val="2"/>
          <w:numId w:val="2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appoints a Custodian of the Company or for all or substantially all of its property, or</w:t>
      </w:r>
    </w:p>
    <w:p>
      <w:pPr>
        <w:spacing w:after="0" w:line="183" w:lineRule="exact"/>
        <w:rPr>
          <w:rFonts w:ascii="Courier New" w:cs="Courier New" w:eastAsia="Courier New" w:hAnsi="Courier New"/>
          <w:sz w:val="16"/>
          <w:szCs w:val="16"/>
          <w:color w:val="auto"/>
        </w:rPr>
      </w:pPr>
    </w:p>
    <w:p>
      <w:pPr>
        <w:ind w:left="2880" w:hanging="554"/>
        <w:spacing w:after="0"/>
        <w:tabs>
          <w:tab w:leader="none" w:pos="2880" w:val="left"/>
        </w:tabs>
        <w:numPr>
          <w:ilvl w:val="2"/>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orders the winding-up or liquidation of the</w:t>
      </w:r>
    </w:p>
    <w:p>
      <w:pPr>
        <w:spacing w:after="0" w:line="16" w:lineRule="exact"/>
        <w:rPr>
          <w:rFonts w:ascii="Courier New" w:cs="Courier New" w:eastAsia="Courier New" w:hAnsi="Courier New"/>
          <w:sz w:val="14"/>
          <w:szCs w:val="14"/>
          <w:color w:val="auto"/>
        </w:rPr>
      </w:pPr>
    </w:p>
    <w:p>
      <w:pPr>
        <w:ind w:left="140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Company.</w:t>
      </w:r>
    </w:p>
    <w:p>
      <w:pPr>
        <w:spacing w:after="0" w:line="183" w:lineRule="exact"/>
        <w:rPr>
          <w:rFonts w:ascii="Courier New" w:cs="Courier New" w:eastAsia="Courier New" w:hAnsi="Courier New"/>
          <w:sz w:val="14"/>
          <w:szCs w:val="14"/>
          <w:color w:val="auto"/>
        </w:rPr>
      </w:pPr>
    </w:p>
    <w:p>
      <w:pPr>
        <w:ind w:left="1400" w:right="2879" w:firstLine="926"/>
        <w:spacing w:after="0" w:line="234" w:lineRule="auto"/>
        <w:tabs>
          <w:tab w:leader="none" w:pos="2795" w:val="left"/>
        </w:tabs>
        <w:numPr>
          <w:ilvl w:val="2"/>
          <w:numId w:val="2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the order or decree remains unstayed and in effect for 90 days; or</w:t>
      </w:r>
    </w:p>
    <w:p>
      <w:pPr>
        <w:spacing w:after="0" w:line="183" w:lineRule="exact"/>
        <w:rPr>
          <w:rFonts w:ascii="Courier New" w:cs="Courier New" w:eastAsia="Courier New" w:hAnsi="Courier New"/>
          <w:sz w:val="16"/>
          <w:szCs w:val="16"/>
          <w:color w:val="auto"/>
        </w:rPr>
      </w:pPr>
    </w:p>
    <w:p>
      <w:pPr>
        <w:ind w:left="460" w:right="3239" w:firstLine="936"/>
        <w:spacing w:after="0" w:line="234" w:lineRule="auto"/>
        <w:tabs>
          <w:tab w:leader="none" w:pos="1762" w:val="left"/>
        </w:tabs>
        <w:numPr>
          <w:ilvl w:val="1"/>
          <w:numId w:val="2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Event of Default provided with respect to Securities of that series.</w:t>
      </w:r>
    </w:p>
    <w:p>
      <w:pPr>
        <w:spacing w:after="0" w:line="183" w:lineRule="exact"/>
        <w:rPr>
          <w:rFonts w:ascii="Courier New" w:cs="Courier New" w:eastAsia="Courier New" w:hAnsi="Courier New"/>
          <w:sz w:val="16"/>
          <w:szCs w:val="16"/>
          <w:color w:val="auto"/>
        </w:rPr>
      </w:pPr>
    </w:p>
    <w:p>
      <w:pPr>
        <w:ind w:left="-460" w:right="2959" w:firstLine="926"/>
        <w:spacing w:after="0" w:line="279" w:lineRule="auto"/>
        <w:tabs>
          <w:tab w:leader="none" w:pos="842"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"Bankruptcy Law" means title 11, U.S. Code, as amended from time to time, or any similar foreign, Federal or State law for the relief of debtors. The term "Custodian" means any custodian, receiver, trustee, assignee, liquidator or other similar official under any Bankruptcy Law.</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502. Acceleration of Maturity; Rescission and Annulment.</w:t>
      </w:r>
    </w:p>
    <w:p>
      <w:pPr>
        <w:ind w:left="120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460" w:right="2959" w:firstLine="926"/>
        <w:spacing w:after="0" w:line="279" w:lineRule="auto"/>
        <w:tabs>
          <w:tab w:leader="none" w:pos="842"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 Event of Default (other than an Event of Default specified in clauses (5) and (6) of Subsection 501(a) with respect to the Company) with respect to Securities of any series at the time Outstanding occurs and is continuing, then and in every such case the Trustee or the Holders of not less</w:t>
      </w:r>
    </w:p>
    <w:p>
      <w:pPr>
        <w:spacing w:after="0" w:line="330"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48</w:t>
      </w:r>
    </w:p>
    <w:p>
      <w:pPr>
        <w:sectPr>
          <w:pgSz w:w="11900" w:h="16838" w:orient="portrait"/>
          <w:cols w:equalWidth="0" w:num="1">
            <w:col w:w="9759"/>
          </w:cols>
          <w:pgMar w:left="700" w:top="654" w:right="1440" w:bottom="1440" w:gutter="0" w:footer="0" w:header="0"/>
        </w:sectPr>
      </w:pPr>
    </w:p>
    <w:bookmarkStart w:id="227" w:name="page228"/>
    <w:bookmarkEnd w:id="227"/>
    <w:p>
      <w:pPr>
        <w:ind w:right="2779"/>
        <w:spacing w:after="0" w:line="272" w:lineRule="auto"/>
        <w:rPr>
          <w:sz w:val="20"/>
          <w:szCs w:val="20"/>
          <w:color w:val="auto"/>
        </w:rPr>
      </w:pPr>
      <w:r>
        <w:rPr>
          <w:rFonts w:ascii="Courier New" w:cs="Courier New" w:eastAsia="Courier New" w:hAnsi="Courier New"/>
          <w:sz w:val="14"/>
          <w:szCs w:val="14"/>
          <w:color w:val="auto"/>
        </w:rPr>
        <w:t>than 25% in principal amount of the Outstanding Securities of that series may declare the principal (or, if any Securities are Original Issue Discount Securities or Indexed Securities, such portion of the principal amount as may be specified in the terms of that series) plus accrued and unpaid interest of all the Securities of that series to be due and payable immediately, by a notice in writing to the Company (and to the Trustee if given by the Holders), and upon any such declaration such principal amount plus accrued and unpaid interests or specified portion thereof shall become immediately due and payable. If an Event of Default specified in clauses (5) and (6) of Subsection 501(a) with respect to the Company occurs, the amounts described above with respect to the Outstanding Securities of all series shall ipso facto become and be immediately due and payable without any declaration or other act on the part of the Trustee or any Holder. Upon payment of such principal and interest, all of the Company's obligations under the Securities of such Series and this Indenture, other than obligations under Section 606, shall terminate.</w:t>
      </w:r>
    </w:p>
    <w:p>
      <w:pPr>
        <w:spacing w:after="0" w:line="346" w:lineRule="exact"/>
        <w:rPr>
          <w:sz w:val="20"/>
          <w:szCs w:val="20"/>
          <w:color w:val="auto"/>
        </w:rPr>
      </w:pPr>
    </w:p>
    <w:p>
      <w:pPr>
        <w:ind w:right="2879" w:firstLine="926"/>
        <w:spacing w:after="0" w:line="275" w:lineRule="auto"/>
        <w:tabs>
          <w:tab w:leader="none" w:pos="1302" w:val="left"/>
        </w:tabs>
        <w:numPr>
          <w:ilvl w:val="0"/>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after such a declaration of acceleration with respect to Securities of any series has been made and before a judgment or decree for payment of the money due has been obtained by the Trustee as hereinafter provided in this Article, the Holders of a majority in principal amount of the Outstanding Securities of that series, by written notice to the Company and the Trustee, may rescind and annul such declaration and its consequences if:</w:t>
      </w:r>
    </w:p>
    <w:p>
      <w:pPr>
        <w:spacing w:after="0" w:line="161" w:lineRule="exact"/>
        <w:rPr>
          <w:rFonts w:ascii="Courier New" w:cs="Courier New" w:eastAsia="Courier New" w:hAnsi="Courier New"/>
          <w:sz w:val="14"/>
          <w:szCs w:val="14"/>
          <w:color w:val="auto"/>
        </w:rPr>
      </w:pPr>
    </w:p>
    <w:p>
      <w:pPr>
        <w:ind w:left="920" w:right="2779" w:firstLine="936"/>
        <w:spacing w:after="0" w:line="235" w:lineRule="auto"/>
        <w:tabs>
          <w:tab w:leader="none" w:pos="2222" w:val="left"/>
        </w:tabs>
        <w:numPr>
          <w:ilvl w:val="1"/>
          <w:numId w:val="2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paid or deposited with the Trustee a sum sufficient in cash to pay all principal, interest and Additional Amounts which have become due other than by such declaration of acceleration, interest or any such overdue amounts, and amounts owing the Trustee;</w:t>
      </w:r>
    </w:p>
    <w:p>
      <w:pPr>
        <w:spacing w:after="0" w:line="185" w:lineRule="exact"/>
        <w:rPr>
          <w:rFonts w:ascii="Courier New" w:cs="Courier New" w:eastAsia="Courier New" w:hAnsi="Courier New"/>
          <w:sz w:val="16"/>
          <w:szCs w:val="16"/>
          <w:color w:val="auto"/>
        </w:rPr>
      </w:pPr>
    </w:p>
    <w:p>
      <w:pPr>
        <w:ind w:left="920" w:right="2779" w:firstLine="936"/>
        <w:spacing w:after="0" w:line="235" w:lineRule="auto"/>
        <w:tabs>
          <w:tab w:leader="none" w:pos="2222" w:val="left"/>
        </w:tabs>
        <w:numPr>
          <w:ilvl w:val="1"/>
          <w:numId w:val="2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Events of Default with respect to Securities of that series, other than the nonpayment of the principal of (or premium, if any) or interest on Securities of that series which have become due solely by such declaration of acceleration, have been cured or waived as provided in Section 514; and</w:t>
      </w:r>
    </w:p>
    <w:p>
      <w:pPr>
        <w:spacing w:after="0" w:line="185" w:lineRule="exact"/>
        <w:rPr>
          <w:rFonts w:ascii="Courier New" w:cs="Courier New" w:eastAsia="Courier New" w:hAnsi="Courier New"/>
          <w:sz w:val="16"/>
          <w:szCs w:val="16"/>
          <w:color w:val="auto"/>
        </w:rPr>
      </w:pPr>
    </w:p>
    <w:p>
      <w:pPr>
        <w:ind w:left="920" w:right="2879" w:firstLine="936"/>
        <w:spacing w:after="0" w:line="234" w:lineRule="auto"/>
        <w:tabs>
          <w:tab w:leader="none" w:pos="2222" w:val="left"/>
        </w:tabs>
        <w:numPr>
          <w:ilvl w:val="1"/>
          <w:numId w:val="2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rescission would not conflict with any judgment or decree of a court of competent jurisdiction.</w:t>
      </w:r>
    </w:p>
    <w:p>
      <w:pPr>
        <w:spacing w:after="0" w:line="183" w:lineRule="exact"/>
        <w:rPr>
          <w:sz w:val="20"/>
          <w:szCs w:val="20"/>
          <w:color w:val="auto"/>
        </w:rPr>
      </w:pPr>
    </w:p>
    <w:p>
      <w:pPr>
        <w:ind w:right="2959" w:firstLine="930"/>
        <w:spacing w:after="0" w:line="234" w:lineRule="auto"/>
        <w:rPr>
          <w:sz w:val="20"/>
          <w:szCs w:val="20"/>
          <w:color w:val="auto"/>
        </w:rPr>
      </w:pPr>
      <w:r>
        <w:rPr>
          <w:rFonts w:ascii="Courier New" w:cs="Courier New" w:eastAsia="Courier New" w:hAnsi="Courier New"/>
          <w:sz w:val="16"/>
          <w:szCs w:val="16"/>
          <w:color w:val="auto"/>
        </w:rPr>
        <w:t>No such rescission shall affect any subsequent default or impair any right consequent thereon.</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503. Collection of Indebtedness and Suits for Enforcement</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ind w:left="1660"/>
        <w:spacing w:after="0" w:line="237" w:lineRule="auto"/>
        <w:rPr>
          <w:sz w:val="20"/>
          <w:szCs w:val="20"/>
          <w:color w:val="auto"/>
        </w:rPr>
      </w:pPr>
      <w:r>
        <w:rPr>
          <w:rFonts w:ascii="Courier New" w:cs="Courier New" w:eastAsia="Courier New" w:hAnsi="Courier New"/>
          <w:sz w:val="16"/>
          <w:szCs w:val="16"/>
          <w:color w:val="auto"/>
        </w:rPr>
        <w:t>by Trustee.</w:t>
      </w:r>
    </w:p>
    <w:p>
      <w:pPr>
        <w:ind w:left="1660"/>
        <w:spacing w:after="0" w:line="237"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1300" w:hanging="374"/>
        <w:spacing w:after="0"/>
        <w:tabs>
          <w:tab w:leader="none" w:pos="1300" w:val="left"/>
        </w:tabs>
        <w:numPr>
          <w:ilvl w:val="0"/>
          <w:numId w:val="2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covenants that if:</w:t>
      </w:r>
    </w:p>
    <w:p>
      <w:pPr>
        <w:spacing w:after="0" w:line="182" w:lineRule="exact"/>
        <w:rPr>
          <w:rFonts w:ascii="Courier New" w:cs="Courier New" w:eastAsia="Courier New" w:hAnsi="Courier New"/>
          <w:sz w:val="16"/>
          <w:szCs w:val="16"/>
          <w:color w:val="auto"/>
        </w:rPr>
      </w:pPr>
    </w:p>
    <w:p>
      <w:pPr>
        <w:ind w:left="920" w:right="2959" w:firstLine="936"/>
        <w:spacing w:after="0" w:line="279" w:lineRule="auto"/>
        <w:tabs>
          <w:tab w:leader="none" w:pos="2222" w:val="left"/>
        </w:tabs>
        <w:numPr>
          <w:ilvl w:val="1"/>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is made in the payment of any installment of interest or Additional Amounts on any Security of any series and any related coupon when such interest or Additional Amounts becomes due and payable and such default continues for a period of 30 days, or</w:t>
      </w:r>
    </w:p>
    <w:p>
      <w:pPr>
        <w:spacing w:after="0" w:line="33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49</w:t>
      </w:r>
    </w:p>
    <w:p>
      <w:pPr>
        <w:sectPr>
          <w:pgSz w:w="11900" w:h="16838" w:orient="portrait"/>
          <w:cols w:equalWidth="0" w:num="1">
            <w:col w:w="10219"/>
          </w:cols>
          <w:pgMar w:left="240" w:top="655" w:right="1440" w:bottom="1440" w:gutter="0" w:footer="0" w:header="0"/>
        </w:sectPr>
      </w:pPr>
    </w:p>
    <w:bookmarkStart w:id="228" w:name="page229"/>
    <w:bookmarkEnd w:id="228"/>
    <w:p>
      <w:pPr>
        <w:ind w:left="920" w:right="2959" w:firstLine="936"/>
        <w:spacing w:after="0" w:line="295" w:lineRule="auto"/>
        <w:tabs>
          <w:tab w:leader="none" w:pos="2222"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is made in the payment of the principal of (or premium, if any, on) any Security of any series at its Maturity,</w:t>
      </w:r>
    </w:p>
    <w:p>
      <w:pPr>
        <w:spacing w:after="0" w:line="147" w:lineRule="exact"/>
        <w:rPr>
          <w:sz w:val="20"/>
          <w:szCs w:val="20"/>
          <w:color w:val="auto"/>
        </w:rPr>
      </w:pPr>
    </w:p>
    <w:p>
      <w:pPr>
        <w:ind w:right="2879"/>
        <w:spacing w:after="0" w:line="273" w:lineRule="auto"/>
        <w:rPr>
          <w:sz w:val="20"/>
          <w:szCs w:val="20"/>
          <w:color w:val="auto"/>
        </w:rPr>
      </w:pPr>
      <w:r>
        <w:rPr>
          <w:rFonts w:ascii="Courier New" w:cs="Courier New" w:eastAsia="Courier New" w:hAnsi="Courier New"/>
          <w:sz w:val="14"/>
          <w:szCs w:val="14"/>
          <w:color w:val="auto"/>
        </w:rPr>
        <w:t>then the Company will, upon demand of the Trustee, pay to the Trustee, for the benefit of the Holders of Securities of such series and coupons, the whole amount then due and payable on such Securities and coupons for principal (and premium, if any) and interest, if any, with interest upon any overdue principal (and premium, if any) and, to the extent that payment of such interest shall be legally enforceable, upon any overdue installments of interest, if any, at the rate or rates borne by or provided 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64" w:lineRule="exact"/>
        <w:rPr>
          <w:sz w:val="20"/>
          <w:szCs w:val="20"/>
          <w:color w:val="auto"/>
        </w:rPr>
      </w:pPr>
    </w:p>
    <w:p>
      <w:pPr>
        <w:ind w:right="2959" w:firstLine="926"/>
        <w:spacing w:after="0" w:line="236" w:lineRule="auto"/>
        <w:tabs>
          <w:tab w:leader="none" w:pos="1302" w:val="left"/>
        </w:tabs>
        <w:numPr>
          <w:ilvl w:val="0"/>
          <w:numId w:val="2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Company fails to pay such amounts forthwith upon such demand, the Trustee, in its own name and as trustee of an express trust, may institute a judicial proceeding for the collection of the sums so due and unpaid, and may prosecute such proceeding to judgment or final decree, and may enforce the same against the Company or any other obligor upon Securities of such series and collect the moneys adjudged or decreed to be payable in the manner provided by law out of the property of the Company or any other obligor upon such Securities of such series, wherever situated.</w:t>
      </w:r>
    </w:p>
    <w:p>
      <w:pPr>
        <w:spacing w:after="0" w:line="184" w:lineRule="exact"/>
        <w:rPr>
          <w:rFonts w:ascii="Courier New" w:cs="Courier New" w:eastAsia="Courier New" w:hAnsi="Courier New"/>
          <w:sz w:val="16"/>
          <w:szCs w:val="16"/>
          <w:color w:val="auto"/>
        </w:rPr>
      </w:pPr>
    </w:p>
    <w:p>
      <w:pPr>
        <w:ind w:right="2779" w:firstLine="926"/>
        <w:spacing w:after="0" w:line="236" w:lineRule="auto"/>
        <w:tabs>
          <w:tab w:leader="none" w:pos="1302" w:val="left"/>
        </w:tabs>
        <w:numPr>
          <w:ilvl w:val="0"/>
          <w:numId w:val="2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 Event of Default with respect to Securities of any series occurs and is continuing, the Trustee may in its discretion proceed to protect and enforce its rights and the rights of the Holders of Securities of such series and any related coupons by such appropriate judicial proceedings as the Trustee shall deem necessary to protect and enforce any such rights, whether for the specific enforcement of any covenant or agreement in this Indenture or in aid of the exercise of any power granted herein, or to enforce any other proper remedy.</w:t>
      </w:r>
    </w:p>
    <w:p>
      <w:pPr>
        <w:spacing w:after="0" w:line="17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504. Trustee May File Proofs of Claim.</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926"/>
        <w:spacing w:after="0" w:line="236" w:lineRule="auto"/>
        <w:tabs>
          <w:tab w:leader="none" w:pos="1302" w:val="left"/>
        </w:tabs>
        <w:numPr>
          <w:ilvl w:val="0"/>
          <w:numId w:val="2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of any series shall then be due and payable as therein expressed or by declaration or otherwise and irrespective of whether the Trustee shall have made any demand on the Company for the payment of any overdue principal, premium, if any, or interest) shall be entitled and empowered, by intervention in such proceeding or otherwise:</w:t>
      </w:r>
    </w:p>
    <w:p>
      <w:pPr>
        <w:spacing w:after="0" w:line="185" w:lineRule="exact"/>
        <w:rPr>
          <w:rFonts w:ascii="Courier New" w:cs="Courier New" w:eastAsia="Courier New" w:hAnsi="Courier New"/>
          <w:sz w:val="16"/>
          <w:szCs w:val="16"/>
          <w:color w:val="auto"/>
        </w:rPr>
      </w:pPr>
    </w:p>
    <w:p>
      <w:pPr>
        <w:ind w:left="920" w:right="2779" w:firstLine="936"/>
        <w:spacing w:after="0" w:line="274" w:lineRule="auto"/>
        <w:tabs>
          <w:tab w:leader="none" w:pos="2222" w:val="left"/>
        </w:tabs>
        <w:numPr>
          <w:ilvl w:val="1"/>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and prove a claim for the whole amount of principal (and premium, if any, or in the case of Original Issue Discount Securities or Indexed Securities, such portion of the principal as may be provided for in the terms thereof) and interest, if any, owing and unpaid in respect of the Securities and to file such other papers or documents as may be necessary or advisable in order to have the claims of the Trustee (including any claim for the reasonable</w:t>
      </w:r>
    </w:p>
    <w:p>
      <w:pPr>
        <w:spacing w:after="0" w:line="33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10219"/>
          </w:cols>
          <w:pgMar w:left="240" w:top="655" w:right="1440" w:bottom="1440" w:gutter="0" w:footer="0" w:header="0"/>
        </w:sectPr>
      </w:pPr>
    </w:p>
    <w:bookmarkStart w:id="229" w:name="page230"/>
    <w:bookmarkEnd w:id="229"/>
    <w:p>
      <w:pPr>
        <w:ind w:left="920" w:right="2779"/>
        <w:spacing w:after="0" w:line="235" w:lineRule="auto"/>
        <w:rPr>
          <w:sz w:val="20"/>
          <w:szCs w:val="20"/>
          <w:color w:val="auto"/>
        </w:rPr>
      </w:pPr>
      <w:r>
        <w:rPr>
          <w:rFonts w:ascii="Courier New" w:cs="Courier New" w:eastAsia="Courier New" w:hAnsi="Courier New"/>
          <w:sz w:val="16"/>
          <w:szCs w:val="16"/>
          <w:color w:val="auto"/>
        </w:rPr>
        <w:t>compensation, expenses, disbursements and advances of the Trustee, its agents and counsel) and of the Holders allowed in such judicial proceeding, and</w:t>
      </w:r>
    </w:p>
    <w:p>
      <w:pPr>
        <w:spacing w:after="0" w:line="183" w:lineRule="exact"/>
        <w:rPr>
          <w:sz w:val="20"/>
          <w:szCs w:val="20"/>
          <w:color w:val="auto"/>
        </w:rPr>
      </w:pPr>
    </w:p>
    <w:p>
      <w:pPr>
        <w:ind w:left="920" w:right="2879" w:firstLine="936"/>
        <w:spacing w:after="0" w:line="295" w:lineRule="auto"/>
        <w:tabs>
          <w:tab w:leader="none" w:pos="2222" w:val="left"/>
        </w:tabs>
        <w:numPr>
          <w:ilvl w:val="0"/>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collect and receive any moneys or other property payable or deliverable on any such claims and to distribute the same;</w:t>
      </w:r>
    </w:p>
    <w:p>
      <w:pPr>
        <w:spacing w:after="0" w:line="147"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606.</w:t>
      </w:r>
    </w:p>
    <w:p>
      <w:pPr>
        <w:spacing w:after="0" w:line="184" w:lineRule="exact"/>
        <w:rPr>
          <w:sz w:val="20"/>
          <w:szCs w:val="20"/>
          <w:color w:val="auto"/>
        </w:rPr>
      </w:pPr>
    </w:p>
    <w:p>
      <w:pPr>
        <w:ind w:right="2779" w:firstLine="926"/>
        <w:spacing w:after="0" w:line="236" w:lineRule="auto"/>
        <w:tabs>
          <w:tab w:leader="none" w:pos="1302" w:val="left"/>
        </w:tabs>
        <w:numPr>
          <w:ilvl w:val="0"/>
          <w:numId w:val="2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Nothing herein contained shall be deemed to authorize the Trustee to authorize or consent to or accept or adopt on behalf of any Holder, any plan of reorganization, arrangement, adjustment or composition affecting the Securities or coupons or the rights of any Holder thereof, or to authorize the Trustee to vote in respect of the claim of any Holder of a Security or coupon in any such proceeding.</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505. Trustee May Enforce Claims Without Possession of Securities</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ind w:left="1660"/>
        <w:spacing w:after="0" w:line="237" w:lineRule="auto"/>
        <w:rPr>
          <w:sz w:val="20"/>
          <w:szCs w:val="20"/>
          <w:color w:val="auto"/>
        </w:rPr>
      </w:pPr>
      <w:r>
        <w:rPr>
          <w:rFonts w:ascii="Courier New" w:cs="Courier New" w:eastAsia="Courier New" w:hAnsi="Courier New"/>
          <w:sz w:val="16"/>
          <w:szCs w:val="16"/>
          <w:color w:val="auto"/>
        </w:rPr>
        <w:t>or Coupons.</w:t>
      </w:r>
    </w:p>
    <w:p>
      <w:pPr>
        <w:ind w:left="1660"/>
        <w:spacing w:after="0" w:line="237"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930"/>
        <w:spacing w:after="0" w:line="236" w:lineRule="auto"/>
        <w:rPr>
          <w:sz w:val="20"/>
          <w:szCs w:val="20"/>
          <w:color w:val="auto"/>
        </w:rPr>
      </w:pPr>
      <w:r>
        <w:rPr>
          <w:rFonts w:ascii="Courier New" w:cs="Courier New" w:eastAsia="Courier New" w:hAnsi="Courier New"/>
          <w:sz w:val="16"/>
          <w:szCs w:val="16"/>
          <w:color w:val="auto"/>
        </w:rPr>
        <w:t>All rights of action and claims under this Indenture or the Securities or coupons may be prosecuted and enforced by the Trustee without the possession of any of the Securities or coupons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and coupons in respect of which such judgment has been recovered.</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506. Application of Money Collected.</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879" w:firstLine="930"/>
        <w:spacing w:after="0" w:line="236" w:lineRule="auto"/>
        <w:rPr>
          <w:sz w:val="20"/>
          <w:szCs w:val="20"/>
          <w:color w:val="auto"/>
        </w:rPr>
      </w:pPr>
      <w:r>
        <w:rPr>
          <w:rFonts w:ascii="Courier New" w:cs="Courier New" w:eastAsia="Courier New" w:hAnsi="Courier New"/>
          <w:sz w:val="16"/>
          <w:szCs w:val="16"/>
          <w:color w:val="auto"/>
        </w:rPr>
        <w:t>Any money collected by the Trustee pursuant to this Article shall be applied in the following order, at the date or dates fixed by the Trustee and, in case of the distribution of such money on account of principal (or premium, if any) or interest, if any, upon presentation of the Securities or coupons, or both, as the case may be, and the notation thereon of the payment if only partially paid and upon surrender thereof if fully paid:</w:t>
      </w:r>
    </w:p>
    <w:p>
      <w:pPr>
        <w:spacing w:after="0" w:line="183" w:lineRule="exact"/>
        <w:rPr>
          <w:sz w:val="20"/>
          <w:szCs w:val="20"/>
          <w:color w:val="auto"/>
        </w:rPr>
      </w:pPr>
    </w:p>
    <w:p>
      <w:pPr>
        <w:ind w:left="920" w:right="2779" w:firstLine="930"/>
        <w:spacing w:after="0" w:line="234" w:lineRule="auto"/>
        <w:rPr>
          <w:sz w:val="20"/>
          <w:szCs w:val="20"/>
          <w:color w:val="auto"/>
        </w:rPr>
      </w:pPr>
      <w:r>
        <w:rPr>
          <w:rFonts w:ascii="Courier New" w:cs="Courier New" w:eastAsia="Courier New" w:hAnsi="Courier New"/>
          <w:sz w:val="16"/>
          <w:szCs w:val="16"/>
          <w:color w:val="auto"/>
        </w:rPr>
        <w:t>First: To the payment of all amounts due the Trustee and any predecessor Trustee under Section 606;</w:t>
      </w:r>
    </w:p>
    <w:p>
      <w:pPr>
        <w:spacing w:after="0" w:line="183" w:lineRule="exact"/>
        <w:rPr>
          <w:sz w:val="20"/>
          <w:szCs w:val="20"/>
          <w:color w:val="auto"/>
        </w:rPr>
      </w:pPr>
    </w:p>
    <w:p>
      <w:pPr>
        <w:ind w:left="920" w:right="2779" w:firstLine="930"/>
        <w:spacing w:after="0" w:line="276" w:lineRule="auto"/>
        <w:rPr>
          <w:sz w:val="20"/>
          <w:szCs w:val="20"/>
          <w:color w:val="auto"/>
        </w:rPr>
      </w:pPr>
      <w:r>
        <w:rPr>
          <w:rFonts w:ascii="Courier New" w:cs="Courier New" w:eastAsia="Courier New" w:hAnsi="Courier New"/>
          <w:sz w:val="14"/>
          <w:szCs w:val="14"/>
          <w:color w:val="auto"/>
        </w:rPr>
        <w:t>Second: To the payment of the amounts then due and unpaid upon the Securities and coupons for principal (and premium, if any) and interest, if any, in respect of which or for the benefit of which such money has been collected, ratably, without preference or priority of any kind, according to the aggregate amounts due and payable on</w:t>
      </w:r>
    </w:p>
    <w:p>
      <w:pPr>
        <w:spacing w:after="0" w:line="33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51</w:t>
      </w:r>
    </w:p>
    <w:p>
      <w:pPr>
        <w:sectPr>
          <w:pgSz w:w="11900" w:h="16838" w:orient="portrait"/>
          <w:cols w:equalWidth="0" w:num="1">
            <w:col w:w="10219"/>
          </w:cols>
          <w:pgMar w:left="240" w:top="655" w:right="1440" w:bottom="1440" w:gutter="0" w:footer="0" w:header="0"/>
        </w:sectPr>
      </w:pPr>
    </w:p>
    <w:bookmarkStart w:id="230" w:name="page231"/>
    <w:bookmarkEnd w:id="230"/>
    <w:p>
      <w:pPr>
        <w:ind w:left="920" w:right="3059"/>
        <w:spacing w:after="0" w:line="234" w:lineRule="auto"/>
        <w:rPr>
          <w:sz w:val="20"/>
          <w:szCs w:val="20"/>
          <w:color w:val="auto"/>
        </w:rPr>
      </w:pPr>
      <w:r>
        <w:rPr>
          <w:rFonts w:ascii="Courier New" w:cs="Courier New" w:eastAsia="Courier New" w:hAnsi="Courier New"/>
          <w:sz w:val="16"/>
          <w:szCs w:val="16"/>
          <w:color w:val="auto"/>
        </w:rPr>
        <w:t>such Securities and coupons for principal (and premium, if any) and interest, if any, respectively; and</w:t>
      </w:r>
    </w:p>
    <w:p>
      <w:pPr>
        <w:spacing w:after="0" w:line="177"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Third: To the payment of the remainder, if any, to the</w:t>
      </w:r>
    </w:p>
    <w:p>
      <w:pPr>
        <w:ind w:left="920"/>
        <w:spacing w:after="0" w:line="236" w:lineRule="auto"/>
        <w:rPr>
          <w:sz w:val="20"/>
          <w:szCs w:val="20"/>
          <w:color w:val="auto"/>
        </w:rPr>
      </w:pPr>
      <w:r>
        <w:rPr>
          <w:rFonts w:ascii="Courier New" w:cs="Courier New" w:eastAsia="Courier New" w:hAnsi="Courier New"/>
          <w:sz w:val="16"/>
          <w:szCs w:val="16"/>
          <w:color w:val="auto"/>
        </w:rPr>
        <w:t>Company.</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507. Limitation on Suits.</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920" w:right="2779" w:firstLine="930"/>
        <w:spacing w:after="0" w:line="279" w:lineRule="auto"/>
        <w:rPr>
          <w:sz w:val="20"/>
          <w:szCs w:val="20"/>
          <w:color w:val="auto"/>
        </w:rPr>
      </w:pPr>
      <w:r>
        <w:rPr>
          <w:rFonts w:ascii="Courier New" w:cs="Courier New" w:eastAsia="Courier New" w:hAnsi="Courier New"/>
          <w:sz w:val="14"/>
          <w:szCs w:val="14"/>
          <w:color w:val="auto"/>
        </w:rPr>
        <w:t>No Holder of any Security of any series or any related coupon shall have any right to institute any proceeding, judicial or otherwise, with respect to this Indenture, or for the appointment of a receiver or trustee, or for any other remedy hereunder, unless:</w:t>
      </w:r>
    </w:p>
    <w:p>
      <w:pPr>
        <w:spacing w:after="0" w:line="157" w:lineRule="exact"/>
        <w:rPr>
          <w:sz w:val="20"/>
          <w:szCs w:val="20"/>
          <w:color w:val="auto"/>
        </w:rPr>
      </w:pPr>
    </w:p>
    <w:p>
      <w:pPr>
        <w:ind w:right="2879" w:firstLine="926"/>
        <w:spacing w:after="0" w:line="295" w:lineRule="auto"/>
        <w:tabs>
          <w:tab w:leader="none" w:pos="1302"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Holder has previously given written notice to the Trustee of a continuing Event of Default with respect to the Securities of that series;</w:t>
      </w:r>
    </w:p>
    <w:p>
      <w:pPr>
        <w:spacing w:after="0" w:line="146" w:lineRule="exact"/>
        <w:rPr>
          <w:rFonts w:ascii="Courier New" w:cs="Courier New" w:eastAsia="Courier New" w:hAnsi="Courier New"/>
          <w:sz w:val="14"/>
          <w:szCs w:val="14"/>
          <w:color w:val="auto"/>
        </w:rPr>
      </w:pPr>
    </w:p>
    <w:p>
      <w:pPr>
        <w:ind w:right="2879" w:firstLine="926"/>
        <w:spacing w:after="0" w:line="235" w:lineRule="auto"/>
        <w:tabs>
          <w:tab w:leader="none" w:pos="1302" w:val="left"/>
        </w:tabs>
        <w:numPr>
          <w:ilvl w:val="0"/>
          <w:numId w:val="2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84" w:lineRule="exact"/>
        <w:rPr>
          <w:rFonts w:ascii="Courier New" w:cs="Courier New" w:eastAsia="Courier New" w:hAnsi="Courier New"/>
          <w:sz w:val="16"/>
          <w:szCs w:val="16"/>
          <w:color w:val="auto"/>
        </w:rPr>
      </w:pPr>
    </w:p>
    <w:p>
      <w:pPr>
        <w:ind w:right="2959" w:firstLine="926"/>
        <w:spacing w:after="0" w:line="235" w:lineRule="auto"/>
        <w:tabs>
          <w:tab w:leader="none" w:pos="1302" w:val="left"/>
        </w:tabs>
        <w:numPr>
          <w:ilvl w:val="0"/>
          <w:numId w:val="2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Holder or Holders have offered to the Trustee reasonable indemnity satisfactory to it against the costs, expenses and liabilities to be incurred in compliance with such request;</w:t>
      </w:r>
    </w:p>
    <w:p>
      <w:pPr>
        <w:spacing w:after="0" w:line="183" w:lineRule="exact"/>
        <w:rPr>
          <w:rFonts w:ascii="Courier New" w:cs="Courier New" w:eastAsia="Courier New" w:hAnsi="Courier New"/>
          <w:sz w:val="16"/>
          <w:szCs w:val="16"/>
          <w:color w:val="auto"/>
        </w:rPr>
      </w:pPr>
    </w:p>
    <w:p>
      <w:pPr>
        <w:ind w:right="2879" w:firstLine="926"/>
        <w:spacing w:after="0" w:line="295" w:lineRule="auto"/>
        <w:tabs>
          <w:tab w:leader="none" w:pos="1302"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for 60 days after its receipt of such notice, request and offer of indemnity has failed to institute any such proceeding; and</w:t>
      </w:r>
    </w:p>
    <w:p>
      <w:pPr>
        <w:spacing w:after="0" w:line="146" w:lineRule="exact"/>
        <w:rPr>
          <w:rFonts w:ascii="Courier New" w:cs="Courier New" w:eastAsia="Courier New" w:hAnsi="Courier New"/>
          <w:sz w:val="14"/>
          <w:szCs w:val="14"/>
          <w:color w:val="auto"/>
        </w:rPr>
      </w:pPr>
    </w:p>
    <w:p>
      <w:pPr>
        <w:ind w:right="2779" w:firstLine="926"/>
        <w:spacing w:after="0" w:line="235" w:lineRule="auto"/>
        <w:tabs>
          <w:tab w:leader="none" w:pos="1302" w:val="left"/>
        </w:tabs>
        <w:numPr>
          <w:ilvl w:val="0"/>
          <w:numId w:val="2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direction inconsistent with such written request has been given to the Trustee during such 60-day period by the Holders of a majority in principal amount of the Outstanding Securities of that series;</w:t>
      </w:r>
    </w:p>
    <w:p>
      <w:pPr>
        <w:spacing w:after="0" w:line="183"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Section 508. Unconditional Right of Holders to Receive Principal, Premium</w:t>
      </w:r>
    </w:p>
    <w:p>
      <w:pPr>
        <w:spacing w:after="0" w:line="14"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w:t>
      </w:r>
    </w:p>
    <w:p>
      <w:pPr>
        <w:ind w:left="1660"/>
        <w:spacing w:after="0" w:line="236" w:lineRule="auto"/>
        <w:rPr>
          <w:sz w:val="20"/>
          <w:szCs w:val="20"/>
          <w:color w:val="auto"/>
        </w:rPr>
      </w:pPr>
      <w:r>
        <w:rPr>
          <w:rFonts w:ascii="Courier New" w:cs="Courier New" w:eastAsia="Courier New" w:hAnsi="Courier New"/>
          <w:sz w:val="16"/>
          <w:szCs w:val="16"/>
          <w:color w:val="auto"/>
        </w:rPr>
        <w:t>and Interest and Additional Amounts, if Any.</w:t>
      </w:r>
    </w:p>
    <w:p>
      <w:pPr>
        <w:ind w:left="1660"/>
        <w:spacing w:after="0" w:line="237"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930"/>
        <w:spacing w:after="0" w:line="275" w:lineRule="auto"/>
        <w:rPr>
          <w:sz w:val="20"/>
          <w:szCs w:val="20"/>
          <w:color w:val="auto"/>
        </w:rPr>
      </w:pPr>
      <w:r>
        <w:rPr>
          <w:rFonts w:ascii="Courier New" w:cs="Courier New" w:eastAsia="Courier New" w:hAnsi="Courier New"/>
          <w:sz w:val="14"/>
          <w:szCs w:val="14"/>
          <w:color w:val="auto"/>
        </w:rPr>
        <w:t>Notwithstanding any other provision in this Indenture, the Holder of any Security or coupon shall have the right which is absolute and unconditional to receive payment of the principal of (and premium, if any) and (subject to Sections 305 and 307) interest, if any, and Additional Amounts, if any, on such Security or payment of such coupon on the respective due dates expressed in such Security or coupon (or, in the case of redemption, on the Redemption Date) and to institute suit for the enforcement of any such payment, and such rights shall not be impaired without the consent of such Holder.</w:t>
      </w:r>
    </w:p>
    <w:p>
      <w:pPr>
        <w:spacing w:after="0" w:line="200" w:lineRule="exact"/>
        <w:rPr>
          <w:sz w:val="20"/>
          <w:szCs w:val="20"/>
          <w:color w:val="auto"/>
        </w:rPr>
      </w:pPr>
    </w:p>
    <w:p>
      <w:pPr>
        <w:spacing w:after="0" w:line="31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52</w:t>
      </w:r>
    </w:p>
    <w:p>
      <w:pPr>
        <w:sectPr>
          <w:pgSz w:w="11900" w:h="16838" w:orient="portrait"/>
          <w:cols w:equalWidth="0" w:num="1">
            <w:col w:w="10219"/>
          </w:cols>
          <w:pgMar w:left="240" w:top="655" w:right="1440" w:bottom="1440" w:gutter="0" w:footer="0" w:header="0"/>
        </w:sectPr>
      </w:pPr>
    </w:p>
    <w:bookmarkStart w:id="231" w:name="page232"/>
    <w:bookmarkEnd w:id="231"/>
    <w:p>
      <w:pPr>
        <w:ind w:left="460"/>
        <w:spacing w:after="0"/>
        <w:rPr>
          <w:sz w:val="20"/>
          <w:szCs w:val="20"/>
          <w:color w:val="auto"/>
        </w:rPr>
      </w:pPr>
      <w:r>
        <w:rPr>
          <w:rFonts w:ascii="Courier New" w:cs="Courier New" w:eastAsia="Courier New" w:hAnsi="Courier New"/>
          <w:sz w:val="16"/>
          <w:szCs w:val="16"/>
          <w:color w:val="auto"/>
        </w:rPr>
        <w:t>Section 509. Restoration of Rights and Remedies.</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959" w:firstLine="930"/>
        <w:spacing w:after="0" w:line="274" w:lineRule="auto"/>
        <w:rPr>
          <w:sz w:val="20"/>
          <w:szCs w:val="20"/>
          <w:color w:val="auto"/>
        </w:rPr>
      </w:pPr>
      <w:r>
        <w:rPr>
          <w:rFonts w:ascii="Courier New" w:cs="Courier New" w:eastAsia="Courier New" w:hAnsi="Courier New"/>
          <w:sz w:val="14"/>
          <w:szCs w:val="14"/>
          <w:color w:val="auto"/>
        </w:rPr>
        <w:t>If the Trustee or any Holder of a Security or coupon has instituted any proceeding to enforce any right or remedy under this Indenture and such proceeding has been discontinued or abandoned for any reason, or has been determined adversely to the Trustee or to such Holder, then and in every such case the Company, the Trustee and the Holders of Securities and coupons shall, subject to any determination in such proceeding, be restored severally and respectively to their former positions hereunder and thereafter all rights and remedies of the Trustee and the Holders shall continue as though no such proceeding had been instituted.</w:t>
      </w:r>
    </w:p>
    <w:p>
      <w:pPr>
        <w:spacing w:after="0" w:line="33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510. Rights and Remedies Cumulative.</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930"/>
        <w:spacing w:after="0" w:line="236" w:lineRule="auto"/>
        <w:rPr>
          <w:sz w:val="20"/>
          <w:szCs w:val="20"/>
          <w:color w:val="auto"/>
        </w:rPr>
      </w:pPr>
      <w:r>
        <w:rPr>
          <w:rFonts w:ascii="Courier New" w:cs="Courier New" w:eastAsia="Courier New" w:hAnsi="Courier New"/>
          <w:sz w:val="16"/>
          <w:szCs w:val="16"/>
          <w:color w:val="auto"/>
        </w:rPr>
        <w:t>Except as otherwise provided with respect to the replacement or payment of mutilated, destroyed, lost or stolen Securities or coupons in the last paragraph of Subsection 306(f), no right or remedy herein conferred upon or reserved to the Trustee or to the Holders of Securities or coupons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511. Delay or Omission Not Waiver.</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930"/>
        <w:spacing w:after="0" w:line="236" w:lineRule="auto"/>
        <w:rPr>
          <w:sz w:val="20"/>
          <w:szCs w:val="20"/>
          <w:color w:val="auto"/>
        </w:rPr>
      </w:pPr>
      <w:r>
        <w:rPr>
          <w:rFonts w:ascii="Courier New" w:cs="Courier New" w:eastAsia="Courier New" w:hAnsi="Courier New"/>
          <w:sz w:val="16"/>
          <w:szCs w:val="16"/>
          <w:color w:val="auto"/>
        </w:rPr>
        <w:t>No delay or omission of the Trustee or of any Holder of any Security or coupon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of Securities or coupons, as the case may be.</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512. Control by Holders of Securities.</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930"/>
        <w:spacing w:after="0" w:line="276" w:lineRule="auto"/>
        <w:rPr>
          <w:sz w:val="20"/>
          <w:szCs w:val="20"/>
          <w:color w:val="auto"/>
        </w:rPr>
      </w:pPr>
      <w:r>
        <w:rPr>
          <w:rFonts w:ascii="Courier New" w:cs="Courier New" w:eastAsia="Courier New" w:hAnsi="Courier New"/>
          <w:sz w:val="14"/>
          <w:szCs w:val="14"/>
          <w:color w:val="auto"/>
        </w:rPr>
        <w:t>With respect to any series, the Holders of not less than a majority in principal amount of the Outstanding Securities of such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161" w:lineRule="exact"/>
        <w:rPr>
          <w:sz w:val="20"/>
          <w:szCs w:val="20"/>
          <w:color w:val="auto"/>
        </w:rPr>
      </w:pPr>
    </w:p>
    <w:p>
      <w:pPr>
        <w:ind w:right="3059" w:firstLine="926"/>
        <w:spacing w:after="0" w:line="234" w:lineRule="auto"/>
        <w:tabs>
          <w:tab w:leader="none" w:pos="1302" w:val="left"/>
        </w:tabs>
        <w:numPr>
          <w:ilvl w:val="0"/>
          <w:numId w:val="2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direction shall not be in conflict with any rule of law or with this Indenture,</w:t>
      </w:r>
    </w:p>
    <w:p>
      <w:pPr>
        <w:spacing w:after="0" w:line="183" w:lineRule="exact"/>
        <w:rPr>
          <w:rFonts w:ascii="Courier New" w:cs="Courier New" w:eastAsia="Courier New" w:hAnsi="Courier New"/>
          <w:sz w:val="16"/>
          <w:szCs w:val="16"/>
          <w:color w:val="auto"/>
        </w:rPr>
      </w:pPr>
    </w:p>
    <w:p>
      <w:pPr>
        <w:ind w:right="2779" w:firstLine="926"/>
        <w:spacing w:after="0" w:line="234" w:lineRule="auto"/>
        <w:tabs>
          <w:tab w:leader="none" w:pos="1302" w:val="left"/>
        </w:tabs>
        <w:numPr>
          <w:ilvl w:val="0"/>
          <w:numId w:val="2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take any other action deemed proper by the Trustee which is not inconsistent with such direction, and</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53</w:t>
      </w:r>
    </w:p>
    <w:p>
      <w:pPr>
        <w:sectPr>
          <w:pgSz w:w="11900" w:h="16838" w:orient="portrait"/>
          <w:cols w:equalWidth="0" w:num="1">
            <w:col w:w="10219"/>
          </w:cols>
          <w:pgMar w:left="240" w:top="649" w:right="1440" w:bottom="1440" w:gutter="0" w:footer="0" w:header="0"/>
        </w:sectPr>
      </w:pPr>
    </w:p>
    <w:bookmarkStart w:id="232" w:name="page233"/>
    <w:bookmarkEnd w:id="232"/>
    <w:p>
      <w:pPr>
        <w:ind w:right="3059" w:firstLine="926"/>
        <w:spacing w:after="0" w:line="235" w:lineRule="auto"/>
        <w:tabs>
          <w:tab w:leader="none" w:pos="1302" w:val="left"/>
        </w:tabs>
        <w:numPr>
          <w:ilvl w:val="0"/>
          <w:numId w:val="2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need not take any action which might involve it in personal liability or be unjustly prejudicial to the Holders of Securities of such series not consenting.</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513. Undertaking for Costs.</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930"/>
        <w:spacing w:after="0" w:line="273" w:lineRule="auto"/>
        <w:rPr>
          <w:sz w:val="20"/>
          <w:szCs w:val="20"/>
          <w:color w:val="auto"/>
        </w:rPr>
      </w:pPr>
      <w:r>
        <w:rPr>
          <w:rFonts w:ascii="Courier New" w:cs="Courier New" w:eastAsia="Courier New" w:hAnsi="Courier New"/>
          <w:sz w:val="14"/>
          <w:szCs w:val="14"/>
          <w:color w:val="auto"/>
        </w:rPr>
        <w:t>All parties to this Indenture agree that 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provided that this Section 513 shall not apply to a suit by the Trustee, a suit by a Holder pursuant to Section 508 hereof, or a suit by Holders of more than 10% in principal amount of the then Outstanding Securities.</w:t>
      </w:r>
    </w:p>
    <w:p>
      <w:pPr>
        <w:spacing w:after="0" w:line="33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514. Waiver of Past Defaults.</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926"/>
        <w:spacing w:after="0" w:line="235" w:lineRule="auto"/>
        <w:tabs>
          <w:tab w:leader="none" w:pos="1302" w:val="left"/>
        </w:tabs>
        <w:numPr>
          <w:ilvl w:val="0"/>
          <w:numId w:val="2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Holders of not less than a majority in principal amount of the Outstanding Securities of any series may on behalf of the Holders of all the Securities of such series and any related coupons waive any past default hereunder with respect to such series and its consequences, except a default</w:t>
      </w:r>
    </w:p>
    <w:p>
      <w:pPr>
        <w:spacing w:after="0" w:line="184" w:lineRule="exact"/>
        <w:rPr>
          <w:rFonts w:ascii="Courier New" w:cs="Courier New" w:eastAsia="Courier New" w:hAnsi="Courier New"/>
          <w:sz w:val="16"/>
          <w:szCs w:val="16"/>
          <w:color w:val="auto"/>
        </w:rPr>
      </w:pPr>
    </w:p>
    <w:p>
      <w:pPr>
        <w:ind w:left="920" w:right="2879" w:firstLine="936"/>
        <w:spacing w:after="0" w:line="235" w:lineRule="auto"/>
        <w:tabs>
          <w:tab w:leader="none" w:pos="2222" w:val="left"/>
        </w:tabs>
        <w:numPr>
          <w:ilvl w:val="1"/>
          <w:numId w:val="2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payment of the principal of (or premium, if any) or interest, if any, or Additional Amounts on any Security of such series or any related coupons, or</w:t>
      </w:r>
    </w:p>
    <w:p>
      <w:pPr>
        <w:spacing w:after="0" w:line="183" w:lineRule="exact"/>
        <w:rPr>
          <w:rFonts w:ascii="Courier New" w:cs="Courier New" w:eastAsia="Courier New" w:hAnsi="Courier New"/>
          <w:sz w:val="16"/>
          <w:szCs w:val="16"/>
          <w:color w:val="auto"/>
        </w:rPr>
      </w:pPr>
    </w:p>
    <w:p>
      <w:pPr>
        <w:ind w:left="920" w:right="2779" w:firstLine="936"/>
        <w:spacing w:after="0" w:line="283" w:lineRule="auto"/>
        <w:tabs>
          <w:tab w:leader="none" w:pos="2222" w:val="left"/>
        </w:tabs>
        <w:numPr>
          <w:ilvl w:val="1"/>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respect of a covenant or provision hereof which under Article Nine cannot be modified or amended without the consent of the Holder of each Outstanding Security of such series affected.</w:t>
      </w:r>
    </w:p>
    <w:p>
      <w:pPr>
        <w:spacing w:after="0" w:line="154" w:lineRule="exact"/>
        <w:rPr>
          <w:rFonts w:ascii="Courier New" w:cs="Courier New" w:eastAsia="Courier New" w:hAnsi="Courier New"/>
          <w:sz w:val="14"/>
          <w:szCs w:val="14"/>
          <w:color w:val="auto"/>
        </w:rPr>
      </w:pPr>
    </w:p>
    <w:p>
      <w:pPr>
        <w:ind w:right="2779" w:firstLine="926"/>
        <w:spacing w:after="0" w:line="279" w:lineRule="auto"/>
        <w:tabs>
          <w:tab w:leader="none" w:pos="1302" w:val="left"/>
        </w:tabs>
        <w:numPr>
          <w:ilvl w:val="0"/>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any such waiver, such default shall cease to exist, and any Event of Default arising therefrom shall be deemed to have been cured, for every purpose of this Indenture; but no such waiver shall extend to any subsequent or other default or Event of Default or impair any right consequent thereon.</w:t>
      </w:r>
    </w:p>
    <w:p>
      <w:pPr>
        <w:spacing w:after="0" w:line="15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515. Waiver of Usury, Stay or Extension Laws.</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930"/>
        <w:spacing w:after="0" w:line="236" w:lineRule="auto"/>
        <w:rPr>
          <w:sz w:val="20"/>
          <w:szCs w:val="20"/>
          <w:color w:val="auto"/>
        </w:rPr>
      </w:pPr>
      <w:r>
        <w:rPr>
          <w:rFonts w:ascii="Courier New" w:cs="Courier New" w:eastAsia="Courier New" w:hAnsi="Courier New"/>
          <w:sz w:val="16"/>
          <w:szCs w:val="16"/>
          <w:color w:val="auto"/>
        </w:rPr>
        <w:t>The Company covenants (to the extent that it may lawfully do so) that it will not at any time insist upon, or plead, or in any manner whatsoever claim or take the benefit or advantage of, any stay or extension law or any usury or other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35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54</w:t>
      </w:r>
    </w:p>
    <w:p>
      <w:pPr>
        <w:sectPr>
          <w:pgSz w:w="11900" w:h="16838" w:orient="portrait"/>
          <w:cols w:equalWidth="0" w:num="1">
            <w:col w:w="10219"/>
          </w:cols>
          <w:pgMar w:left="240" w:top="655" w:right="1440" w:bottom="1440" w:gutter="0" w:footer="0" w:header="0"/>
        </w:sectPr>
      </w:pPr>
    </w:p>
    <w:bookmarkStart w:id="233" w:name="page234"/>
    <w:bookmarkEnd w:id="233"/>
    <w:p>
      <w:pPr>
        <w:ind w:left="3260"/>
        <w:spacing w:after="0"/>
        <w:rPr>
          <w:sz w:val="20"/>
          <w:szCs w:val="20"/>
          <w:color w:val="auto"/>
        </w:rPr>
      </w:pPr>
      <w:r>
        <w:rPr>
          <w:rFonts w:ascii="Courier New" w:cs="Courier New" w:eastAsia="Courier New" w:hAnsi="Courier New"/>
          <w:sz w:val="16"/>
          <w:szCs w:val="16"/>
          <w:color w:val="auto"/>
        </w:rPr>
        <w:t>ARTICLE SIX</w:t>
      </w:r>
    </w:p>
    <w:p>
      <w:pPr>
        <w:ind w:left="3260"/>
        <w:spacing w:after="0" w:line="236" w:lineRule="auto"/>
        <w:rPr>
          <w:sz w:val="20"/>
          <w:szCs w:val="20"/>
          <w:color w:val="auto"/>
        </w:rPr>
      </w:pPr>
      <w:r>
        <w:rPr>
          <w:rFonts w:ascii="Courier New" w:cs="Courier New" w:eastAsia="Courier New" w:hAnsi="Courier New"/>
          <w:sz w:val="16"/>
          <w:szCs w:val="16"/>
          <w:color w:val="auto"/>
        </w:rPr>
        <w:t>THE TRUSTEE</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601. Notice of Defaults.</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930"/>
        <w:spacing w:after="0" w:line="272" w:lineRule="auto"/>
        <w:rPr>
          <w:sz w:val="20"/>
          <w:szCs w:val="20"/>
          <w:color w:val="auto"/>
        </w:rPr>
      </w:pPr>
      <w:r>
        <w:rPr>
          <w:rFonts w:ascii="Courier New" w:cs="Courier New" w:eastAsia="Courier New" w:hAnsi="Courier New"/>
          <w:sz w:val="14"/>
          <w:szCs w:val="14"/>
          <w:color w:val="auto"/>
        </w:rPr>
        <w:t>Within five days after the earlier of receipt from the Company of notice of the occurrence of a Default or Event of Default hereunder or the date such occurrence hereunder actually becomes known to a Responsible Officer of the Trustee, the Trustee shall transmit to all Holders of Securities of such series, in the manner and to the extent provided in TIA Section 313(c), notice of such Default hereunder known to the Trustee, unless such Default shall have been cured or waived; provided, that, except in the case of a Default in the payment of the principal of (or premium, if any) or interest, if any, on any Security of such series, or in the payment of any sinking or purchase fund installment with respect to the Securities of such series, the Trustee shall be protected in withholding such notice if and so long as the board of directors, the executive committee or a trust committee of directors and/or Responsible Officers of the Trustee in good faith determines that the withholding of such notice is in the interests of the Holders of the Securities and coupons of such series; and provided further that in the case of any Default or breach of the character specified in clause (4) of Subsection 501(a) with respect to the Securities and coupons of such series, no such notice to Holders shall be given until at least 60 days after the occurrence thereof unless otherwise specified in accordance with Section 301.</w:t>
      </w:r>
    </w:p>
    <w:p>
      <w:pPr>
        <w:spacing w:after="0" w:line="200" w:lineRule="exact"/>
        <w:rPr>
          <w:sz w:val="20"/>
          <w:szCs w:val="20"/>
          <w:color w:val="auto"/>
        </w:rPr>
      </w:pPr>
    </w:p>
    <w:p>
      <w:pPr>
        <w:spacing w:after="0" w:line="316"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602. Certain Rights of Trustee.</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1300" w:hanging="374"/>
        <w:spacing w:after="0"/>
        <w:tabs>
          <w:tab w:leader="none" w:pos="1300"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provisions of TIA Sections 315(a) through 315(d):</w:t>
      </w:r>
    </w:p>
    <w:p>
      <w:pPr>
        <w:spacing w:after="0" w:line="199" w:lineRule="exact"/>
        <w:rPr>
          <w:rFonts w:ascii="Courier New" w:cs="Courier New" w:eastAsia="Courier New" w:hAnsi="Courier New"/>
          <w:sz w:val="14"/>
          <w:szCs w:val="14"/>
          <w:color w:val="auto"/>
        </w:rPr>
      </w:pPr>
    </w:p>
    <w:p>
      <w:pPr>
        <w:ind w:left="920" w:right="2959" w:firstLine="936"/>
        <w:spacing w:after="0" w:line="235" w:lineRule="auto"/>
        <w:tabs>
          <w:tab w:leader="none" w:pos="2222" w:val="left"/>
        </w:tabs>
        <w:numPr>
          <w:ilvl w:val="1"/>
          <w:numId w:val="2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undertakes to perform such duties and only such duties as are specifically set forth in this Indenture, and no implied covenants or obligations shall be read into this Indenture against the Trustee.</w:t>
      </w:r>
    </w:p>
    <w:p>
      <w:pPr>
        <w:spacing w:after="0" w:line="184" w:lineRule="exact"/>
        <w:rPr>
          <w:rFonts w:ascii="Courier New" w:cs="Courier New" w:eastAsia="Courier New" w:hAnsi="Courier New"/>
          <w:sz w:val="16"/>
          <w:szCs w:val="16"/>
          <w:color w:val="auto"/>
        </w:rPr>
      </w:pPr>
    </w:p>
    <w:p>
      <w:pPr>
        <w:ind w:left="920" w:right="2779" w:firstLine="936"/>
        <w:spacing w:after="0" w:line="236" w:lineRule="auto"/>
        <w:tabs>
          <w:tab w:leader="none" w:pos="2222" w:val="left"/>
        </w:tabs>
        <w:numPr>
          <w:ilvl w:val="1"/>
          <w:numId w:val="2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conclusively rely and shall be protected in acting or refraining from acting upon any resolution, certificate, statement, instrument, opinion, report, notice, request, direction, consent, order, bond, debenture, note, coupon or other paper or document (whether in its original or facsimile form) believed by it to be genuine and to have been signed or presented by the proper party or parties.</w:t>
      </w:r>
    </w:p>
    <w:p>
      <w:pPr>
        <w:spacing w:after="0" w:line="183" w:lineRule="exact"/>
        <w:rPr>
          <w:rFonts w:ascii="Courier New" w:cs="Courier New" w:eastAsia="Courier New" w:hAnsi="Courier New"/>
          <w:sz w:val="16"/>
          <w:szCs w:val="16"/>
          <w:color w:val="auto"/>
        </w:rPr>
      </w:pPr>
    </w:p>
    <w:p>
      <w:pPr>
        <w:ind w:left="920" w:right="2779" w:firstLine="936"/>
        <w:spacing w:after="0" w:line="236" w:lineRule="auto"/>
        <w:tabs>
          <w:tab w:leader="none" w:pos="2222" w:val="left"/>
        </w:tabs>
        <w:numPr>
          <w:ilvl w:val="1"/>
          <w:numId w:val="2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request or direction of the Company mentioned herein shall be sufficiently evidenced by a Company Request or Company Order (other than delivery of any Security, together with any coupons appertaining thereto, to the Trustee for authentication and delivery pursuant to Section 303 which shall be sufficiently evidenced as provided therein) and any resolution of the Board of Directors may be sufficiently evidenced by a Board Resolution.</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55</w:t>
      </w:r>
    </w:p>
    <w:p>
      <w:pPr>
        <w:sectPr>
          <w:pgSz w:w="11900" w:h="16838" w:orient="portrait"/>
          <w:cols w:equalWidth="0" w:num="1">
            <w:col w:w="10219"/>
          </w:cols>
          <w:pgMar w:left="240" w:top="648" w:right="1440" w:bottom="1440" w:gutter="0" w:footer="0" w:header="0"/>
        </w:sectPr>
      </w:pPr>
    </w:p>
    <w:bookmarkStart w:id="234" w:name="page235"/>
    <w:bookmarkEnd w:id="234"/>
    <w:p>
      <w:pPr>
        <w:ind w:left="-280" w:right="2779" w:firstLine="936"/>
        <w:spacing w:after="0" w:line="235" w:lineRule="auto"/>
        <w:tabs>
          <w:tab w:leader="none" w:pos="1022" w:val="left"/>
        </w:tabs>
        <w:numPr>
          <w:ilvl w:val="0"/>
          <w:numId w:val="2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not be liable for any error of judgment made in good faith by a Responsible Officer, unless it shall be proved that the Trustee was negligent in ascertaining the pertinent facts.</w:t>
      </w:r>
    </w:p>
    <w:p>
      <w:pPr>
        <w:spacing w:after="0" w:line="184" w:lineRule="exact"/>
        <w:rPr>
          <w:rFonts w:ascii="Courier New" w:cs="Courier New" w:eastAsia="Courier New" w:hAnsi="Courier New"/>
          <w:sz w:val="16"/>
          <w:szCs w:val="16"/>
          <w:color w:val="auto"/>
        </w:rPr>
      </w:pPr>
    </w:p>
    <w:p>
      <w:pPr>
        <w:ind w:left="-280" w:right="2779" w:firstLine="936"/>
        <w:spacing w:after="0" w:line="235" w:lineRule="auto"/>
        <w:tabs>
          <w:tab w:leader="none" w:pos="1022" w:val="left"/>
        </w:tabs>
        <w:numPr>
          <w:ilvl w:val="0"/>
          <w:numId w:val="2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not be liable with respect to any action taken or omitted to be taken by it in good faith in accordance with the direction of the Holders of a majority in principal amount of the Outstanding Securities of any series, determined as provided in Sections 101 and 104.</w:t>
      </w:r>
    </w:p>
    <w:p>
      <w:pPr>
        <w:spacing w:after="0" w:line="185" w:lineRule="exact"/>
        <w:rPr>
          <w:rFonts w:ascii="Courier New" w:cs="Courier New" w:eastAsia="Courier New" w:hAnsi="Courier New"/>
          <w:sz w:val="16"/>
          <w:szCs w:val="16"/>
          <w:color w:val="auto"/>
        </w:rPr>
      </w:pPr>
    </w:p>
    <w:p>
      <w:pPr>
        <w:ind w:left="-280" w:right="2779" w:firstLine="936"/>
        <w:spacing w:after="0" w:line="275" w:lineRule="auto"/>
        <w:tabs>
          <w:tab w:leader="none" w:pos="1022"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 Board Resolution, an Opinion of Counsel or an Officers' Certificate.</w:t>
      </w:r>
    </w:p>
    <w:p>
      <w:pPr>
        <w:spacing w:after="0" w:line="161" w:lineRule="exact"/>
        <w:rPr>
          <w:rFonts w:ascii="Courier New" w:cs="Courier New" w:eastAsia="Courier New" w:hAnsi="Courier New"/>
          <w:sz w:val="14"/>
          <w:szCs w:val="14"/>
          <w:color w:val="auto"/>
        </w:rPr>
      </w:pPr>
    </w:p>
    <w:p>
      <w:pPr>
        <w:ind w:left="-280" w:right="2779" w:firstLine="936"/>
        <w:spacing w:after="0" w:line="235" w:lineRule="auto"/>
        <w:tabs>
          <w:tab w:leader="none" w:pos="1022" w:val="left"/>
        </w:tabs>
        <w:numPr>
          <w:ilvl w:val="0"/>
          <w:numId w:val="2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consult with counsel of its choosing and the advice of such counsel or any Opinion of Counsel shall be full and complete authorization and protection in respect of any action taken, suffered or omitted by it hereunder in good faith and in reliance thereon.</w:t>
      </w:r>
    </w:p>
    <w:p>
      <w:pPr>
        <w:spacing w:after="0" w:line="185" w:lineRule="exact"/>
        <w:rPr>
          <w:rFonts w:ascii="Courier New" w:cs="Courier New" w:eastAsia="Courier New" w:hAnsi="Courier New"/>
          <w:sz w:val="16"/>
          <w:szCs w:val="16"/>
          <w:color w:val="auto"/>
        </w:rPr>
      </w:pPr>
    </w:p>
    <w:p>
      <w:pPr>
        <w:ind w:left="-280" w:right="2779" w:firstLine="936"/>
        <w:spacing w:after="0" w:line="236" w:lineRule="auto"/>
        <w:tabs>
          <w:tab w:leader="none" w:pos="1022" w:val="left"/>
        </w:tabs>
        <w:numPr>
          <w:ilvl w:val="0"/>
          <w:numId w:val="2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be under no obligation to exercise any of the rights or powers vested in it by this Indenture at the request or direction of any of the Holders of Securities of any series or any related coupons pursuant to this Indenture, unless such Holders shall have offered to the Trustee security or indemnity reasonably satisfactory to the Trustee against the costs, expenses and liabilities which might be incurred by it in compliance with such request or direction.</w:t>
      </w:r>
    </w:p>
    <w:p>
      <w:pPr>
        <w:spacing w:after="0" w:line="184" w:lineRule="exact"/>
        <w:rPr>
          <w:rFonts w:ascii="Courier New" w:cs="Courier New" w:eastAsia="Courier New" w:hAnsi="Courier New"/>
          <w:sz w:val="16"/>
          <w:szCs w:val="16"/>
          <w:color w:val="auto"/>
        </w:rPr>
      </w:pPr>
    </w:p>
    <w:p>
      <w:pPr>
        <w:ind w:left="-280" w:right="2779" w:firstLine="936"/>
        <w:spacing w:after="0" w:line="236" w:lineRule="auto"/>
        <w:tabs>
          <w:tab w:leader="none" w:pos="1022" w:val="left"/>
        </w:tabs>
        <w:numPr>
          <w:ilvl w:val="0"/>
          <w:numId w:val="2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not be bound to make any investigation into the facts or matters stated in any resolution, certificate, statement, instrument, opinion, report, notice, request, direction, consent, order, bond, debenture, note, coupon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but in the case of any certificate or opinion specifically required by the Indenture to be delivered to the Trustee, the Trustee shall have a duty to examine the same to determine whether they conform to the Indenture requirements.</w:t>
      </w:r>
    </w:p>
    <w:p>
      <w:pPr>
        <w:spacing w:after="0" w:line="187" w:lineRule="exact"/>
        <w:rPr>
          <w:rFonts w:ascii="Courier New" w:cs="Courier New" w:eastAsia="Courier New" w:hAnsi="Courier New"/>
          <w:sz w:val="16"/>
          <w:szCs w:val="16"/>
          <w:color w:val="auto"/>
        </w:rPr>
      </w:pPr>
    </w:p>
    <w:p>
      <w:pPr>
        <w:jc w:val="both"/>
        <w:ind w:left="-280" w:right="2959" w:firstLine="936"/>
        <w:spacing w:after="0" w:line="283" w:lineRule="auto"/>
        <w:tabs>
          <w:tab w:leader="none" w:pos="1115"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execute any of the trusts or powers hereunder or perform any duties hereunder either directly or by or through agents or attorneys and the Trustee shall not be responsible</w:t>
      </w:r>
    </w:p>
    <w:p>
      <w:pPr>
        <w:spacing w:after="0" w:line="327"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56</w:t>
      </w:r>
    </w:p>
    <w:p>
      <w:pPr>
        <w:sectPr>
          <w:pgSz w:w="11900" w:h="16838" w:orient="portrait"/>
          <w:cols w:equalWidth="0" w:num="1">
            <w:col w:w="9019"/>
          </w:cols>
          <w:pgMar w:left="1440" w:top="655" w:right="1440" w:bottom="1440" w:gutter="0" w:footer="0" w:header="0"/>
        </w:sectPr>
      </w:pPr>
    </w:p>
    <w:bookmarkStart w:id="235" w:name="page236"/>
    <w:bookmarkEnd w:id="235"/>
    <w:p>
      <w:pPr>
        <w:ind w:left="920" w:right="2879"/>
        <w:spacing w:after="0" w:line="234" w:lineRule="auto"/>
        <w:rPr>
          <w:sz w:val="20"/>
          <w:szCs w:val="20"/>
          <w:color w:val="auto"/>
        </w:rPr>
      </w:pPr>
      <w:r>
        <w:rPr>
          <w:rFonts w:ascii="Courier New" w:cs="Courier New" w:eastAsia="Courier New" w:hAnsi="Courier New"/>
          <w:sz w:val="16"/>
          <w:szCs w:val="16"/>
          <w:color w:val="auto"/>
        </w:rPr>
        <w:t>for any misconduct or negligence on the part of any agent or attorney appointed with due care by it hereunder.</w:t>
      </w:r>
    </w:p>
    <w:p>
      <w:pPr>
        <w:spacing w:after="0" w:line="183" w:lineRule="exact"/>
        <w:rPr>
          <w:sz w:val="20"/>
          <w:szCs w:val="20"/>
          <w:color w:val="auto"/>
        </w:rPr>
      </w:pPr>
    </w:p>
    <w:p>
      <w:pPr>
        <w:ind w:left="920" w:right="2779" w:firstLine="936"/>
        <w:spacing w:after="0" w:line="235" w:lineRule="auto"/>
        <w:tabs>
          <w:tab w:leader="none" w:pos="2315" w:val="left"/>
        </w:tabs>
        <w:numPr>
          <w:ilvl w:val="1"/>
          <w:numId w:val="2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not be liable for any action taken, suffered or omitted by it in good faith and believed by it to be authorized or within the discretion or rights or powers conferred upon it by this Indenture other than any liabilities arising out of the negligence of the Trustee.</w:t>
      </w:r>
    </w:p>
    <w:p>
      <w:pPr>
        <w:spacing w:after="0" w:line="185" w:lineRule="exact"/>
        <w:rPr>
          <w:rFonts w:ascii="Courier New" w:cs="Courier New" w:eastAsia="Courier New" w:hAnsi="Courier New"/>
          <w:sz w:val="16"/>
          <w:szCs w:val="16"/>
          <w:color w:val="auto"/>
        </w:rPr>
      </w:pPr>
    </w:p>
    <w:p>
      <w:pPr>
        <w:ind w:left="920" w:right="2779" w:firstLine="936"/>
        <w:spacing w:after="0" w:line="235" w:lineRule="auto"/>
        <w:tabs>
          <w:tab w:leader="none" w:pos="2315" w:val="left"/>
        </w:tabs>
        <w:numPr>
          <w:ilvl w:val="1"/>
          <w:numId w:val="2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privileges, protections, immunities and benefits given to the Trustee, including, without limitation, its right to be indemnified, are extended to, and shall be enforceable by, the Trustee in each of its capacities hereunder, and to each agent, custodian and other Person employed to act hereunder.</w:t>
      </w:r>
    </w:p>
    <w:p>
      <w:pPr>
        <w:spacing w:after="0" w:line="185" w:lineRule="exact"/>
        <w:rPr>
          <w:rFonts w:ascii="Courier New" w:cs="Courier New" w:eastAsia="Courier New" w:hAnsi="Courier New"/>
          <w:sz w:val="16"/>
          <w:szCs w:val="16"/>
          <w:color w:val="auto"/>
        </w:rPr>
      </w:pPr>
    </w:p>
    <w:p>
      <w:pPr>
        <w:ind w:left="920" w:right="2879" w:firstLine="936"/>
        <w:spacing w:after="0" w:line="274" w:lineRule="auto"/>
        <w:tabs>
          <w:tab w:leader="none" w:pos="2315" w:val="left"/>
        </w:tabs>
        <w:numPr>
          <w:ilvl w:val="1"/>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63" w:lineRule="exact"/>
        <w:rPr>
          <w:rFonts w:ascii="Courier New" w:cs="Courier New" w:eastAsia="Courier New" w:hAnsi="Courier New"/>
          <w:sz w:val="14"/>
          <w:szCs w:val="14"/>
          <w:color w:val="auto"/>
        </w:rPr>
      </w:pPr>
    </w:p>
    <w:p>
      <w:pPr>
        <w:ind w:right="2779" w:firstLine="926"/>
        <w:spacing w:after="0" w:line="276" w:lineRule="auto"/>
        <w:tabs>
          <w:tab w:leader="none" w:pos="1302"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not be required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55"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603. Not Responsible for Recitals or Issuance of Securities.</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879" w:firstLine="930"/>
        <w:spacing w:after="0" w:line="273" w:lineRule="auto"/>
        <w:rPr>
          <w:sz w:val="20"/>
          <w:szCs w:val="20"/>
          <w:color w:val="auto"/>
        </w:rPr>
      </w:pPr>
      <w:r>
        <w:rPr>
          <w:rFonts w:ascii="Courier New" w:cs="Courier New" w:eastAsia="Courier New" w:hAnsi="Courier New"/>
          <w:sz w:val="14"/>
          <w:szCs w:val="14"/>
          <w:color w:val="auto"/>
        </w:rPr>
        <w:t>The recitals contained herein and in the Securities, except the Trustee's certificate of authentication, and in any coupons shall be taken as the statements of the Company, and neither the Trustee nor any Authenticating Agent assumes any responsibility for their correctness. The Trustee makes no representations as to the validity or sufficiency of this Indenture or of the Securities or coupons, except that the Trustee represents that it is duly authorized to execute and deliver this Indenture, authenticate the Securities and perform its obligations hereunder and that the statements made by it in a Statement of Eligibility on Form T-1 supplied to the Company are true and accurate, subject to the qualifications set forth therein. Neither the Trustee nor any Authenticating Agent shall be accountable for the use or application by the Company of Securities or the proceeds thereof.</w:t>
      </w:r>
    </w:p>
    <w:p>
      <w:pPr>
        <w:spacing w:after="0" w:line="335"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604. May Hold Securities.</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930"/>
        <w:spacing w:after="0" w:line="283" w:lineRule="auto"/>
        <w:rPr>
          <w:sz w:val="20"/>
          <w:szCs w:val="20"/>
          <w:color w:val="auto"/>
        </w:rPr>
      </w:pPr>
      <w:r>
        <w:rPr>
          <w:rFonts w:ascii="Courier New" w:cs="Courier New" w:eastAsia="Courier New" w:hAnsi="Courier New"/>
          <w:sz w:val="14"/>
          <w:szCs w:val="14"/>
          <w:color w:val="auto"/>
        </w:rPr>
        <w:t>The Trustee, any Paying Agent, Security Registrar, Authenticating Agent or any other agent of the Company, in its individual or any other capacity, may become the owner or pledgee of Securities and coupons and, subject</w:t>
      </w:r>
    </w:p>
    <w:p>
      <w:pPr>
        <w:spacing w:after="0" w:line="32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57</w:t>
      </w:r>
    </w:p>
    <w:p>
      <w:pPr>
        <w:sectPr>
          <w:pgSz w:w="11900" w:h="16838" w:orient="portrait"/>
          <w:cols w:equalWidth="0" w:num="1">
            <w:col w:w="10219"/>
          </w:cols>
          <w:pgMar w:left="240" w:top="655" w:right="1440" w:bottom="1440" w:gutter="0" w:footer="0" w:header="0"/>
        </w:sectPr>
      </w:pPr>
    </w:p>
    <w:bookmarkStart w:id="236" w:name="page237"/>
    <w:bookmarkEnd w:id="236"/>
    <w:p>
      <w:pPr>
        <w:ind w:right="3159"/>
        <w:spacing w:after="0" w:line="235" w:lineRule="auto"/>
        <w:rPr>
          <w:sz w:val="20"/>
          <w:szCs w:val="20"/>
          <w:color w:val="auto"/>
        </w:rPr>
      </w:pPr>
      <w:r>
        <w:rPr>
          <w:rFonts w:ascii="Courier New" w:cs="Courier New" w:eastAsia="Courier New" w:hAnsi="Courier New"/>
          <w:sz w:val="16"/>
          <w:szCs w:val="16"/>
          <w:color w:val="auto"/>
        </w:rPr>
        <w:t>to TIA Sections 310(b) and 311, may otherwise deal with the Company with the same rights it would have if it were not Trustee, Paying Agent, Security Registrar, Authenticating Agent or such other agent.</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605. Money Held in Trust.</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879" w:firstLine="930"/>
        <w:spacing w:after="0" w:line="235" w:lineRule="auto"/>
        <w:rPr>
          <w:sz w:val="20"/>
          <w:szCs w:val="20"/>
          <w:color w:val="auto"/>
        </w:rPr>
      </w:pPr>
      <w:r>
        <w:rPr>
          <w:rFonts w:ascii="Courier New" w:cs="Courier New" w:eastAsia="Courier New" w:hAnsi="Courier New"/>
          <w:sz w:val="16"/>
          <w:szCs w:val="16"/>
          <w:color w:val="auto"/>
        </w:rPr>
        <w:t>Money held by the Trustee in trust hereunder need not be segregated from other funds except to the extent required by law. The Trustee shall be under no liability for interest on any money received by it hereunder except as otherwise agreed with the Company.</w:t>
      </w:r>
    </w:p>
    <w:p>
      <w:pPr>
        <w:spacing w:after="0" w:line="17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606. Compensation and Reimbursement.</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1300" w:hanging="374"/>
        <w:spacing w:after="0"/>
        <w:tabs>
          <w:tab w:leader="none" w:pos="1300" w:val="left"/>
        </w:tabs>
        <w:numPr>
          <w:ilvl w:val="0"/>
          <w:numId w:val="2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agrees:</w:t>
      </w:r>
    </w:p>
    <w:p>
      <w:pPr>
        <w:spacing w:after="0" w:line="182" w:lineRule="exact"/>
        <w:rPr>
          <w:rFonts w:ascii="Courier New" w:cs="Courier New" w:eastAsia="Courier New" w:hAnsi="Courier New"/>
          <w:sz w:val="16"/>
          <w:szCs w:val="16"/>
          <w:color w:val="auto"/>
        </w:rPr>
      </w:pPr>
    </w:p>
    <w:p>
      <w:pPr>
        <w:ind w:left="920" w:right="2779" w:firstLine="936"/>
        <w:spacing w:after="0" w:line="235" w:lineRule="auto"/>
        <w:tabs>
          <w:tab w:leader="none" w:pos="2222" w:val="left"/>
        </w:tabs>
        <w:numPr>
          <w:ilvl w:val="1"/>
          <w:numId w:val="2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pay to the Trustee from time to time such compensation for all services rendered by it hereunder as shall be agreed upon in writing from time to time (which compensation shall not be limited by any provision of law in regard to the compensation of a trustee of an express trust);</w:t>
      </w:r>
    </w:p>
    <w:p>
      <w:pPr>
        <w:spacing w:after="0" w:line="185" w:lineRule="exact"/>
        <w:rPr>
          <w:rFonts w:ascii="Courier New" w:cs="Courier New" w:eastAsia="Courier New" w:hAnsi="Courier New"/>
          <w:sz w:val="16"/>
          <w:szCs w:val="16"/>
          <w:color w:val="auto"/>
        </w:rPr>
      </w:pPr>
    </w:p>
    <w:p>
      <w:pPr>
        <w:ind w:left="920" w:right="2779" w:firstLine="936"/>
        <w:spacing w:after="0" w:line="236" w:lineRule="auto"/>
        <w:tabs>
          <w:tab w:leader="none" w:pos="2222" w:val="left"/>
        </w:tabs>
        <w:numPr>
          <w:ilvl w:val="1"/>
          <w:numId w:val="2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expressly provided herein, to reimburse each of the Trustee and any predecessor Trustee upon its request for all reasonable expenses, disbursements and advances incurred or made by the Trustee in accordance with any provision of this Indenture (including the reasonable compensation and the expenses and disbursements of its agents and counsel), except any such expense, disbursement or advance as shall be determined to have been caused by its own negligence or willful misconduct; and</w:t>
      </w:r>
    </w:p>
    <w:p>
      <w:pPr>
        <w:spacing w:after="0" w:line="184" w:lineRule="exact"/>
        <w:rPr>
          <w:rFonts w:ascii="Courier New" w:cs="Courier New" w:eastAsia="Courier New" w:hAnsi="Courier New"/>
          <w:sz w:val="16"/>
          <w:szCs w:val="16"/>
          <w:color w:val="auto"/>
        </w:rPr>
      </w:pPr>
    </w:p>
    <w:p>
      <w:pPr>
        <w:ind w:left="920" w:right="2779" w:firstLine="936"/>
        <w:spacing w:after="0" w:line="236" w:lineRule="auto"/>
        <w:tabs>
          <w:tab w:leader="none" w:pos="2222" w:val="left"/>
        </w:tabs>
        <w:numPr>
          <w:ilvl w:val="1"/>
          <w:numId w:val="2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indemnify each of the Trustee and any predecessor Trustee for, and to hold it harmless against, any and all loss, damage, claims, liability or expense incurred without negligence or bad faith on its own part, arising out of or in connection with the acceptance or administration of the trust or trusts hereunder, including the costs and expenses of defending itself against any claim (whether asserted by the Company or any Holder or any other Person) or liability in connection with the exercise or performance of any of its powers or duties hereunder.</w:t>
      </w:r>
    </w:p>
    <w:p>
      <w:pPr>
        <w:spacing w:after="0" w:line="184" w:lineRule="exact"/>
        <w:rPr>
          <w:rFonts w:ascii="Courier New" w:cs="Courier New" w:eastAsia="Courier New" w:hAnsi="Courier New"/>
          <w:sz w:val="16"/>
          <w:szCs w:val="16"/>
          <w:color w:val="auto"/>
        </w:rPr>
      </w:pPr>
    </w:p>
    <w:p>
      <w:pPr>
        <w:ind w:right="2879" w:firstLine="926"/>
        <w:spacing w:after="0" w:line="276" w:lineRule="auto"/>
        <w:tabs>
          <w:tab w:leader="none" w:pos="1302" w:val="left"/>
        </w:tabs>
        <w:numPr>
          <w:ilvl w:val="0"/>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security for the performance of the obligations of the Company under this Section, the Trustee shall have a claim prior to the Securities upon all property and funds held or collected by the Trustee as such, except funds held in trust for the payment of principal of (or premium, if any) or interest, if any, on particular Securities or any coupons.</w:t>
      </w:r>
    </w:p>
    <w:p>
      <w:pPr>
        <w:spacing w:after="0" w:line="161" w:lineRule="exact"/>
        <w:rPr>
          <w:rFonts w:ascii="Courier New" w:cs="Courier New" w:eastAsia="Courier New" w:hAnsi="Courier New"/>
          <w:sz w:val="14"/>
          <w:szCs w:val="14"/>
          <w:color w:val="auto"/>
        </w:rPr>
      </w:pPr>
    </w:p>
    <w:p>
      <w:pPr>
        <w:ind w:right="2779" w:firstLine="926"/>
        <w:spacing w:after="0" w:line="235" w:lineRule="auto"/>
        <w:tabs>
          <w:tab w:leader="none" w:pos="1302" w:val="left"/>
        </w:tabs>
        <w:numPr>
          <w:ilvl w:val="0"/>
          <w:numId w:val="2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 the Trustee incurs expenses or renders services after an Event of Default specified in clause (5) or (6) of Subsection 501(a) occurs, the expenses and compensation for the services are intended to constitute expenses of administration under any Bankruptcy Law.</w:t>
      </w:r>
    </w:p>
    <w:p>
      <w:pPr>
        <w:spacing w:after="0" w:line="35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58</w:t>
      </w:r>
    </w:p>
    <w:p>
      <w:pPr>
        <w:sectPr>
          <w:pgSz w:w="11900" w:h="16838" w:orient="portrait"/>
          <w:cols w:equalWidth="0" w:num="1">
            <w:col w:w="10219"/>
          </w:cols>
          <w:pgMar w:left="240" w:top="655" w:right="1440" w:bottom="1440" w:gutter="0" w:footer="0" w:header="0"/>
        </w:sectPr>
      </w:pPr>
    </w:p>
    <w:bookmarkStart w:id="237" w:name="page238"/>
    <w:bookmarkEnd w:id="237"/>
    <w:p>
      <w:pPr>
        <w:ind w:left="460"/>
        <w:spacing w:after="0"/>
        <w:rPr>
          <w:sz w:val="20"/>
          <w:szCs w:val="20"/>
          <w:color w:val="auto"/>
        </w:rPr>
      </w:pPr>
      <w:r>
        <w:rPr>
          <w:rFonts w:ascii="Courier New" w:cs="Courier New" w:eastAsia="Courier New" w:hAnsi="Courier New"/>
          <w:sz w:val="16"/>
          <w:szCs w:val="16"/>
          <w:color w:val="auto"/>
        </w:rPr>
        <w:t>Section 607. Corporate Trustee Required; Eligibility.</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930"/>
        <w:spacing w:after="0" w:line="273" w:lineRule="auto"/>
        <w:rPr>
          <w:sz w:val="20"/>
          <w:szCs w:val="20"/>
          <w:color w:val="auto"/>
        </w:rPr>
      </w:pPr>
      <w:r>
        <w:rPr>
          <w:rFonts w:ascii="Courier New" w:cs="Courier New" w:eastAsia="Courier New" w:hAnsi="Courier New"/>
          <w:sz w:val="14"/>
          <w:szCs w:val="14"/>
          <w:color w:val="auto"/>
        </w:rPr>
        <w:t>There shall at all times be a Trustee hereunder which shall be eligible to act as Trustee under TIA Section 310(a)(1) and shall have a combined capital and surplus of at least $50,000,000. If such corporation publishes reports of condition at least annually, pursuant to law or the requirements of Federal, State, Territorial or District of Columbia supervising or examining authority, then for the purposes of this Section, the combined capital and surplus of such corporation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w:t>
      </w:r>
    </w:p>
    <w:p>
      <w:pPr>
        <w:spacing w:after="0" w:line="33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608. Resignation and Removal; Appointment of Successor.</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959" w:firstLine="926"/>
        <w:spacing w:after="0" w:line="235" w:lineRule="auto"/>
        <w:tabs>
          <w:tab w:leader="none" w:pos="1302" w:val="left"/>
        </w:tabs>
        <w:numPr>
          <w:ilvl w:val="0"/>
          <w:numId w:val="2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resignation or removal of the Trustee and no appointment of a successor Trustee pursuant to this Article shall become effective until the acceptance of appointment by the successor Trustee in accordance with the applicable requirements of Section 609.</w:t>
      </w:r>
    </w:p>
    <w:p>
      <w:pPr>
        <w:spacing w:after="0" w:line="184" w:lineRule="exact"/>
        <w:rPr>
          <w:rFonts w:ascii="Courier New" w:cs="Courier New" w:eastAsia="Courier New" w:hAnsi="Courier New"/>
          <w:sz w:val="16"/>
          <w:szCs w:val="16"/>
          <w:color w:val="auto"/>
        </w:rPr>
      </w:pPr>
    </w:p>
    <w:p>
      <w:pPr>
        <w:ind w:right="2879" w:firstLine="926"/>
        <w:spacing w:after="0" w:line="295" w:lineRule="auto"/>
        <w:tabs>
          <w:tab w:leader="none" w:pos="1302" w:val="left"/>
        </w:tabs>
        <w:numPr>
          <w:ilvl w:val="0"/>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resign at any time with respect to the Securities of one or more series by giving written notice thereof to the Company.</w:t>
      </w:r>
    </w:p>
    <w:p>
      <w:pPr>
        <w:spacing w:after="0" w:line="146" w:lineRule="exact"/>
        <w:rPr>
          <w:rFonts w:ascii="Courier New" w:cs="Courier New" w:eastAsia="Courier New" w:hAnsi="Courier New"/>
          <w:sz w:val="14"/>
          <w:szCs w:val="14"/>
          <w:color w:val="auto"/>
        </w:rPr>
      </w:pPr>
    </w:p>
    <w:p>
      <w:pPr>
        <w:ind w:right="2779" w:firstLine="926"/>
        <w:spacing w:after="0" w:line="235" w:lineRule="auto"/>
        <w:tabs>
          <w:tab w:leader="none" w:pos="1302" w:val="left"/>
        </w:tabs>
        <w:numPr>
          <w:ilvl w:val="0"/>
          <w:numId w:val="2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be removed at any time with respect to the Securities of any series by Act of the Holders of a majority in principal amount of the Outstanding Securities of such series delivered to the Trustee and to the Company.</w:t>
      </w:r>
    </w:p>
    <w:p>
      <w:pPr>
        <w:spacing w:after="0" w:line="178" w:lineRule="exact"/>
        <w:rPr>
          <w:rFonts w:ascii="Courier New" w:cs="Courier New" w:eastAsia="Courier New" w:hAnsi="Courier New"/>
          <w:sz w:val="16"/>
          <w:szCs w:val="16"/>
          <w:color w:val="auto"/>
        </w:rPr>
      </w:pPr>
    </w:p>
    <w:p>
      <w:pPr>
        <w:ind w:left="1300" w:hanging="374"/>
        <w:spacing w:after="0"/>
        <w:tabs>
          <w:tab w:leader="none" w:pos="1300" w:val="left"/>
        </w:tabs>
        <w:numPr>
          <w:ilvl w:val="0"/>
          <w:numId w:val="2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 any time:</w:t>
      </w:r>
    </w:p>
    <w:p>
      <w:pPr>
        <w:spacing w:after="0" w:line="182" w:lineRule="exact"/>
        <w:rPr>
          <w:rFonts w:ascii="Courier New" w:cs="Courier New" w:eastAsia="Courier New" w:hAnsi="Courier New"/>
          <w:sz w:val="16"/>
          <w:szCs w:val="16"/>
          <w:color w:val="auto"/>
        </w:rPr>
      </w:pPr>
    </w:p>
    <w:p>
      <w:pPr>
        <w:ind w:left="920" w:right="2779" w:firstLine="936"/>
        <w:spacing w:after="0" w:line="235" w:lineRule="auto"/>
        <w:tabs>
          <w:tab w:leader="none" w:pos="2222" w:val="left"/>
        </w:tabs>
        <w:numPr>
          <w:ilvl w:val="1"/>
          <w:numId w:val="2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fail to comply with the provisions of TIA Section 310(b) after written request therefor by the Company or by any Holder of a Security who has been a bona fide Holder of a Security for at least six months, or</w:t>
      </w:r>
    </w:p>
    <w:p>
      <w:pPr>
        <w:spacing w:after="0" w:line="184" w:lineRule="exact"/>
        <w:rPr>
          <w:rFonts w:ascii="Courier New" w:cs="Courier New" w:eastAsia="Courier New" w:hAnsi="Courier New"/>
          <w:sz w:val="16"/>
          <w:szCs w:val="16"/>
          <w:color w:val="auto"/>
        </w:rPr>
      </w:pPr>
    </w:p>
    <w:p>
      <w:pPr>
        <w:jc w:val="both"/>
        <w:ind w:left="920" w:right="2779" w:firstLine="936"/>
        <w:spacing w:after="0" w:line="235" w:lineRule="auto"/>
        <w:tabs>
          <w:tab w:leader="none" w:pos="2222" w:val="left"/>
        </w:tabs>
        <w:numPr>
          <w:ilvl w:val="1"/>
          <w:numId w:val="2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cease to be eligible under Section 607 and shall fail to resign after written request therefor by the Company or by any Holder of a Security who has been a bona fide Holder of a Security for at least six months, or</w:t>
      </w:r>
    </w:p>
    <w:p>
      <w:pPr>
        <w:spacing w:after="0" w:line="184" w:lineRule="exact"/>
        <w:rPr>
          <w:rFonts w:ascii="Courier New" w:cs="Courier New" w:eastAsia="Courier New" w:hAnsi="Courier New"/>
          <w:sz w:val="16"/>
          <w:szCs w:val="16"/>
          <w:color w:val="auto"/>
        </w:rPr>
      </w:pPr>
    </w:p>
    <w:p>
      <w:pPr>
        <w:ind w:left="920" w:right="2779" w:firstLine="936"/>
        <w:spacing w:after="0" w:line="273" w:lineRule="auto"/>
        <w:tabs>
          <w:tab w:leader="none" w:pos="2222" w:val="left"/>
        </w:tabs>
        <w:numPr>
          <w:ilvl w:val="1"/>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 then, in any such case, (i) the Company by or pursuant to a Board Resolution may remove the Trustee and appoint a successor Trustee with respect to all Securities, or (ii) subject to TIA Section 315(e), any Holder of a Security who has been a bona fide Holder of a Security for at least</w:t>
      </w: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59</w:t>
      </w:r>
    </w:p>
    <w:p>
      <w:pPr>
        <w:sectPr>
          <w:pgSz w:w="11900" w:h="16838" w:orient="portrait"/>
          <w:cols w:equalWidth="0" w:num="1">
            <w:col w:w="10219"/>
          </w:cols>
          <w:pgMar w:left="240" w:top="649" w:right="1440" w:bottom="1440" w:gutter="0" w:footer="0" w:header="0"/>
        </w:sectPr>
      </w:pPr>
    </w:p>
    <w:bookmarkStart w:id="238" w:name="page239"/>
    <w:bookmarkEnd w:id="238"/>
    <w:p>
      <w:pPr>
        <w:ind w:left="460" w:right="2779"/>
        <w:spacing w:after="0" w:line="235" w:lineRule="auto"/>
        <w:rPr>
          <w:sz w:val="20"/>
          <w:szCs w:val="20"/>
          <w:color w:val="auto"/>
        </w:rPr>
      </w:pPr>
      <w:r>
        <w:rPr>
          <w:rFonts w:ascii="Courier New" w:cs="Courier New" w:eastAsia="Courier New" w:hAnsi="Courier New"/>
          <w:sz w:val="16"/>
          <w:szCs w:val="16"/>
          <w:color w:val="auto"/>
        </w:rPr>
        <w:t>six months may, on behalf of himself and all others similarly situated, petition any court of competent jurisdiction for the removal of the Trustee with respect to all Securities and the appointment of a successor Trustee or Trustees.</w:t>
      </w:r>
    </w:p>
    <w:p>
      <w:pPr>
        <w:spacing w:after="0" w:line="185" w:lineRule="exact"/>
        <w:rPr>
          <w:sz w:val="20"/>
          <w:szCs w:val="20"/>
          <w:color w:val="auto"/>
        </w:rPr>
      </w:pPr>
    </w:p>
    <w:p>
      <w:pPr>
        <w:ind w:left="-460" w:right="2779" w:firstLine="926"/>
        <w:spacing w:after="0" w:line="275" w:lineRule="auto"/>
        <w:tabs>
          <w:tab w:leader="none" w:pos="842"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 instrument of acceptance by a successor Trustee shall not have been delivered to the Trustee within 30 days after the giving of a notice of resignation or the delivery of an Act of removal, the Trustee resigning or being removed or any Holder who has been a bona fide Holder of Securities for at least six months, may petition at the expense of the Company any court of competent jurisdiction for the appointment of a successor Trustee.</w:t>
      </w:r>
    </w:p>
    <w:p>
      <w:pPr>
        <w:spacing w:after="0" w:line="161" w:lineRule="exact"/>
        <w:rPr>
          <w:rFonts w:ascii="Courier New" w:cs="Courier New" w:eastAsia="Courier New" w:hAnsi="Courier New"/>
          <w:sz w:val="14"/>
          <w:szCs w:val="14"/>
          <w:color w:val="auto"/>
        </w:rPr>
      </w:pPr>
    </w:p>
    <w:p>
      <w:pPr>
        <w:ind w:left="-460" w:right="2779" w:firstLine="926"/>
        <w:spacing w:after="0" w:line="271" w:lineRule="auto"/>
        <w:tabs>
          <w:tab w:leader="none" w:pos="842"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Trustee shall resign, be removed or become incapable of acting, or if a vacancy shall occur in the office of Trustee for any cause with respect to the Securities of one or more series, the Company, by or pursuant to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except as provided in Section 613, there shall be only one Trustee with respect to the Securities of any particular series).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of Securities and accepted appointment in the manner hereinafter provided, any Holder of a Security who has been a bona fide Holder of a Security of such series for at least six months may, on behalf of himself and all others similarly situated, petition any court of competent jurisdiction for the appointment of a successor Trustee with respect to Securities of such series.</w:t>
      </w:r>
    </w:p>
    <w:p>
      <w:pPr>
        <w:spacing w:after="0" w:line="200" w:lineRule="exact"/>
        <w:rPr>
          <w:rFonts w:ascii="Courier New" w:cs="Courier New" w:eastAsia="Courier New" w:hAnsi="Courier New"/>
          <w:sz w:val="14"/>
          <w:szCs w:val="14"/>
          <w:color w:val="auto"/>
        </w:rPr>
      </w:pPr>
    </w:p>
    <w:p>
      <w:pPr>
        <w:spacing w:after="0" w:line="332" w:lineRule="exact"/>
        <w:rPr>
          <w:rFonts w:ascii="Courier New" w:cs="Courier New" w:eastAsia="Courier New" w:hAnsi="Courier New"/>
          <w:sz w:val="14"/>
          <w:szCs w:val="14"/>
          <w:color w:val="auto"/>
        </w:rPr>
      </w:pPr>
    </w:p>
    <w:p>
      <w:pPr>
        <w:ind w:left="-460" w:right="2779" w:firstLine="926"/>
        <w:spacing w:after="0" w:line="275" w:lineRule="auto"/>
        <w:tabs>
          <w:tab w:leader="none" w:pos="842"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give notice of each resignation and each removal of the Trustee with respect to the Securities of any series and each appointment of a successor Trustee with respect to the Securities of any series in the manner provided for notices to the Holders of Securities in Section 106. Each notice shall include the name of the successor Trustee with respect to the Securities of such series and the address of its Corporate Trust Office.</w:t>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609. Acceptance of Appointment by Successor.</w:t>
      </w:r>
    </w:p>
    <w:p>
      <w:pPr>
        <w:ind w:left="120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460" w:right="2779" w:firstLine="926"/>
        <w:spacing w:after="0" w:line="275" w:lineRule="auto"/>
        <w:tabs>
          <w:tab w:leader="none" w:pos="842" w:val="left"/>
        </w:tabs>
        <w:numPr>
          <w:ilvl w:val="0"/>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of the appointment hereunder of a successor Trustee with respect to all Securities, every such successor Trustee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60</w:t>
      </w:r>
    </w:p>
    <w:p>
      <w:pPr>
        <w:sectPr>
          <w:pgSz w:w="11900" w:h="16838" w:orient="portrait"/>
          <w:cols w:equalWidth="0" w:num="1">
            <w:col w:w="9759"/>
          </w:cols>
          <w:pgMar w:left="700" w:top="655" w:right="1440" w:bottom="1440" w:gutter="0" w:footer="0" w:header="0"/>
        </w:sectPr>
      </w:pPr>
    </w:p>
    <w:bookmarkStart w:id="239" w:name="page240"/>
    <w:bookmarkEnd w:id="239"/>
    <w:p>
      <w:pPr>
        <w:ind w:right="2959"/>
        <w:spacing w:after="0" w:line="236" w:lineRule="auto"/>
        <w:rPr>
          <w:sz w:val="20"/>
          <w:szCs w:val="20"/>
          <w:color w:val="auto"/>
        </w:rPr>
      </w:pPr>
      <w:r>
        <w:rPr>
          <w:rFonts w:ascii="Courier New" w:cs="Courier New" w:eastAsia="Courier New" w:hAnsi="Courier New"/>
          <w:sz w:val="16"/>
          <w:szCs w:val="16"/>
          <w:color w:val="auto"/>
        </w:rPr>
        <w:t>powers, trusts and duties of the retiring Trustee; but, on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subject nevertheless to its claim, if any, provided for in Section 606.</w:t>
      </w:r>
    </w:p>
    <w:p>
      <w:pPr>
        <w:spacing w:after="0" w:line="184" w:lineRule="exact"/>
        <w:rPr>
          <w:sz w:val="20"/>
          <w:szCs w:val="20"/>
          <w:color w:val="auto"/>
        </w:rPr>
      </w:pPr>
    </w:p>
    <w:p>
      <w:pPr>
        <w:ind w:right="2879" w:firstLine="926"/>
        <w:spacing w:after="0" w:line="276" w:lineRule="auto"/>
        <w:tabs>
          <w:tab w:leader="none" w:pos="1302" w:val="left"/>
        </w:tabs>
        <w:numPr>
          <w:ilvl w:val="0"/>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w:t>
      </w:r>
    </w:p>
    <w:p>
      <w:pPr>
        <w:spacing w:after="0" w:line="161" w:lineRule="exact"/>
        <w:rPr>
          <w:rFonts w:ascii="Courier New" w:cs="Courier New" w:eastAsia="Courier New" w:hAnsi="Courier New"/>
          <w:sz w:val="14"/>
          <w:szCs w:val="14"/>
          <w:color w:val="auto"/>
        </w:rPr>
      </w:pPr>
    </w:p>
    <w:p>
      <w:pPr>
        <w:jc w:val="both"/>
        <w:ind w:left="920" w:right="2959" w:firstLine="936"/>
        <w:spacing w:after="0" w:line="235" w:lineRule="auto"/>
        <w:tabs>
          <w:tab w:leader="none" w:pos="2222" w:val="left"/>
        </w:tabs>
        <w:numPr>
          <w:ilvl w:val="1"/>
          <w:numId w:val="3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w:t>
      </w:r>
    </w:p>
    <w:p>
      <w:pPr>
        <w:spacing w:after="0" w:line="185" w:lineRule="exact"/>
        <w:rPr>
          <w:rFonts w:ascii="Courier New" w:cs="Courier New" w:eastAsia="Courier New" w:hAnsi="Courier New"/>
          <w:sz w:val="16"/>
          <w:szCs w:val="16"/>
          <w:color w:val="auto"/>
        </w:rPr>
      </w:pPr>
    </w:p>
    <w:p>
      <w:pPr>
        <w:ind w:left="920" w:right="2879" w:firstLine="936"/>
        <w:spacing w:after="0" w:line="275" w:lineRule="auto"/>
        <w:tabs>
          <w:tab w:leader="none" w:pos="2222" w:val="left"/>
        </w:tabs>
        <w:numPr>
          <w:ilvl w:val="1"/>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w:t>
      </w:r>
    </w:p>
    <w:p>
      <w:pPr>
        <w:spacing w:after="0" w:line="161" w:lineRule="exact"/>
        <w:rPr>
          <w:rFonts w:ascii="Courier New" w:cs="Courier New" w:eastAsia="Courier New" w:hAnsi="Courier New"/>
          <w:sz w:val="14"/>
          <w:szCs w:val="14"/>
          <w:color w:val="auto"/>
        </w:rPr>
      </w:pPr>
    </w:p>
    <w:p>
      <w:pPr>
        <w:ind w:left="920" w:right="2779" w:firstLine="936"/>
        <w:spacing w:after="0" w:line="272" w:lineRule="auto"/>
        <w:tabs>
          <w:tab w:leader="none" w:pos="2222" w:val="left"/>
        </w:tabs>
        <w:numPr>
          <w:ilvl w:val="1"/>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342" w:lineRule="exact"/>
        <w:rPr>
          <w:rFonts w:ascii="Courier New" w:cs="Courier New" w:eastAsia="Courier New" w:hAnsi="Courier New"/>
          <w:sz w:val="14"/>
          <w:szCs w:val="14"/>
          <w:color w:val="auto"/>
        </w:rPr>
      </w:pPr>
    </w:p>
    <w:p>
      <w:pPr>
        <w:jc w:val="both"/>
        <w:ind w:right="3239" w:firstLine="926"/>
        <w:spacing w:after="0" w:line="295" w:lineRule="auto"/>
        <w:tabs>
          <w:tab w:leader="none" w:pos="1302" w:val="left"/>
        </w:tabs>
        <w:numPr>
          <w:ilvl w:val="0"/>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request of any such successor Trustee, the Company shall execute any and all instruments for more fully and certainly vesting in and</w:t>
      </w:r>
    </w:p>
    <w:p>
      <w:pPr>
        <w:spacing w:after="0" w:line="32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61</w:t>
      </w:r>
    </w:p>
    <w:p>
      <w:pPr>
        <w:sectPr>
          <w:pgSz w:w="11900" w:h="16838" w:orient="portrait"/>
          <w:cols w:equalWidth="0" w:num="1">
            <w:col w:w="10219"/>
          </w:cols>
          <w:pgMar w:left="240" w:top="655" w:right="1440" w:bottom="1440" w:gutter="0" w:footer="0" w:header="0"/>
        </w:sectPr>
      </w:pPr>
    </w:p>
    <w:bookmarkStart w:id="240" w:name="page241"/>
    <w:bookmarkEnd w:id="240"/>
    <w:p>
      <w:pPr>
        <w:ind w:right="2779"/>
        <w:spacing w:after="0" w:line="234" w:lineRule="auto"/>
        <w:rPr>
          <w:sz w:val="20"/>
          <w:szCs w:val="20"/>
          <w:color w:val="auto"/>
        </w:rPr>
      </w:pPr>
      <w:r>
        <w:rPr>
          <w:rFonts w:ascii="Courier New" w:cs="Courier New" w:eastAsia="Courier New" w:hAnsi="Courier New"/>
          <w:sz w:val="16"/>
          <w:szCs w:val="16"/>
          <w:color w:val="auto"/>
        </w:rPr>
        <w:t>confirming to such successor Trustee all such rights, powers and trusts referred to in Subsection (a) or (b) of this Section, as the case may be.</w:t>
      </w:r>
    </w:p>
    <w:p>
      <w:pPr>
        <w:spacing w:after="0" w:line="183" w:lineRule="exact"/>
        <w:rPr>
          <w:sz w:val="20"/>
          <w:szCs w:val="20"/>
          <w:color w:val="auto"/>
        </w:rPr>
      </w:pPr>
    </w:p>
    <w:p>
      <w:pPr>
        <w:ind w:right="2959" w:firstLine="926"/>
        <w:spacing w:after="0" w:line="235" w:lineRule="auto"/>
        <w:tabs>
          <w:tab w:leader="none" w:pos="1302" w:val="left"/>
        </w:tabs>
        <w:numPr>
          <w:ilvl w:val="0"/>
          <w:numId w:val="3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successor Trustee shall accept its appointment unless at the time of such acceptance such successor Trustee shall be qualified and eligible under this Article.</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Section 610. Merger, Conversion, Consolidation or Succession to Business.</w:t>
      </w:r>
    </w:p>
    <w:p>
      <w:pPr>
        <w:spacing w:after="0" w:line="14"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930"/>
        <w:spacing w:after="0" w:line="236" w:lineRule="auto"/>
        <w:rPr>
          <w:sz w:val="20"/>
          <w:szCs w:val="20"/>
          <w:color w:val="auto"/>
        </w:rPr>
      </w:pPr>
      <w:r>
        <w:rPr>
          <w:rFonts w:ascii="Courier New" w:cs="Courier New" w:eastAsia="Courier New" w:hAnsi="Courier New"/>
          <w:sz w:val="16"/>
          <w:szCs w:val="16"/>
          <w:color w:val="auto"/>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shall be the successor of the Trustee hereunder, provided such corporation shall be otherwise qualified and eligible under this Article, without the execution or filing of any paper or any further act on the part of any of the parties hereto. In case any Securities or coupons shall have been authenticated, but not delivered, by the Trustee then in office, any successor by merger, conversion or consolidation to such authenticating Trustee may adopt such authentication and deliver the Securities or coupons so authenticated with the same effect as if such successor Trustee had itself authenticated such Securities or coupons. In case any Securities or coupons shall not have been authenticated by such predecessor Trustee, any such successor Trustee may authenticate and deliver such Securities or coupons, in either its own name or that of its predecessor Trustee, with the full force and effect which this Indenture provides for the certificate of authentication of the Trustee.</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611. Appointment of Authenticating Agent.</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926"/>
        <w:spacing w:after="0" w:line="272" w:lineRule="auto"/>
        <w:tabs>
          <w:tab w:leader="none" w:pos="1302"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when any of the Securities remain Outstanding, the Trustee may appoint an Authenticating Agent or Agents with respect to one or more series of Securities which shall be authorized to act on behalf of the Trustee to authenticate Securities of such series issued upon exchange, registration of transfer or partial redemption thereof, and Securities so authenticated shall be entitled to the benefits of this Indenture and shall be valid and obligatory for all purposes as if authenticated by the Trustee hereunder. Any such appointment shall be evidenced by an instrument in writing signed by a Responsible Officer of the Trustee, a copy of which instrument shall be promptly furnished to the Company.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reasonably acceptable to the Company and, except as may otherwise be provided pursuant to Section 301, shall at all times be a bank or trust company or corporation organized and doing business and in good standing under the laws of the United States of America or of any State or the District of Columbia, authorized under such laws to act as Authenticating Agent, having a combined capital and surplus of not less than $50,000,000 and subject to supervision or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62</w:t>
      </w:r>
    </w:p>
    <w:p>
      <w:pPr>
        <w:sectPr>
          <w:pgSz w:w="11900" w:h="16838" w:orient="portrait"/>
          <w:cols w:equalWidth="0" w:num="1">
            <w:col w:w="10219"/>
          </w:cols>
          <w:pgMar w:left="240" w:top="654" w:right="1440" w:bottom="1440" w:gutter="0" w:footer="0" w:header="0"/>
        </w:sectPr>
      </w:pPr>
    </w:p>
    <w:bookmarkStart w:id="241" w:name="page242"/>
    <w:bookmarkEnd w:id="241"/>
    <w:p>
      <w:pPr>
        <w:ind w:right="2959"/>
        <w:spacing w:after="0" w:line="274" w:lineRule="auto"/>
        <w:rPr>
          <w:sz w:val="20"/>
          <w:szCs w:val="20"/>
          <w:color w:val="auto"/>
        </w:rPr>
      </w:pPr>
      <w:r>
        <w:rPr>
          <w:rFonts w:ascii="Courier New" w:cs="Courier New" w:eastAsia="Courier New" w:hAnsi="Courier New"/>
          <w:sz w:val="14"/>
          <w:szCs w:val="14"/>
          <w:color w:val="auto"/>
        </w:rPr>
        <w:t>examination by Federal or State authorities. If such Authenticating Agent publishes reports of condition at least annually, pursuant to law or the requirements of the aforesaid supervising or examining authority, then for the purposes of this Section, the combined capital and surplus of such Authenticating Agent shall be deemed to be its combined capital and surplus as set forth in its most recent report of condition so published. In case at any time an Authenticating Agent shall cease to be eligible in accordance with the provisions of this Section, such Authenticating Agent shall resign immediately in the manner and with the effect specified in this Section.</w:t>
      </w:r>
    </w:p>
    <w:p>
      <w:pPr>
        <w:spacing w:after="0" w:line="340" w:lineRule="exact"/>
        <w:rPr>
          <w:sz w:val="20"/>
          <w:szCs w:val="20"/>
          <w:color w:val="auto"/>
        </w:rPr>
      </w:pPr>
    </w:p>
    <w:p>
      <w:pPr>
        <w:ind w:right="2879" w:firstLine="926"/>
        <w:spacing w:after="0" w:line="274" w:lineRule="auto"/>
        <w:tabs>
          <w:tab w:leader="none" w:pos="1302"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further act on the part of the Trustee or the Authenticating Agent.</w:t>
      </w:r>
    </w:p>
    <w:p>
      <w:pPr>
        <w:spacing w:after="0" w:line="161" w:lineRule="exact"/>
        <w:rPr>
          <w:rFonts w:ascii="Courier New" w:cs="Courier New" w:eastAsia="Courier New" w:hAnsi="Courier New"/>
          <w:sz w:val="14"/>
          <w:szCs w:val="14"/>
          <w:color w:val="auto"/>
        </w:rPr>
      </w:pPr>
    </w:p>
    <w:p>
      <w:pPr>
        <w:ind w:right="2779" w:firstLine="926"/>
        <w:spacing w:after="0" w:line="272" w:lineRule="auto"/>
        <w:tabs>
          <w:tab w:leader="none" w:pos="1302"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Authenticating Agent for any series of Securities may at any time resign by giving written notice of resignation to the Trustee for such series and to the Company. The Trustee for any series of Securities may at any time terminate the agency of an Authenticating Agent by giving written notice of termination to such Authenticating Agent and to the Company. Upon receiving such a notice of resignation or upon such a termination, or in case at any time such Authenticating Agent shall cease to be eligible in accordance with the provisions of this Section, the Trustee for such series may appoint a successor Authenticating Agent which shall be acceptable to the Company and shall give notice of such appointment to all Holders of Securities of the series with respect to which such Authenticating Agent will serve in the manner set forth in Section 106. Any successor Authenticating Agent upon acceptance of its appointment hereunder shall become vested with all the rights, powers and duties of its predecessor hereunder, with like effect as if originally named as an Authenticating Agent herein. No successor Authenticating Agent shall be appointed unless eligible under the provisions of this Section.</w:t>
      </w:r>
    </w:p>
    <w:p>
      <w:pPr>
        <w:spacing w:after="0" w:line="345" w:lineRule="exact"/>
        <w:rPr>
          <w:rFonts w:ascii="Courier New" w:cs="Courier New" w:eastAsia="Courier New" w:hAnsi="Courier New"/>
          <w:sz w:val="14"/>
          <w:szCs w:val="14"/>
          <w:color w:val="auto"/>
        </w:rPr>
      </w:pPr>
    </w:p>
    <w:p>
      <w:pPr>
        <w:ind w:right="2959" w:firstLine="926"/>
        <w:spacing w:after="0" w:line="235" w:lineRule="auto"/>
        <w:tabs>
          <w:tab w:leader="none" w:pos="1302" w:val="left"/>
        </w:tabs>
        <w:numPr>
          <w:ilvl w:val="0"/>
          <w:numId w:val="3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agrees to pay to each Authenticating Agent from time to time reasonable compensation including reimbursement of its reasonable expenses for its services under this Section.</w:t>
      </w:r>
    </w:p>
    <w:p>
      <w:pPr>
        <w:spacing w:after="0" w:line="183" w:lineRule="exact"/>
        <w:rPr>
          <w:rFonts w:ascii="Courier New" w:cs="Courier New" w:eastAsia="Courier New" w:hAnsi="Courier New"/>
          <w:sz w:val="16"/>
          <w:szCs w:val="16"/>
          <w:color w:val="auto"/>
        </w:rPr>
      </w:pPr>
    </w:p>
    <w:p>
      <w:pPr>
        <w:ind w:right="2879" w:firstLine="926"/>
        <w:spacing w:after="0" w:line="235" w:lineRule="auto"/>
        <w:tabs>
          <w:tab w:leader="none" w:pos="1302" w:val="left"/>
        </w:tabs>
        <w:numPr>
          <w:ilvl w:val="0"/>
          <w:numId w:val="3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 appointment with respect to one or more series is made pursuant to this Section, the Securities of such series may have endorsed thereon, in addition to or in lieu of the Trustee's certificate of authentication, an alternate certificate of authentication substantially in the following form:</w:t>
      </w:r>
    </w:p>
    <w:p>
      <w:pPr>
        <w:spacing w:after="0" w:line="186" w:lineRule="exact"/>
        <w:rPr>
          <w:sz w:val="20"/>
          <w:szCs w:val="20"/>
          <w:color w:val="auto"/>
        </w:rPr>
      </w:pPr>
    </w:p>
    <w:p>
      <w:pPr>
        <w:ind w:right="3519" w:firstLine="930"/>
        <w:spacing w:after="0" w:line="234" w:lineRule="auto"/>
        <w:rPr>
          <w:sz w:val="20"/>
          <w:szCs w:val="20"/>
          <w:color w:val="auto"/>
        </w:rPr>
      </w:pPr>
      <w:r>
        <w:rPr>
          <w:rFonts w:ascii="Courier New" w:cs="Courier New" w:eastAsia="Courier New" w:hAnsi="Courier New"/>
          <w:sz w:val="16"/>
          <w:szCs w:val="16"/>
          <w:color w:val="auto"/>
        </w:rPr>
        <w:t>This is one of the Securities of the series designated therein referred to in the within-mentioned Indenture.</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63</w:t>
      </w:r>
    </w:p>
    <w:p>
      <w:pPr>
        <w:sectPr>
          <w:pgSz w:w="11900" w:h="16838" w:orient="portrait"/>
          <w:cols w:equalWidth="0" w:num="1">
            <w:col w:w="10219"/>
          </w:cols>
          <w:pgMar w:left="240" w:top="655" w:right="1440" w:bottom="1440" w:gutter="0" w:footer="0" w:header="0"/>
        </w:sectPr>
      </w:pPr>
    </w:p>
    <w:bookmarkStart w:id="242" w:name="page243"/>
    <w:bookmarkEnd w:id="242"/>
    <w:p>
      <w:pPr>
        <w:ind w:left="44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sectPr>
          <w:pgSz w:w="11900" w:h="16838" w:orient="portrait"/>
          <w:cols w:equalWidth="0" w:num="2">
            <w:col w:w="6160" w:space="720"/>
            <w:col w:w="3339"/>
          </w:cols>
          <w:pgMar w:left="240" w:top="648" w:right="1440" w:bottom="1440" w:gutter="0" w:footer="0" w:header="0"/>
        </w:sectPr>
      </w:pPr>
    </w:p>
    <w:p>
      <w:pPr>
        <w:jc w:val="center"/>
        <w:ind w:right="-200"/>
        <w:spacing w:after="0" w:line="236" w:lineRule="auto"/>
        <w:rPr>
          <w:sz w:val="20"/>
          <w:szCs w:val="20"/>
          <w:color w:val="auto"/>
        </w:rPr>
      </w:pPr>
      <w:r>
        <w:rPr>
          <w:rFonts w:ascii="Courier New" w:cs="Courier New" w:eastAsia="Courier New" w:hAnsi="Courier New"/>
          <w:sz w:val="16"/>
          <w:szCs w:val="16"/>
          <w:color w:val="auto"/>
        </w:rPr>
        <w:t>as Trustee</w:t>
      </w:r>
    </w:p>
    <w:p>
      <w:pPr>
        <w:spacing w:after="0" w:line="177"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as Authenticating Agent</w:t>
      </w:r>
    </w:p>
    <w:p>
      <w:pPr>
        <w:spacing w:after="0" w:line="177"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Authorized Signatory</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612. Conflicting Interests.</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48" w:right="1440" w:bottom="1440" w:gutter="0" w:footer="0" w:header="0"/>
          <w:type w:val="continuous"/>
        </w:sectPr>
      </w:pPr>
    </w:p>
    <w:p>
      <w:pPr>
        <w:spacing w:after="0" w:line="183" w:lineRule="exact"/>
        <w:rPr>
          <w:sz w:val="20"/>
          <w:szCs w:val="20"/>
          <w:color w:val="auto"/>
        </w:rPr>
      </w:pPr>
    </w:p>
    <w:p>
      <w:pPr>
        <w:ind w:right="2879" w:firstLine="930"/>
        <w:spacing w:after="0" w:line="235" w:lineRule="auto"/>
        <w:rPr>
          <w:sz w:val="20"/>
          <w:szCs w:val="20"/>
          <w:color w:val="auto"/>
        </w:rPr>
      </w:pPr>
      <w:r>
        <w:rPr>
          <w:rFonts w:ascii="Courier New" w:cs="Courier New" w:eastAsia="Courier New" w:hAnsi="Courier New"/>
          <w:sz w:val="16"/>
          <w:szCs w:val="16"/>
          <w:color w:val="auto"/>
        </w:rPr>
        <w:t>The Trustee shall comply with the provisions of Sub-section 310(b) of the Trust Indenture Act. [Disclosure of any Senior Indenture entered into between the Company and the Trustee.]</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613. Appointment of Co-Trustee.</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926"/>
        <w:spacing w:after="0" w:line="273" w:lineRule="auto"/>
        <w:tabs>
          <w:tab w:leader="none" w:pos="1302"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 of meeting any legal requirements of any jurisdiction in which the Company may at the time be located in connection with the enforcement of any right or the taking of any action on behalf of the Holders of any Securities issued hereunder, the Trustee shall have the power and may execute and deliver all instruments necessary to appoint one or more Persons to act as a co-trustee or co-trustees, or separate trustee or separate trustees, such powers, duties, obligations, rights and trusts as the Trustee may consider necessary or desirable. Each co-trustee or separate trustee hereunder shall be required to meet the terms of eligibility as a trustee under Section 607. The Trustee shall promptly notify the Holders and the Company of the appointment of a co-trustee or separate trustee under this section.</w:t>
      </w:r>
    </w:p>
    <w:p>
      <w:pPr>
        <w:spacing w:after="0" w:line="342" w:lineRule="exact"/>
        <w:rPr>
          <w:rFonts w:ascii="Courier New" w:cs="Courier New" w:eastAsia="Courier New" w:hAnsi="Courier New"/>
          <w:sz w:val="14"/>
          <w:szCs w:val="14"/>
          <w:color w:val="auto"/>
        </w:rPr>
      </w:pPr>
    </w:p>
    <w:p>
      <w:pPr>
        <w:ind w:right="2959" w:firstLine="926"/>
        <w:spacing w:after="0" w:line="235" w:lineRule="auto"/>
        <w:tabs>
          <w:tab w:leader="none" w:pos="1302" w:val="left"/>
        </w:tabs>
        <w:numPr>
          <w:ilvl w:val="0"/>
          <w:numId w:val="3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Every separate trustee and co-trustee shall, to the extent permitted by law, be appointed and act subject to the following provisions and conditions:</w:t>
      </w:r>
    </w:p>
    <w:p>
      <w:pPr>
        <w:spacing w:after="0" w:line="183" w:lineRule="exact"/>
        <w:rPr>
          <w:rFonts w:ascii="Courier New" w:cs="Courier New" w:eastAsia="Courier New" w:hAnsi="Courier New"/>
          <w:sz w:val="16"/>
          <w:szCs w:val="16"/>
          <w:color w:val="auto"/>
        </w:rPr>
      </w:pPr>
    </w:p>
    <w:p>
      <w:pPr>
        <w:ind w:left="920" w:right="2779" w:firstLine="936"/>
        <w:spacing w:after="0" w:line="273" w:lineRule="auto"/>
        <w:tabs>
          <w:tab w:leader="none" w:pos="2222" w:val="left"/>
        </w:tabs>
        <w:numPr>
          <w:ilvl w:val="1"/>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rights, powers, duties and obligations conferred or imposed upon the Trustee shall be conferred or imposed upon and exercised or performed by the Trustee and such separate trustee or co-trustee jointly (it being understood that such separate trustee or co-trustee is not authorized to act separately without the Trustee joining in such act), except to the extent that under any law of any jurisdiction in which any particular act or acts are to be performed the Trustee shall be incompetent or unqualified to perform such act or acts, in which event such rights, powers, duties and obligations shall be exercised and performed singly by such separate trustee or co-trustee, but solely at the direction of the Trustee;</w:t>
      </w:r>
    </w:p>
    <w:p>
      <w:pPr>
        <w:spacing w:after="0" w:line="342" w:lineRule="exact"/>
        <w:rPr>
          <w:rFonts w:ascii="Courier New" w:cs="Courier New" w:eastAsia="Courier New" w:hAnsi="Courier New"/>
          <w:sz w:val="14"/>
          <w:szCs w:val="14"/>
          <w:color w:val="auto"/>
        </w:rPr>
      </w:pPr>
    </w:p>
    <w:p>
      <w:pPr>
        <w:ind w:left="920" w:right="3339" w:firstLine="936"/>
        <w:spacing w:after="0" w:line="295" w:lineRule="auto"/>
        <w:tabs>
          <w:tab w:leader="none" w:pos="2222" w:val="left"/>
        </w:tabs>
        <w:numPr>
          <w:ilvl w:val="1"/>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trustee hereunder shall be personally liable by reason of any act or omission of any other trustee hereunder;</w:t>
      </w:r>
    </w:p>
    <w:p>
      <w:pPr>
        <w:spacing w:after="0" w:line="146" w:lineRule="exact"/>
        <w:rPr>
          <w:rFonts w:ascii="Courier New" w:cs="Courier New" w:eastAsia="Courier New" w:hAnsi="Courier New"/>
          <w:sz w:val="14"/>
          <w:szCs w:val="14"/>
          <w:color w:val="auto"/>
        </w:rPr>
      </w:pPr>
    </w:p>
    <w:p>
      <w:pPr>
        <w:ind w:left="920" w:right="2779" w:firstLine="936"/>
        <w:spacing w:after="0" w:line="234" w:lineRule="auto"/>
        <w:tabs>
          <w:tab w:leader="none" w:pos="2222" w:val="left"/>
        </w:tabs>
        <w:numPr>
          <w:ilvl w:val="1"/>
          <w:numId w:val="3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at any time accept the resignation of or remove any separate trustee or co-trustee;</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64</w:t>
      </w:r>
    </w:p>
    <w:p>
      <w:pPr>
        <w:sectPr>
          <w:pgSz w:w="11900" w:h="16838" w:orient="portrait"/>
          <w:cols w:equalWidth="0" w:num="1">
            <w:col w:w="10219"/>
          </w:cols>
          <w:pgMar w:left="240" w:top="648" w:right="1440" w:bottom="1440" w:gutter="0" w:footer="0" w:header="0"/>
          <w:type w:val="continuous"/>
        </w:sectPr>
      </w:pPr>
    </w:p>
    <w:bookmarkStart w:id="243" w:name="page244"/>
    <w:bookmarkEnd w:id="243"/>
    <w:p>
      <w:pPr>
        <w:ind w:left="920" w:right="2779" w:firstLine="936"/>
        <w:spacing w:after="0" w:line="272" w:lineRule="auto"/>
        <w:tabs>
          <w:tab w:leader="none" w:pos="2222" w:val="left"/>
        </w:tabs>
        <w:numPr>
          <w:ilvl w:val="0"/>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notice, request or other writing given to the Trustee shall be deemed to have been given to each of the then separate trustees and co-trustees, as effectively as if given to each of them. Every instrument appointing any separate trustee or co-trustee shall refer to this Indenture and the conditions of this Article Six. Each separate trustee and co-trustee, upon its acceptance of the trusts conferred, shall be vested with the estates or property specified in its instrument of appointment, either jointly with the Trustee or separately, as may be provided therein, subject to all the provisions of this Indenture, specifically including every provision of this Indenture relating to the conduct of, affecting the liability of, or affording protection or rights (including the rights to compensation, reimbursement and indemnification hereunder) to, the Trustee. Every such instrument shall be filed with the Trustee; and</w:t>
      </w:r>
    </w:p>
    <w:p>
      <w:pPr>
        <w:spacing w:after="0" w:line="346" w:lineRule="exact"/>
        <w:rPr>
          <w:rFonts w:ascii="Courier New" w:cs="Courier New" w:eastAsia="Courier New" w:hAnsi="Courier New"/>
          <w:sz w:val="14"/>
          <w:szCs w:val="14"/>
          <w:color w:val="auto"/>
        </w:rPr>
      </w:pPr>
    </w:p>
    <w:p>
      <w:pPr>
        <w:ind w:left="920" w:right="2959" w:firstLine="936"/>
        <w:spacing w:after="0" w:line="275" w:lineRule="auto"/>
        <w:tabs>
          <w:tab w:leader="none" w:pos="2222" w:val="left"/>
        </w:tabs>
        <w:numPr>
          <w:ilvl w:val="0"/>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separate trustee or co-trustee may at any time constitute the Trustee its agent or attorney-in-fact with full power and authority, to the extent not prohibited by law, to do any lawful act under or in respect of this Indenture on its behalf and in its name for the purposes of enforcing any rights or taking any other action on behalf of the Holders of any Securities issued hereunder.</w:t>
      </w:r>
    </w:p>
    <w:p>
      <w:pPr>
        <w:spacing w:after="0" w:line="156"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614. Trustee's Application for Instructions from the Company.</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930"/>
        <w:spacing w:after="0" w:line="273" w:lineRule="auto"/>
        <w:rPr>
          <w:sz w:val="20"/>
          <w:szCs w:val="20"/>
          <w:color w:val="auto"/>
        </w:rPr>
      </w:pPr>
      <w:r>
        <w:rPr>
          <w:rFonts w:ascii="Courier New" w:cs="Courier New" w:eastAsia="Courier New" w:hAnsi="Courier New"/>
          <w:sz w:val="14"/>
          <w:szCs w:val="14"/>
          <w:color w:val="auto"/>
        </w:rPr>
        <w:t>Any application by the Trustee for written instructions from the Company may, at the option of the Trustee, set forth in writing any action proposed to be taken or omitted by the Trustee under this Indenture and the date on and/or after which such action shall be taken or such omission shall be effective. The Trustee shall not be liable for any action taken by, or omission of, the Trustee in accordance with a proposal included in such application on or after the date specified in such application (which date shall not be less than five Business Days after the date any officer of the Company actually receives such application, unless any such officer shall have consented in writing to any earlier date) unless prior to taking any such action (or the effective date in the case of an omission), the Trustee shall have received written instructions in response to such application specifying the action to be taken or omitted.</w:t>
      </w:r>
    </w:p>
    <w:p>
      <w:pPr>
        <w:spacing w:after="0" w:line="33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ACTICLE SEVEN</w:t>
      </w:r>
    </w:p>
    <w:p>
      <w:pPr>
        <w:ind w:left="1480"/>
        <w:spacing w:after="0" w:line="236" w:lineRule="auto"/>
        <w:rPr>
          <w:sz w:val="20"/>
          <w:szCs w:val="20"/>
          <w:color w:val="auto"/>
        </w:rPr>
      </w:pPr>
      <w:r>
        <w:rPr>
          <w:rFonts w:ascii="Courier New" w:cs="Courier New" w:eastAsia="Courier New" w:hAnsi="Courier New"/>
          <w:sz w:val="16"/>
          <w:szCs w:val="16"/>
          <w:color w:val="auto"/>
        </w:rPr>
        <w:t>HOLDERS' LISTS AND REPORTS BY TRUSTEE AND COMPANY</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701. Disclosure of Names and Addresses of Holders.</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1300" w:hanging="374"/>
        <w:spacing w:after="0"/>
        <w:tabs>
          <w:tab w:leader="none" w:pos="1300"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furnish or cause to be furnished to the Trustee:</w:t>
      </w:r>
    </w:p>
    <w:p>
      <w:pPr>
        <w:spacing w:after="0" w:line="199" w:lineRule="exact"/>
        <w:rPr>
          <w:rFonts w:ascii="Courier New" w:cs="Courier New" w:eastAsia="Courier New" w:hAnsi="Courier New"/>
          <w:sz w:val="14"/>
          <w:szCs w:val="14"/>
          <w:color w:val="auto"/>
        </w:rPr>
      </w:pPr>
    </w:p>
    <w:p>
      <w:pPr>
        <w:ind w:left="920" w:right="2879" w:firstLine="936"/>
        <w:spacing w:after="0" w:line="276" w:lineRule="auto"/>
        <w:tabs>
          <w:tab w:leader="none" w:pos="2222" w:val="left"/>
        </w:tabs>
        <w:numPr>
          <w:ilvl w:val="1"/>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semiannually, not later than 15 days after each Regular Record Date for Securities of each series at the time Outstanding, a list in such form as the Trustee may reasonably require, of the names and addresses of the Holders of Registered Securities as of such Regular Record Date, or if there is no Regular Record Date for</w:t>
      </w:r>
    </w:p>
    <w:p>
      <w:pPr>
        <w:spacing w:after="0" w:line="33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65</w:t>
      </w:r>
    </w:p>
    <w:p>
      <w:pPr>
        <w:sectPr>
          <w:pgSz w:w="11900" w:h="16838" w:orient="portrait"/>
          <w:cols w:equalWidth="0" w:num="1">
            <w:col w:w="10219"/>
          </w:cols>
          <w:pgMar w:left="240" w:top="655" w:right="1440" w:bottom="1440" w:gutter="0" w:footer="0" w:header="0"/>
        </w:sectPr>
      </w:pPr>
    </w:p>
    <w:bookmarkStart w:id="244" w:name="page245"/>
    <w:bookmarkEnd w:id="244"/>
    <w:p>
      <w:pPr>
        <w:ind w:left="920" w:right="2879"/>
        <w:spacing w:after="0" w:line="283" w:lineRule="auto"/>
        <w:rPr>
          <w:sz w:val="20"/>
          <w:szCs w:val="20"/>
          <w:color w:val="auto"/>
        </w:rPr>
      </w:pPr>
      <w:r>
        <w:rPr>
          <w:rFonts w:ascii="Courier New" w:cs="Courier New" w:eastAsia="Courier New" w:hAnsi="Courier New"/>
          <w:sz w:val="14"/>
          <w:szCs w:val="14"/>
          <w:color w:val="auto"/>
        </w:rPr>
        <w:t>interest for such series of Securities, semiannually, upon such dates as are set forth in the Board Resolution, Officers' Certificates indenture supplemental hereto authorizing such series, and</w:t>
      </w:r>
    </w:p>
    <w:p>
      <w:pPr>
        <w:spacing w:after="0" w:line="155" w:lineRule="exact"/>
        <w:rPr>
          <w:sz w:val="20"/>
          <w:szCs w:val="20"/>
          <w:color w:val="auto"/>
        </w:rPr>
      </w:pPr>
    </w:p>
    <w:p>
      <w:pPr>
        <w:ind w:left="920" w:right="2779" w:firstLine="936"/>
        <w:spacing w:after="0" w:line="235" w:lineRule="auto"/>
        <w:tabs>
          <w:tab w:leader="none" w:pos="2222" w:val="left"/>
        </w:tabs>
        <w:numPr>
          <w:ilvl w:val="0"/>
          <w:numId w:val="3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such other times as the Trustee may request in writing, within 30 days after the receipt by the Company of any such request, a list of similar form and content as of a date not more than 15 days prior to the time such list is furnished;</w:t>
      </w:r>
    </w:p>
    <w:p>
      <w:pPr>
        <w:spacing w:after="0" w:line="185" w:lineRule="exact"/>
        <w:rPr>
          <w:sz w:val="20"/>
          <w:szCs w:val="20"/>
          <w:color w:val="auto"/>
        </w:rPr>
      </w:pPr>
    </w:p>
    <w:p>
      <w:pPr>
        <w:ind w:right="2959"/>
        <w:spacing w:after="0" w:line="234" w:lineRule="auto"/>
        <w:rPr>
          <w:sz w:val="20"/>
          <w:szCs w:val="20"/>
          <w:color w:val="auto"/>
        </w:rPr>
      </w:pPr>
      <w:r>
        <w:rPr>
          <w:rFonts w:ascii="Courier New" w:cs="Courier New" w:eastAsia="Courier New" w:hAnsi="Courier New"/>
          <w:sz w:val="16"/>
          <w:szCs w:val="16"/>
          <w:color w:val="auto"/>
        </w:rPr>
        <w:t>provided, that, so long as the Trustee is the Security Registrar, no such list shall be required to be furnished.</w:t>
      </w:r>
    </w:p>
    <w:p>
      <w:pPr>
        <w:spacing w:after="0" w:line="183" w:lineRule="exact"/>
        <w:rPr>
          <w:sz w:val="20"/>
          <w:szCs w:val="20"/>
          <w:color w:val="auto"/>
        </w:rPr>
      </w:pPr>
    </w:p>
    <w:p>
      <w:pPr>
        <w:ind w:right="2879" w:firstLine="926"/>
        <w:spacing w:after="0" w:line="236" w:lineRule="auto"/>
        <w:tabs>
          <w:tab w:leader="none" w:pos="1302" w:val="left"/>
        </w:tabs>
        <w:numPr>
          <w:ilvl w:val="0"/>
          <w:numId w:val="3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preserve, in as current a form as is reasonably practicable, the names and addresses of Holders contained in the most recent list furnished to the Trustee as provided in Section 701 and the names and addresses of Holders received by the Trustee in its capacity as Security Registrar. The Trustee may destroy any list furnished to it as provided in Section 701 upon receipt of a new list so furnished.</w:t>
      </w:r>
    </w:p>
    <w:p>
      <w:pPr>
        <w:spacing w:after="0" w:line="182" w:lineRule="exact"/>
        <w:rPr>
          <w:rFonts w:ascii="Courier New" w:cs="Courier New" w:eastAsia="Courier New" w:hAnsi="Courier New"/>
          <w:sz w:val="16"/>
          <w:szCs w:val="16"/>
          <w:color w:val="auto"/>
        </w:rPr>
      </w:pPr>
    </w:p>
    <w:p>
      <w:pPr>
        <w:ind w:right="2879" w:firstLine="926"/>
        <w:spacing w:after="0" w:line="235" w:lineRule="auto"/>
        <w:tabs>
          <w:tab w:leader="none" w:pos="1302" w:val="left"/>
        </w:tabs>
        <w:numPr>
          <w:ilvl w:val="0"/>
          <w:numId w:val="3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of the Holders to communicate with other Holders with respect to their rights under this Indenture or under the Securities, and the corresponding rights and privileges of the Trustee, shall be as provided by the Trust Indenture Act.</w:t>
      </w:r>
    </w:p>
    <w:p>
      <w:pPr>
        <w:spacing w:after="0" w:line="184" w:lineRule="exact"/>
        <w:rPr>
          <w:rFonts w:ascii="Courier New" w:cs="Courier New" w:eastAsia="Courier New" w:hAnsi="Courier New"/>
          <w:sz w:val="16"/>
          <w:szCs w:val="16"/>
          <w:color w:val="auto"/>
        </w:rPr>
      </w:pPr>
    </w:p>
    <w:p>
      <w:pPr>
        <w:ind w:right="2959" w:firstLine="926"/>
        <w:spacing w:after="0" w:line="236" w:lineRule="auto"/>
        <w:tabs>
          <w:tab w:leader="none" w:pos="1302" w:val="left"/>
        </w:tabs>
        <w:numPr>
          <w:ilvl w:val="0"/>
          <w:numId w:val="3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Every Holder of Securities or coupons, by receiving and holding the same, agrees with the Company and the Trustee that neither the Company nor the Trustee nor any Authenticating Agent nor any Paying Agent nor any Security Registrar shall be held accountable by reason of the disclosure of any information as to the names and addresses of the Holders of Securities in accordance with TIA Section 312, regardless of the source from which such information was derived, and that the Trustee shall not be held accountable by reason of mailing any material pursuant to a request made under TIA Section 312(b).</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702. Reports by Trustee.</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930"/>
        <w:spacing w:after="0" w:line="235" w:lineRule="auto"/>
        <w:rPr>
          <w:sz w:val="20"/>
          <w:szCs w:val="20"/>
          <w:color w:val="auto"/>
        </w:rPr>
      </w:pPr>
      <w:r>
        <w:rPr>
          <w:rFonts w:ascii="Courier New" w:cs="Courier New" w:eastAsia="Courier New" w:hAnsi="Courier New"/>
          <w:sz w:val="16"/>
          <w:szCs w:val="16"/>
          <w:color w:val="auto"/>
        </w:rPr>
        <w:t>Within 60 days after May 15 of each year commencing with the first May 15 after the first issuance of Securities pursuant to this Indenture, the Trustee shall transmit by mail to all Holders of Securities as provided in TIA Section 313(c) a brief report dated as of such May 15 if required by TIA Section 313(a).</w:t>
      </w:r>
    </w:p>
    <w:p>
      <w:pPr>
        <w:spacing w:after="0" w:line="186" w:lineRule="exact"/>
        <w:rPr>
          <w:sz w:val="20"/>
          <w:szCs w:val="20"/>
          <w:color w:val="auto"/>
        </w:rPr>
      </w:pPr>
    </w:p>
    <w:p>
      <w:pPr>
        <w:ind w:right="2779" w:firstLine="930"/>
        <w:spacing w:after="0" w:line="235" w:lineRule="auto"/>
        <w:rPr>
          <w:sz w:val="20"/>
          <w:szCs w:val="20"/>
          <w:color w:val="auto"/>
        </w:rPr>
      </w:pPr>
      <w:r>
        <w:rPr>
          <w:rFonts w:ascii="Courier New" w:cs="Courier New" w:eastAsia="Courier New" w:hAnsi="Courier New"/>
          <w:sz w:val="16"/>
          <w:szCs w:val="16"/>
          <w:color w:val="auto"/>
        </w:rPr>
        <w:t>A copy of each such report shall, at the time of such transmission to Holders, be filed by the Trustee with each stock exchange, if any, upon which the Securities are listed, with the Commission and with the Company. The Company will promptly notify the Trustee of the listing or de-listing of the Securities on any stock exchange.</w:t>
      </w:r>
    </w:p>
    <w:p>
      <w:pPr>
        <w:spacing w:after="0" w:line="35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66</w:t>
      </w:r>
    </w:p>
    <w:p>
      <w:pPr>
        <w:sectPr>
          <w:pgSz w:w="11900" w:h="16838" w:orient="portrait"/>
          <w:cols w:equalWidth="0" w:num="1">
            <w:col w:w="10219"/>
          </w:cols>
          <w:pgMar w:left="240" w:top="655" w:right="1440" w:bottom="1440" w:gutter="0" w:footer="0" w:header="0"/>
        </w:sectPr>
      </w:pPr>
    </w:p>
    <w:bookmarkStart w:id="245" w:name="page246"/>
    <w:bookmarkEnd w:id="245"/>
    <w:p>
      <w:pPr>
        <w:spacing w:after="0"/>
        <w:rPr>
          <w:sz w:val="20"/>
          <w:szCs w:val="20"/>
          <w:color w:val="auto"/>
        </w:rPr>
      </w:pPr>
      <w:r>
        <w:rPr>
          <w:rFonts w:ascii="Courier New" w:cs="Courier New" w:eastAsia="Courier New" w:hAnsi="Courier New"/>
          <w:sz w:val="16"/>
          <w:szCs w:val="16"/>
          <w:color w:val="auto"/>
        </w:rPr>
        <w:t>Section 703. Reports by Company.</w:t>
      </w:r>
    </w:p>
    <w:p>
      <w:pPr>
        <w:ind w:left="1200"/>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840" w:hanging="374"/>
        <w:spacing w:after="0"/>
        <w:tabs>
          <w:tab w:leader="none" w:pos="840" w:val="left"/>
        </w:tabs>
        <w:numPr>
          <w:ilvl w:val="0"/>
          <w:numId w:val="3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w:t>
      </w:r>
    </w:p>
    <w:p>
      <w:pPr>
        <w:spacing w:after="0" w:line="182" w:lineRule="exact"/>
        <w:rPr>
          <w:rFonts w:ascii="Courier New" w:cs="Courier New" w:eastAsia="Courier New" w:hAnsi="Courier New"/>
          <w:sz w:val="16"/>
          <w:szCs w:val="16"/>
          <w:color w:val="auto"/>
        </w:rPr>
      </w:pPr>
    </w:p>
    <w:p>
      <w:pPr>
        <w:ind w:left="460" w:right="2779" w:firstLine="936"/>
        <w:spacing w:after="0" w:line="272" w:lineRule="auto"/>
        <w:tabs>
          <w:tab w:leader="none" w:pos="1762" w:val="left"/>
        </w:tabs>
        <w:numPr>
          <w:ilvl w:val="1"/>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 with the Trustee, within 15 days after the Company is required to file the same with the Commission, copies of the annual reports and of the information, documents, and other reports (or copies of such portions of any of the foregoing as the Commission may from time to time by rules and regulations prescribe) which the Company may be required to file with the Commission pursuant to Section 13 or Section 15(d) of the Securities Exchange Act of 1934; or, if the Company is not required to file information, documents or reports pursuant to either of such Sections, then it will file with the Trustee and the Commission, in accordance with rules and regulations prescribed from time to time by the Commission, such of the supplementary and periodic information, documents and reports which may be required pursuant to Section 13 of the Securities Exchange Act of 1934 in respect of a security listed and registered on a national securities exchange as may be prescribed from time to time in such rules and regulations;</w:t>
      </w:r>
    </w:p>
    <w:p>
      <w:pPr>
        <w:spacing w:after="0" w:line="200" w:lineRule="exact"/>
        <w:rPr>
          <w:rFonts w:ascii="Courier New" w:cs="Courier New" w:eastAsia="Courier New" w:hAnsi="Courier New"/>
          <w:sz w:val="14"/>
          <w:szCs w:val="14"/>
          <w:color w:val="auto"/>
        </w:rPr>
      </w:pPr>
    </w:p>
    <w:p>
      <w:pPr>
        <w:spacing w:after="0" w:line="324" w:lineRule="exact"/>
        <w:rPr>
          <w:rFonts w:ascii="Courier New" w:cs="Courier New" w:eastAsia="Courier New" w:hAnsi="Courier New"/>
          <w:sz w:val="14"/>
          <w:szCs w:val="14"/>
          <w:color w:val="auto"/>
        </w:rPr>
      </w:pPr>
    </w:p>
    <w:p>
      <w:pPr>
        <w:ind w:left="460" w:right="2779" w:firstLine="936"/>
        <w:spacing w:after="0" w:line="236" w:lineRule="auto"/>
        <w:tabs>
          <w:tab w:leader="none" w:pos="1762" w:val="left"/>
        </w:tabs>
        <w:numPr>
          <w:ilvl w:val="1"/>
          <w:numId w:val="3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 with the Trustee and the Commission, in accordance with rules and regulations prescribed from time to time by the Commission, such additional information, documents and reports with respect to compliance by the Company with the conditions and covenants of this Indenture as may be required from time to time by such rules and regulations; and</w:t>
      </w:r>
    </w:p>
    <w:p>
      <w:pPr>
        <w:spacing w:after="0" w:line="182" w:lineRule="exact"/>
        <w:rPr>
          <w:rFonts w:ascii="Courier New" w:cs="Courier New" w:eastAsia="Courier New" w:hAnsi="Courier New"/>
          <w:sz w:val="16"/>
          <w:szCs w:val="16"/>
          <w:color w:val="auto"/>
        </w:rPr>
      </w:pPr>
    </w:p>
    <w:p>
      <w:pPr>
        <w:ind w:left="460" w:right="2779" w:firstLine="936"/>
        <w:spacing w:after="0" w:line="236" w:lineRule="auto"/>
        <w:tabs>
          <w:tab w:leader="none" w:pos="1762" w:val="left"/>
        </w:tabs>
        <w:numPr>
          <w:ilvl w:val="1"/>
          <w:numId w:val="3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transmit by mail to the Holders of Securities, within 30 days after the filing thereof with the Trustee, in the manner and to the extent provided in TIA Section 313(c), such summaries of any information, documents and reports required to be filed by the Company pursuant to clauses (1) and (2) of this Subsection as may be required by rules and regulations prescribed from time to time by the Commission.</w:t>
      </w:r>
    </w:p>
    <w:p>
      <w:pPr>
        <w:spacing w:after="0" w:line="183" w:lineRule="exact"/>
        <w:rPr>
          <w:rFonts w:ascii="Courier New" w:cs="Courier New" w:eastAsia="Courier New" w:hAnsi="Courier New"/>
          <w:sz w:val="16"/>
          <w:szCs w:val="16"/>
          <w:color w:val="auto"/>
        </w:rPr>
      </w:pPr>
    </w:p>
    <w:p>
      <w:pPr>
        <w:ind w:left="-460" w:right="2779" w:firstLine="926"/>
        <w:spacing w:after="0" w:line="236" w:lineRule="auto"/>
        <w:tabs>
          <w:tab w:leader="none" w:pos="842" w:val="left"/>
        </w:tabs>
        <w:numPr>
          <w:ilvl w:val="0"/>
          <w:numId w:val="3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Delivery of such reports, information and documents to the Trustee pursuant to Subsection (a) of this Section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356"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67</w:t>
      </w:r>
    </w:p>
    <w:p>
      <w:pPr>
        <w:sectPr>
          <w:pgSz w:w="11900" w:h="16838" w:orient="portrait"/>
          <w:cols w:equalWidth="0" w:num="1">
            <w:col w:w="9759"/>
          </w:cols>
          <w:pgMar w:left="700" w:top="649" w:right="1440" w:bottom="1440" w:gutter="0" w:footer="0" w:header="0"/>
        </w:sectPr>
      </w:pPr>
    </w:p>
    <w:bookmarkStart w:id="246" w:name="page247"/>
    <w:bookmarkEnd w:id="246"/>
    <w:p>
      <w:pPr>
        <w:ind w:left="460"/>
        <w:spacing w:after="0"/>
        <w:rPr>
          <w:sz w:val="20"/>
          <w:szCs w:val="20"/>
          <w:color w:val="auto"/>
        </w:rPr>
      </w:pPr>
      <w:r>
        <w:rPr>
          <w:rFonts w:ascii="Courier New" w:cs="Courier New" w:eastAsia="Courier New" w:hAnsi="Courier New"/>
          <w:sz w:val="16"/>
          <w:szCs w:val="16"/>
          <w:color w:val="auto"/>
        </w:rPr>
        <w:t>Section 704. Calculation of Original Issue Discount.</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959" w:firstLine="930"/>
        <w:spacing w:after="0" w:line="234" w:lineRule="auto"/>
        <w:rPr>
          <w:sz w:val="20"/>
          <w:szCs w:val="20"/>
          <w:color w:val="auto"/>
        </w:rPr>
      </w:pPr>
      <w:r>
        <w:rPr>
          <w:rFonts w:ascii="Courier New" w:cs="Courier New" w:eastAsia="Courier New" w:hAnsi="Courier New"/>
          <w:sz w:val="16"/>
          <w:szCs w:val="16"/>
          <w:color w:val="auto"/>
        </w:rPr>
        <w:t>Upon request of the Trustee, the Company shall file with the Trustee promptly at the end of each calendar year</w:t>
      </w:r>
    </w:p>
    <w:p>
      <w:pPr>
        <w:spacing w:after="0" w:line="183" w:lineRule="exact"/>
        <w:rPr>
          <w:sz w:val="20"/>
          <w:szCs w:val="20"/>
          <w:color w:val="auto"/>
        </w:rPr>
      </w:pPr>
    </w:p>
    <w:p>
      <w:pPr>
        <w:ind w:right="2879" w:firstLine="926"/>
        <w:spacing w:after="0" w:line="235" w:lineRule="auto"/>
        <w:tabs>
          <w:tab w:leader="none" w:pos="1302" w:val="left"/>
        </w:tabs>
        <w:numPr>
          <w:ilvl w:val="0"/>
          <w:numId w:val="3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written notice specifying the amount of original issue discount (including daily rates and accrual periods), if any, accrued on Outstanding Securities as of the end of such year and</w:t>
      </w:r>
    </w:p>
    <w:p>
      <w:pPr>
        <w:spacing w:after="0" w:line="183" w:lineRule="exact"/>
        <w:rPr>
          <w:rFonts w:ascii="Courier New" w:cs="Courier New" w:eastAsia="Courier New" w:hAnsi="Courier New"/>
          <w:sz w:val="16"/>
          <w:szCs w:val="16"/>
          <w:color w:val="auto"/>
        </w:rPr>
      </w:pPr>
    </w:p>
    <w:p>
      <w:pPr>
        <w:ind w:right="3059" w:firstLine="926"/>
        <w:spacing w:after="0" w:line="235" w:lineRule="auto"/>
        <w:tabs>
          <w:tab w:leader="none" w:pos="1302" w:val="left"/>
        </w:tabs>
        <w:numPr>
          <w:ilvl w:val="0"/>
          <w:numId w:val="3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other specific information relating to such original issue discount as may then be relevant under the Internal Revenue Code of 1986, as amended from time to time.</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ARTICLE EIGHT</w:t>
      </w:r>
    </w:p>
    <w:p>
      <w:pPr>
        <w:ind w:left="1660"/>
        <w:spacing w:after="0" w:line="236" w:lineRule="auto"/>
        <w:rPr>
          <w:sz w:val="20"/>
          <w:szCs w:val="20"/>
          <w:color w:val="auto"/>
        </w:rPr>
      </w:pPr>
      <w:r>
        <w:rPr>
          <w:rFonts w:ascii="Courier New" w:cs="Courier New" w:eastAsia="Courier New" w:hAnsi="Courier New"/>
          <w:sz w:val="16"/>
          <w:szCs w:val="16"/>
          <w:color w:val="auto"/>
        </w:rPr>
        <w:t>CONSOLIDATION, MERGER, CONVEYANCE OR TRANSFER</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801. Company May Consolidate, Etc., Only on Certain Terms.</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The Company shall not consolidate with or merge with or into</w:t>
      </w:r>
    </w:p>
    <w:p>
      <w:pPr>
        <w:spacing w:after="0" w:line="4" w:lineRule="exact"/>
        <w:rPr>
          <w:sz w:val="20"/>
          <w:szCs w:val="20"/>
          <w:color w:val="auto"/>
        </w:rPr>
      </w:pPr>
    </w:p>
    <w:p>
      <w:pPr>
        <w:ind w:right="2959"/>
        <w:spacing w:after="0" w:line="234" w:lineRule="auto"/>
        <w:rPr>
          <w:sz w:val="20"/>
          <w:szCs w:val="20"/>
          <w:color w:val="auto"/>
        </w:rPr>
      </w:pPr>
      <w:r>
        <w:rPr>
          <w:rFonts w:ascii="Courier New" w:cs="Courier New" w:eastAsia="Courier New" w:hAnsi="Courier New"/>
          <w:sz w:val="16"/>
          <w:szCs w:val="16"/>
          <w:color w:val="auto"/>
        </w:rPr>
        <w:t>any other Person or convey or transfer its properties and assets substantially as an entirety to any Person, unless:</w:t>
      </w:r>
    </w:p>
    <w:p>
      <w:pPr>
        <w:spacing w:after="0" w:line="183" w:lineRule="exact"/>
        <w:rPr>
          <w:sz w:val="20"/>
          <w:szCs w:val="20"/>
          <w:color w:val="auto"/>
        </w:rPr>
      </w:pPr>
    </w:p>
    <w:p>
      <w:pPr>
        <w:ind w:right="2959" w:firstLine="926"/>
        <w:spacing w:after="0" w:line="236" w:lineRule="auto"/>
        <w:tabs>
          <w:tab w:leader="none" w:pos="1302" w:val="left"/>
        </w:tabs>
        <w:numPr>
          <w:ilvl w:val="0"/>
          <w:numId w:val="3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either the Company shall be the continuing corporation, or the corporation (if other than the Company) formed by such consolidation or into which the Company is merged or the Person which acquires by conveyance or transfer the properties and assets of the Company substantially as an entirety shall expressly assume, by an indenture supplemental hereto, executed and delivered to the Trustee, in form satisfactory to the Trustee, all of the obligations of the Company under this Indenture and on all the Securities and this Indenture;</w:t>
      </w:r>
    </w:p>
    <w:p>
      <w:pPr>
        <w:spacing w:after="0" w:line="184" w:lineRule="exact"/>
        <w:rPr>
          <w:rFonts w:ascii="Courier New" w:cs="Courier New" w:eastAsia="Courier New" w:hAnsi="Courier New"/>
          <w:sz w:val="16"/>
          <w:szCs w:val="16"/>
          <w:color w:val="auto"/>
        </w:rPr>
      </w:pPr>
    </w:p>
    <w:p>
      <w:pPr>
        <w:ind w:right="2779" w:firstLine="926"/>
        <w:spacing w:after="0" w:line="234" w:lineRule="auto"/>
        <w:tabs>
          <w:tab w:leader="none" w:pos="1302" w:val="left"/>
        </w:tabs>
        <w:numPr>
          <w:ilvl w:val="0"/>
          <w:numId w:val="3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after giving effect to such transaction, no Default or Event of Default shall have occurred and be continuing; and</w:t>
      </w:r>
    </w:p>
    <w:p>
      <w:pPr>
        <w:spacing w:after="0" w:line="183" w:lineRule="exact"/>
        <w:rPr>
          <w:rFonts w:ascii="Courier New" w:cs="Courier New" w:eastAsia="Courier New" w:hAnsi="Courier New"/>
          <w:sz w:val="16"/>
          <w:szCs w:val="16"/>
          <w:color w:val="auto"/>
        </w:rPr>
      </w:pPr>
    </w:p>
    <w:p>
      <w:pPr>
        <w:ind w:right="2779" w:firstLine="926"/>
        <w:spacing w:after="0" w:line="235" w:lineRule="auto"/>
        <w:tabs>
          <w:tab w:leader="none" w:pos="1302" w:val="left"/>
        </w:tabs>
        <w:numPr>
          <w:ilvl w:val="0"/>
          <w:numId w:val="3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the successor Person have delivered to the Trustee an Officers' Certificate and an Opinion of Counsel each stating that such consolidation, merger, conveyance or transfer and such supplemental indenture comply with this Article and that all conditions precedent herein provided for relating to such transaction have been complied with.</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802. Successor Person Substituted.</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926"/>
        <w:spacing w:after="0" w:line="274" w:lineRule="auto"/>
        <w:tabs>
          <w:tab w:leader="none" w:pos="1302" w:val="left"/>
        </w:tabs>
        <w:numPr>
          <w:ilvl w:val="0"/>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any consolidation or merger, or any conveyance or transfer of the properties and assets of the Company substantially as an entirety in accordance with Section 801, the successor corporation formed by such consolidation or into which the Company is merged or the successor Person to which such conveyance or transfer is made shall succeed to, and be substituted for, and may exercise every right and power of, the Company under this Indenture with the same effect as if such successor had been named as the Company herein;</w:t>
      </w:r>
    </w:p>
    <w:p>
      <w:pPr>
        <w:spacing w:after="0" w:line="33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68</w:t>
      </w:r>
    </w:p>
    <w:p>
      <w:pPr>
        <w:sectPr>
          <w:pgSz w:w="11900" w:h="16838" w:orient="portrait"/>
          <w:cols w:equalWidth="0" w:num="1">
            <w:col w:w="10219"/>
          </w:cols>
          <w:pgMar w:left="240" w:top="827" w:right="1440" w:bottom="1440" w:gutter="0" w:footer="0" w:header="0"/>
        </w:sectPr>
      </w:pPr>
    </w:p>
    <w:bookmarkStart w:id="247" w:name="page248"/>
    <w:bookmarkEnd w:id="247"/>
    <w:p>
      <w:pPr>
        <w:ind w:right="3059"/>
        <w:spacing w:after="0" w:line="283" w:lineRule="auto"/>
        <w:rPr>
          <w:sz w:val="20"/>
          <w:szCs w:val="20"/>
          <w:color w:val="auto"/>
        </w:rPr>
      </w:pPr>
      <w:r>
        <w:rPr>
          <w:rFonts w:ascii="Courier New" w:cs="Courier New" w:eastAsia="Courier New" w:hAnsi="Courier New"/>
          <w:sz w:val="14"/>
          <w:szCs w:val="14"/>
          <w:color w:val="auto"/>
        </w:rPr>
        <w:t>and in the event of any such conveyance or transfer (except by a lease), the Company shall be discharged from all its obligations and covenants under this Indenture and the Securities and coupons and may be dissolved and liquidated.</w:t>
      </w:r>
    </w:p>
    <w:p>
      <w:pPr>
        <w:spacing w:after="0" w:line="155" w:lineRule="exact"/>
        <w:rPr>
          <w:sz w:val="20"/>
          <w:szCs w:val="20"/>
          <w:color w:val="auto"/>
        </w:rPr>
      </w:pPr>
    </w:p>
    <w:p>
      <w:pPr>
        <w:ind w:right="2779" w:firstLine="926"/>
        <w:spacing w:after="0" w:line="272" w:lineRule="auto"/>
        <w:tabs>
          <w:tab w:leader="none" w:pos="1302"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successor entity thereupon may cause to be signed, and may issue either in its own name or in the name of the Company, any or all of the Securities issuable hereunder which theretofore shall not have been signed by the Company and delivered to the Trustee; and, upon the order of such successor entity, instead of the Company, and subject to all the terms, conditions and limitations prescribed in this Indenture, the Trustee shall authenticate and shall deliver any Securities which previously shall have been signed and delivered by the officers of the Company to the Trustee for authentication, and any Securities which such successor entity thereafter shall cause to be signed and delivered to the Trustee for that purpose. All the Securities of any series so issued shall in all respects have the same legal rank and benefit under this Indenture as the Securities of such series theretofore or thereafter issued in accordance with the terms of this Indenture as though all of such Securities had been issued at the date of the execution hereof.</w:t>
      </w:r>
    </w:p>
    <w:p>
      <w:pPr>
        <w:spacing w:after="0" w:line="346" w:lineRule="exact"/>
        <w:rPr>
          <w:rFonts w:ascii="Courier New" w:cs="Courier New" w:eastAsia="Courier New" w:hAnsi="Courier New"/>
          <w:sz w:val="14"/>
          <w:szCs w:val="14"/>
          <w:color w:val="auto"/>
        </w:rPr>
      </w:pPr>
    </w:p>
    <w:p>
      <w:pPr>
        <w:ind w:right="3339" w:firstLine="926"/>
        <w:spacing w:after="0" w:line="235" w:lineRule="auto"/>
        <w:tabs>
          <w:tab w:leader="none" w:pos="1302" w:val="left"/>
        </w:tabs>
        <w:numPr>
          <w:ilvl w:val="0"/>
          <w:numId w:val="3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of any such merger in which the Company is not the surviving corporation or any such consolidation, sale, lease, assignment, transfer or conveyance, such changes in phraseology and form (but not in substance) may be made in the Securities thereafter to be issued as may be appropriate.</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803. Officers' Certificate and Opinion of Counsel.</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879" w:firstLine="930"/>
        <w:spacing w:after="0" w:line="236" w:lineRule="auto"/>
        <w:rPr>
          <w:sz w:val="20"/>
          <w:szCs w:val="20"/>
          <w:color w:val="auto"/>
        </w:rPr>
      </w:pPr>
      <w:r>
        <w:rPr>
          <w:rFonts w:ascii="Courier New" w:cs="Courier New" w:eastAsia="Courier New" w:hAnsi="Courier New"/>
          <w:sz w:val="16"/>
          <w:szCs w:val="16"/>
          <w:color w:val="auto"/>
        </w:rPr>
        <w:t>Any consolidation, merger, sale, conveyance, assignment, transfer or lease permitted under Section 801 is also subject to the condition that the Trustee shall have received an Officers' Certificate and an Opinion of Counsel to the effect that any such consolidation, merger, sale, conveyance, transfer, assignment or lease, and the assumption by any successor Person and any such supplemental indenture, comply with the provisions of this Article and that all conditions precedent herein provided for relating to such transaction have been complied with.</w:t>
      </w:r>
    </w:p>
    <w:p>
      <w:pPr>
        <w:spacing w:after="0" w:line="17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ARTICLE NINE</w:t>
      </w:r>
    </w:p>
    <w:p>
      <w:pPr>
        <w:ind w:left="2700"/>
        <w:spacing w:after="0" w:line="236" w:lineRule="auto"/>
        <w:rPr>
          <w:sz w:val="20"/>
          <w:szCs w:val="20"/>
          <w:color w:val="auto"/>
        </w:rPr>
      </w:pPr>
      <w:r>
        <w:rPr>
          <w:rFonts w:ascii="Courier New" w:cs="Courier New" w:eastAsia="Courier New" w:hAnsi="Courier New"/>
          <w:sz w:val="16"/>
          <w:szCs w:val="16"/>
          <w:color w:val="auto"/>
        </w:rPr>
        <w:t>SUPPLEMENTAL INDENTURES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901. Supplemental Indentures Without Consent of Holders.</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959" w:firstLine="930"/>
        <w:spacing w:after="0" w:line="235" w:lineRule="auto"/>
        <w:rPr>
          <w:sz w:val="20"/>
          <w:szCs w:val="20"/>
          <w:color w:val="auto"/>
        </w:rPr>
      </w:pPr>
      <w:r>
        <w:rPr>
          <w:rFonts w:ascii="Courier New" w:cs="Courier New" w:eastAsia="Courier New" w:hAnsi="Courier New"/>
          <w:sz w:val="16"/>
          <w:szCs w:val="16"/>
          <w:color w:val="auto"/>
        </w:rPr>
        <w:t>Without the consent of any Holders of Securities or coupons, the Company when authorized by or pursuant to a Board Resolution, and the Trustee, at any time and from time to time, may enter into one or more indentures supplemental hereto, in form satisfactory to the Trustee, for any of the following purposes:</w:t>
      </w:r>
    </w:p>
    <w:p>
      <w:pPr>
        <w:spacing w:after="0" w:line="186" w:lineRule="exact"/>
        <w:rPr>
          <w:sz w:val="20"/>
          <w:szCs w:val="20"/>
          <w:color w:val="auto"/>
        </w:rPr>
      </w:pPr>
    </w:p>
    <w:p>
      <w:pPr>
        <w:ind w:right="2879" w:firstLine="926"/>
        <w:spacing w:after="0" w:line="235" w:lineRule="auto"/>
        <w:tabs>
          <w:tab w:leader="none" w:pos="1302" w:val="left"/>
        </w:tabs>
        <w:numPr>
          <w:ilvl w:val="0"/>
          <w:numId w:val="3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evidence the succession of another Person to the Company and the assumption by any such successor of the covenants of the Company herein and in the Securities contained; or</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69</w:t>
      </w:r>
    </w:p>
    <w:p>
      <w:pPr>
        <w:sectPr>
          <w:pgSz w:w="11900" w:h="16838" w:orient="portrait"/>
          <w:cols w:equalWidth="0" w:num="1">
            <w:col w:w="10219"/>
          </w:cols>
          <w:pgMar w:left="240" w:top="655" w:right="1440" w:bottom="1440" w:gutter="0" w:footer="0" w:header="0"/>
        </w:sectPr>
      </w:pPr>
    </w:p>
    <w:bookmarkStart w:id="248" w:name="page249"/>
    <w:bookmarkEnd w:id="248"/>
    <w:p>
      <w:pPr>
        <w:ind w:left="-926" w:right="2879" w:firstLine="926"/>
        <w:spacing w:after="0" w:line="276" w:lineRule="auto"/>
        <w:tabs>
          <w:tab w:leader="none" w:pos="377" w:val="left"/>
        </w:tabs>
        <w:numPr>
          <w:ilvl w:val="0"/>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w:t>
      </w:r>
    </w:p>
    <w:p>
      <w:pPr>
        <w:spacing w:after="0" w:line="161" w:lineRule="exact"/>
        <w:rPr>
          <w:rFonts w:ascii="Courier New" w:cs="Courier New" w:eastAsia="Courier New" w:hAnsi="Courier New"/>
          <w:sz w:val="14"/>
          <w:szCs w:val="14"/>
          <w:color w:val="auto"/>
        </w:rPr>
      </w:pPr>
    </w:p>
    <w:p>
      <w:pPr>
        <w:ind w:left="-926" w:right="2779" w:firstLine="926"/>
        <w:spacing w:after="0" w:line="236" w:lineRule="auto"/>
        <w:tabs>
          <w:tab w:leader="none" w:pos="377" w:val="left"/>
        </w:tabs>
        <w:numPr>
          <w:ilvl w:val="0"/>
          <w:numId w:val="3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add any additional Events of Default for the benefit of the Holders of all or any series of Securities (and if such Events of Default are to be for the benefit of less than all series of Securities, stating that such Events of Default are expressly being included solely for the benefit of such series); provided, that, in respect of any such additional Events of Default such supplemental indenture may provide for a particular period of grace after default (which period may be shorter or longer than that allowed in the case of other defaults) or may provide for an immediate enforcement upon such default or may limit the remedies available to the Trustee upon such default or may limit the right of the Holders of a majority in aggregate principal amount of that or those series of Securities to which such additional Events of Default apply to waive such default; or</w:t>
      </w:r>
    </w:p>
    <w:p>
      <w:pPr>
        <w:spacing w:after="0" w:line="186" w:lineRule="exact"/>
        <w:rPr>
          <w:rFonts w:ascii="Courier New" w:cs="Courier New" w:eastAsia="Courier New" w:hAnsi="Courier New"/>
          <w:sz w:val="16"/>
          <w:szCs w:val="16"/>
          <w:color w:val="auto"/>
        </w:rPr>
      </w:pPr>
    </w:p>
    <w:p>
      <w:pPr>
        <w:ind w:left="-926" w:right="2779" w:firstLine="926"/>
        <w:spacing w:after="0" w:line="273" w:lineRule="auto"/>
        <w:tabs>
          <w:tab w:leader="none" w:pos="377" w:val="left"/>
        </w:tabs>
        <w:numPr>
          <w:ilvl w:val="0"/>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add to or change any of the provisions of this Indenture to provide that Bearer Securities may be registrable as to principal, to change or eliminate any restrictions on the payment of principal of or any premium or interest on Bearer Securities, to permit Bearer Securities to be issued in exchange for Registered Securities, to permit Bearer Securities to be issued in exchange for Bearer Securities of other authorized denominations or to permit or facilitate the issuance of Securities in uncertificated form; provided that any such action shall not adversely affect the interests of the Holders of Securities of any series or any related coupons in any material respect; or</w:t>
      </w:r>
    </w:p>
    <w:p>
      <w:pPr>
        <w:spacing w:after="0" w:line="165" w:lineRule="exact"/>
        <w:rPr>
          <w:rFonts w:ascii="Courier New" w:cs="Courier New" w:eastAsia="Courier New" w:hAnsi="Courier New"/>
          <w:sz w:val="14"/>
          <w:szCs w:val="14"/>
          <w:color w:val="auto"/>
        </w:rPr>
      </w:pPr>
    </w:p>
    <w:p>
      <w:pPr>
        <w:ind w:left="-926" w:right="2779" w:firstLine="926"/>
        <w:spacing w:after="0" w:line="235" w:lineRule="auto"/>
        <w:tabs>
          <w:tab w:leader="none" w:pos="377" w:val="left"/>
        </w:tabs>
        <w:numPr>
          <w:ilvl w:val="0"/>
          <w:numId w:val="3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change or eliminate any of the provisions of this Indenture; provided that any such change or elimination shall become effective only when there is no Security Outstanding of any series created prior to the execution of such supplemental indenture which is entitled to the benefit of such provision; or</w:t>
      </w:r>
    </w:p>
    <w:p>
      <w:pPr>
        <w:spacing w:after="0" w:line="185" w:lineRule="exact"/>
        <w:rPr>
          <w:rFonts w:ascii="Courier New" w:cs="Courier New" w:eastAsia="Courier New" w:hAnsi="Courier New"/>
          <w:sz w:val="16"/>
          <w:szCs w:val="16"/>
          <w:color w:val="auto"/>
        </w:rPr>
      </w:pPr>
    </w:p>
    <w:p>
      <w:pPr>
        <w:ind w:left="-926" w:right="3239" w:firstLine="926"/>
        <w:spacing w:after="0" w:line="234" w:lineRule="auto"/>
        <w:tabs>
          <w:tab w:leader="none" w:pos="377" w:val="left"/>
        </w:tabs>
        <w:numPr>
          <w:ilvl w:val="0"/>
          <w:numId w:val="3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secure the Securities pursuant to the requirements of such indenture supplement, if applicable; or</w:t>
      </w:r>
    </w:p>
    <w:p>
      <w:pPr>
        <w:spacing w:after="0" w:line="183" w:lineRule="exact"/>
        <w:rPr>
          <w:rFonts w:ascii="Courier New" w:cs="Courier New" w:eastAsia="Courier New" w:hAnsi="Courier New"/>
          <w:sz w:val="16"/>
          <w:szCs w:val="16"/>
          <w:color w:val="auto"/>
        </w:rPr>
      </w:pPr>
    </w:p>
    <w:p>
      <w:pPr>
        <w:ind w:left="-926" w:right="2779" w:firstLine="926"/>
        <w:spacing w:after="0" w:line="235" w:lineRule="auto"/>
        <w:tabs>
          <w:tab w:leader="none" w:pos="377" w:val="left"/>
        </w:tabs>
        <w:numPr>
          <w:ilvl w:val="0"/>
          <w:numId w:val="3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establish the form or terms of Securities of any series and any related coupons as permitted by Sections 201 and 301, including the provisions and procedures relating to Securities convertible into or exchangeable for any securities of any Person (including the Company); or</w:t>
      </w:r>
    </w:p>
    <w:p>
      <w:pPr>
        <w:spacing w:after="0" w:line="184" w:lineRule="exact"/>
        <w:rPr>
          <w:rFonts w:ascii="Courier New" w:cs="Courier New" w:eastAsia="Courier New" w:hAnsi="Courier New"/>
          <w:sz w:val="16"/>
          <w:szCs w:val="16"/>
          <w:color w:val="auto"/>
        </w:rPr>
      </w:pPr>
    </w:p>
    <w:p>
      <w:pPr>
        <w:ind w:left="-926" w:right="2879" w:firstLine="926"/>
        <w:spacing w:after="0" w:line="235" w:lineRule="auto"/>
        <w:tabs>
          <w:tab w:leader="none" w:pos="377" w:val="left"/>
        </w:tabs>
        <w:numPr>
          <w:ilvl w:val="0"/>
          <w:numId w:val="3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w:t>
      </w:r>
    </w:p>
    <w:p>
      <w:pPr>
        <w:spacing w:after="0" w:line="359" w:lineRule="exact"/>
        <w:rPr>
          <w:sz w:val="20"/>
          <w:szCs w:val="20"/>
          <w:color w:val="auto"/>
        </w:rPr>
      </w:pPr>
    </w:p>
    <w:p>
      <w:pPr>
        <w:ind w:left="2694"/>
        <w:spacing w:after="0"/>
        <w:rPr>
          <w:sz w:val="20"/>
          <w:szCs w:val="20"/>
          <w:color w:val="auto"/>
        </w:rPr>
      </w:pPr>
      <w:r>
        <w:rPr>
          <w:rFonts w:ascii="Courier New" w:cs="Courier New" w:eastAsia="Courier New" w:hAnsi="Courier New"/>
          <w:sz w:val="16"/>
          <w:szCs w:val="16"/>
          <w:color w:val="auto"/>
        </w:rPr>
        <w:t>70</w:t>
      </w:r>
    </w:p>
    <w:p>
      <w:pPr>
        <w:sectPr>
          <w:pgSz w:w="11900" w:h="16838" w:orient="portrait"/>
          <w:cols w:equalWidth="0" w:num="1">
            <w:col w:w="9294"/>
          </w:cols>
          <w:pgMar w:left="1166" w:top="655" w:right="1440" w:bottom="1440" w:gutter="0" w:footer="0" w:header="0"/>
        </w:sectPr>
      </w:pPr>
    </w:p>
    <w:bookmarkStart w:id="249" w:name="page250"/>
    <w:bookmarkEnd w:id="249"/>
    <w:p>
      <w:pPr>
        <w:ind w:left="-460" w:right="2779" w:firstLine="926"/>
        <w:spacing w:after="0" w:line="236" w:lineRule="auto"/>
        <w:tabs>
          <w:tab w:leader="none" w:pos="842" w:val="left"/>
        </w:tabs>
        <w:numPr>
          <w:ilvl w:val="0"/>
          <w:numId w:val="3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close this indenture with respect to the authentication and delivery of additional series of Securities, to cure any ambiguity, to correct or supplement any provision herein which may be inconsistent with any other provision herein, or to make any other provisions with respect to matters or questions arising under this Indenture; provided that such action shall not adversely affect the interests of the Holders of Securities of any series or any related coupons in any material respect; or</w:t>
      </w:r>
    </w:p>
    <w:p>
      <w:pPr>
        <w:spacing w:after="0" w:line="183" w:lineRule="exact"/>
        <w:rPr>
          <w:rFonts w:ascii="Courier New" w:cs="Courier New" w:eastAsia="Courier New" w:hAnsi="Courier New"/>
          <w:sz w:val="16"/>
          <w:szCs w:val="16"/>
          <w:color w:val="auto"/>
        </w:rPr>
      </w:pPr>
    </w:p>
    <w:p>
      <w:pPr>
        <w:ind w:left="-460" w:right="2779" w:firstLine="926"/>
        <w:spacing w:after="0" w:line="236" w:lineRule="auto"/>
        <w:tabs>
          <w:tab w:leader="none" w:pos="842" w:val="left"/>
        </w:tabs>
        <w:numPr>
          <w:ilvl w:val="0"/>
          <w:numId w:val="3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supplement any of the provisions of this Indenture to such extent as shall be necessary to permit or facilitate the defeasance and discharge of any series of Securities pursuant to Sections 401, 1402 and 1403; provided that any such action shall not adversely affect the interests of the Holders of Securities of such series and any related coupons or any other series of Securities in any material respect; or</w:t>
      </w:r>
    </w:p>
    <w:p>
      <w:pPr>
        <w:spacing w:after="0" w:line="182" w:lineRule="exact"/>
        <w:rPr>
          <w:rFonts w:ascii="Courier New" w:cs="Courier New" w:eastAsia="Courier New" w:hAnsi="Courier New"/>
          <w:sz w:val="16"/>
          <w:szCs w:val="16"/>
          <w:color w:val="auto"/>
        </w:rPr>
      </w:pPr>
    </w:p>
    <w:p>
      <w:pPr>
        <w:ind w:left="-460" w:right="3239" w:firstLine="926"/>
        <w:spacing w:after="0" w:line="234" w:lineRule="auto"/>
        <w:tabs>
          <w:tab w:leader="none" w:pos="842" w:val="left"/>
        </w:tabs>
        <w:numPr>
          <w:ilvl w:val="0"/>
          <w:numId w:val="3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comply with the requirements of the Commission in order to effect or maintain the qualification of this Indenture under the TIA.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902. Supplemental Indentures with Consent of Holders.</w:t>
      </w:r>
    </w:p>
    <w:p>
      <w:pPr>
        <w:ind w:left="120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460" w:right="2779" w:firstLine="926"/>
        <w:spacing w:after="0" w:line="273" w:lineRule="auto"/>
        <w:tabs>
          <w:tab w:leader="none" w:pos="842" w:val="left"/>
        </w:tabs>
        <w:numPr>
          <w:ilvl w:val="0"/>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the consent of the Holders of not less than a majority in principal amount of all Outstanding Securities affected by such supplemental indenture, with each series voting separately, by Act of said Holders delivered to the Company and the Trustee, and the Company when authorized by or pursuant to a Board Resolution, and the Trustee may enter into an indenture or indentures supplemental hereto for the purpose of adding any provisions to or changing in any manner or eliminating any of the provisions of this Indenture which affects such series of Securities or of modifying in any manner the rights of the Holders of Securities of such series under this Indenture; provided, that, no such supplemental indenture shall, without the consent of the Holder of each Outstanding Security of such series affected thereby:</w:t>
      </w:r>
    </w:p>
    <w:p>
      <w:pPr>
        <w:spacing w:after="0" w:line="342" w:lineRule="exact"/>
        <w:rPr>
          <w:rFonts w:ascii="Courier New" w:cs="Courier New" w:eastAsia="Courier New" w:hAnsi="Courier New"/>
          <w:sz w:val="14"/>
          <w:szCs w:val="14"/>
          <w:color w:val="auto"/>
        </w:rPr>
      </w:pPr>
    </w:p>
    <w:p>
      <w:pPr>
        <w:ind w:left="460" w:right="2779" w:firstLine="936"/>
        <w:spacing w:after="0" w:line="272" w:lineRule="auto"/>
        <w:tabs>
          <w:tab w:leader="none" w:pos="1762" w:val="left"/>
        </w:tabs>
        <w:numPr>
          <w:ilvl w:val="1"/>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the Stated Maturity of the principal of (or premium, if any, on) or any installment of principal of or interest on, any Security, subject to the provisions of Section 308; or reduce the principal amount thereof (or premium, if any) or the rate of interest (or change the manner of calculation of interest) thereon, or any Additional Amounts with respect thereto, or any premium payable upon the redemption thereof, or change any obligation of the Company to pay Additional Amounts pursuant to Section 1005 (except as contemplated by Sub-section 801(a) and permitted by Sub-section 901(a)), or reduce the amount of the principal of an Original Issue Discount Security or Indexed Security that would be due and payable upon a declaration of acceleration of the Maturity thereof pursuant to Section 502 or the amount thereof provable in bankruptcy pursuant to Section 504, or adversely affect any right of repayment at the option of the Holder of any Security, or change any Place of Payment where, or the Currency in which, any Security or any premium or interest or Additional Amount thereon is payable, or impair the right to institute suit for the enforcement of any such payment on or after the Stated Maturity thereof (or, in the case of redemption or repayment at the</w:t>
      </w:r>
    </w:p>
    <w:p>
      <w:pPr>
        <w:spacing w:after="0" w:line="200" w:lineRule="exact"/>
        <w:rPr>
          <w:sz w:val="20"/>
          <w:szCs w:val="20"/>
          <w:color w:val="auto"/>
        </w:rPr>
      </w:pPr>
    </w:p>
    <w:p>
      <w:pPr>
        <w:spacing w:after="0" w:line="315"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71</w:t>
      </w:r>
    </w:p>
    <w:p>
      <w:pPr>
        <w:sectPr>
          <w:pgSz w:w="11900" w:h="16838" w:orient="portrait"/>
          <w:cols w:equalWidth="0" w:num="1">
            <w:col w:w="9759"/>
          </w:cols>
          <w:pgMar w:left="700" w:top="655" w:right="1440" w:bottom="1440" w:gutter="0" w:footer="0" w:header="0"/>
        </w:sectPr>
      </w:pPr>
    </w:p>
    <w:bookmarkStart w:id="250" w:name="page251"/>
    <w:bookmarkEnd w:id="250"/>
    <w:p>
      <w:pPr>
        <w:ind w:right="2779"/>
        <w:spacing w:after="0" w:line="235" w:lineRule="auto"/>
        <w:rPr>
          <w:sz w:val="20"/>
          <w:szCs w:val="20"/>
          <w:color w:val="auto"/>
        </w:rPr>
      </w:pPr>
      <w:r>
        <w:rPr>
          <w:rFonts w:ascii="Courier New" w:cs="Courier New" w:eastAsia="Courier New" w:hAnsi="Courier New"/>
          <w:sz w:val="16"/>
          <w:szCs w:val="16"/>
          <w:color w:val="auto"/>
        </w:rPr>
        <w:t>option of the Holder, on or after the Redemption Date or the Repayment Date, as the case may be), or adversely affect any right to convert or exchange any Security as may be provided pursuant to Section 301 herein, or</w:t>
      </w:r>
    </w:p>
    <w:p>
      <w:pPr>
        <w:spacing w:after="0" w:line="185" w:lineRule="exact"/>
        <w:rPr>
          <w:sz w:val="20"/>
          <w:szCs w:val="20"/>
          <w:color w:val="auto"/>
        </w:rPr>
      </w:pPr>
    </w:p>
    <w:p>
      <w:pPr>
        <w:ind w:right="2879" w:firstLine="936"/>
        <w:spacing w:after="0" w:line="236" w:lineRule="auto"/>
        <w:tabs>
          <w:tab w:leader="none" w:pos="1302" w:val="left"/>
        </w:tabs>
        <w:numPr>
          <w:ilvl w:val="1"/>
          <w:numId w:val="3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percentage in principal amount of the Outstanding Securities of any series, the consent of whose Holders is required for any such supplemental indenture, or the consent of whose Holders is required for any waiver with respect to such series (of compliance with certain provisions of this Indenture or certain defaults hereunder and their consequences) provided for in this Indenture, or reduce the requirements of Section 1504 for quorum or voting, or</w:t>
      </w:r>
    </w:p>
    <w:p>
      <w:pPr>
        <w:spacing w:after="0" w:line="184" w:lineRule="exact"/>
        <w:rPr>
          <w:rFonts w:ascii="Courier New" w:cs="Courier New" w:eastAsia="Courier New" w:hAnsi="Courier New"/>
          <w:sz w:val="16"/>
          <w:szCs w:val="16"/>
          <w:color w:val="auto"/>
        </w:rPr>
      </w:pPr>
    </w:p>
    <w:p>
      <w:pPr>
        <w:ind w:right="3059" w:firstLine="936"/>
        <w:spacing w:after="0" w:line="276" w:lineRule="auto"/>
        <w:tabs>
          <w:tab w:leader="none" w:pos="1302" w:val="left"/>
        </w:tabs>
        <w:numPr>
          <w:ilvl w:val="1"/>
          <w:numId w:val="3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modify any of the provisions of this Section, Section 514 or Section 1007, except to increase any such percentage or to provide that certain other provisions of this Indenture that affect such series cannot be modified or waived without the consent of the Holder of each Outstanding Security affected thereby, or</w:t>
      </w:r>
    </w:p>
    <w:p>
      <w:pPr>
        <w:spacing w:after="0" w:line="161" w:lineRule="exact"/>
        <w:rPr>
          <w:rFonts w:ascii="Courier New" w:cs="Courier New" w:eastAsia="Courier New" w:hAnsi="Courier New"/>
          <w:sz w:val="14"/>
          <w:szCs w:val="14"/>
          <w:color w:val="auto"/>
        </w:rPr>
      </w:pPr>
    </w:p>
    <w:p>
      <w:pPr>
        <w:ind w:right="2879" w:firstLine="936"/>
        <w:spacing w:after="0" w:line="235" w:lineRule="auto"/>
        <w:tabs>
          <w:tab w:leader="none" w:pos="1302" w:val="left"/>
        </w:tabs>
        <w:numPr>
          <w:ilvl w:val="1"/>
          <w:numId w:val="3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modify any of the provisions of this Indenture relating to the subordination of the Securities or the definitions related thereto as they affect subordination in a manner adverse to the Holders, or</w:t>
      </w:r>
    </w:p>
    <w:p>
      <w:pPr>
        <w:spacing w:after="0" w:line="184" w:lineRule="exact"/>
        <w:rPr>
          <w:rFonts w:ascii="Courier New" w:cs="Courier New" w:eastAsia="Courier New" w:hAnsi="Courier New"/>
          <w:sz w:val="16"/>
          <w:szCs w:val="16"/>
          <w:color w:val="auto"/>
        </w:rPr>
      </w:pPr>
    </w:p>
    <w:p>
      <w:pPr>
        <w:ind w:right="3159" w:firstLine="936"/>
        <w:spacing w:after="0" w:line="234" w:lineRule="auto"/>
        <w:tabs>
          <w:tab w:leader="none" w:pos="1302" w:val="left"/>
        </w:tabs>
        <w:numPr>
          <w:ilvl w:val="1"/>
          <w:numId w:val="3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cause the Securities to be expressly subordinated to other indebtedness of the Company.</w:t>
      </w:r>
    </w:p>
    <w:p>
      <w:pPr>
        <w:spacing w:after="0" w:line="183" w:lineRule="exact"/>
        <w:rPr>
          <w:rFonts w:ascii="Courier New" w:cs="Courier New" w:eastAsia="Courier New" w:hAnsi="Courier New"/>
          <w:sz w:val="16"/>
          <w:szCs w:val="16"/>
          <w:color w:val="auto"/>
        </w:rPr>
      </w:pPr>
    </w:p>
    <w:p>
      <w:pPr>
        <w:ind w:left="-920" w:right="2959" w:firstLine="926"/>
        <w:spacing w:after="0" w:line="283" w:lineRule="auto"/>
        <w:tabs>
          <w:tab w:leader="none" w:pos="382" w:val="left"/>
        </w:tabs>
        <w:numPr>
          <w:ilvl w:val="0"/>
          <w:numId w:val="3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shall not be necessary for any Act of Holders under this Section to approve the particular form of any proposed supplemental indenture, but it shall be sufficient if such Act shall approve the substance thereof.</w:t>
      </w:r>
    </w:p>
    <w:p>
      <w:pPr>
        <w:spacing w:after="0" w:line="154" w:lineRule="exact"/>
        <w:rPr>
          <w:rFonts w:ascii="Courier New" w:cs="Courier New" w:eastAsia="Courier New" w:hAnsi="Courier New"/>
          <w:sz w:val="14"/>
          <w:szCs w:val="14"/>
          <w:color w:val="auto"/>
        </w:rPr>
      </w:pPr>
    </w:p>
    <w:p>
      <w:pPr>
        <w:ind w:left="-920" w:right="2779" w:firstLine="926"/>
        <w:spacing w:after="0" w:line="275" w:lineRule="auto"/>
        <w:tabs>
          <w:tab w:leader="none" w:pos="382" w:val="left"/>
        </w:tabs>
        <w:numPr>
          <w:ilvl w:val="0"/>
          <w:numId w:val="3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161" w:lineRule="exact"/>
        <w:rPr>
          <w:rFonts w:ascii="Courier New" w:cs="Courier New" w:eastAsia="Courier New" w:hAnsi="Courier New"/>
          <w:sz w:val="14"/>
          <w:szCs w:val="14"/>
          <w:color w:val="auto"/>
        </w:rPr>
      </w:pPr>
    </w:p>
    <w:p>
      <w:pPr>
        <w:ind w:left="-920" w:right="2779" w:firstLine="926"/>
        <w:spacing w:after="0" w:line="273" w:lineRule="auto"/>
        <w:tabs>
          <w:tab w:leader="none" w:pos="382" w:val="left"/>
        </w:tabs>
        <w:numPr>
          <w:ilvl w:val="0"/>
          <w:numId w:val="3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but shall not be obligated to, fix a record date for the purpose of determining the Persons entitled to consent to any indenture supplemental hereto. If a record date is fixed, the Holders at the close of Business on such record date, or their duly designated proxies, and only such Persons, shall be entitled to consent to such supplemental indenture, whether or not such Holders remain Holders after such record date; provided that unless such consent shall have become effective by virtue of the requisite percentage having been obtained prior to the date which is 90 days after such record date, any such consent previously given shall automatically and without further action by any Holder be cancelled and of no further effect.</w:t>
      </w:r>
    </w:p>
    <w:p>
      <w:pPr>
        <w:spacing w:after="0" w:line="200" w:lineRule="exact"/>
        <w:rPr>
          <w:sz w:val="20"/>
          <w:szCs w:val="20"/>
          <w:color w:val="auto"/>
        </w:rPr>
      </w:pPr>
    </w:p>
    <w:p>
      <w:pPr>
        <w:spacing w:after="0" w:line="317"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72</w:t>
      </w:r>
    </w:p>
    <w:p>
      <w:pPr>
        <w:sectPr>
          <w:pgSz w:w="11900" w:h="16838" w:orient="portrait"/>
          <w:cols w:equalWidth="0" w:num="1">
            <w:col w:w="9299"/>
          </w:cols>
          <w:pgMar w:left="1160" w:top="654" w:right="1440" w:bottom="1440" w:gutter="0" w:footer="0" w:header="0"/>
        </w:sectPr>
      </w:pPr>
    </w:p>
    <w:bookmarkStart w:id="251" w:name="page252"/>
    <w:bookmarkEnd w:id="251"/>
    <w:p>
      <w:pPr>
        <w:ind w:left="460"/>
        <w:spacing w:after="0"/>
        <w:rPr>
          <w:sz w:val="20"/>
          <w:szCs w:val="20"/>
          <w:color w:val="auto"/>
        </w:rPr>
      </w:pPr>
      <w:r>
        <w:rPr>
          <w:rFonts w:ascii="Courier New" w:cs="Courier New" w:eastAsia="Courier New" w:hAnsi="Courier New"/>
          <w:sz w:val="16"/>
          <w:szCs w:val="16"/>
          <w:color w:val="auto"/>
        </w:rPr>
        <w:t>Section 903. Execution of Supplemental Indentures.</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930"/>
        <w:spacing w:after="0" w:line="236" w:lineRule="auto"/>
        <w:rPr>
          <w:sz w:val="20"/>
          <w:szCs w:val="20"/>
          <w:color w:val="auto"/>
        </w:rPr>
      </w:pPr>
      <w:r>
        <w:rPr>
          <w:rFonts w:ascii="Courier New" w:cs="Courier New" w:eastAsia="Courier New" w:hAnsi="Courier New"/>
          <w:sz w:val="16"/>
          <w:szCs w:val="16"/>
          <w:color w:val="auto"/>
        </w:rPr>
        <w:t>In executing, or accepting the additional trusts created by, any supplemental indenture permitted by this Article or the modification thereby of the trusts created by this Indenture, the Trustee shall be entitled to receive, and shall be fully protected in relying upon (subject to the provisions of Article Six hereof), an Opinion of 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904. Effect of Supplemental Indentures.</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930"/>
        <w:spacing w:after="0" w:line="276" w:lineRule="auto"/>
        <w:rPr>
          <w:sz w:val="20"/>
          <w:szCs w:val="20"/>
          <w:color w:val="auto"/>
        </w:rPr>
      </w:pPr>
      <w:r>
        <w:rPr>
          <w:rFonts w:ascii="Courier New" w:cs="Courier New" w:eastAsia="Courier New" w:hAnsi="Courier New"/>
          <w:sz w:val="14"/>
          <w:szCs w:val="14"/>
          <w:color w:val="auto"/>
        </w:rPr>
        <w:t>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and of any coupon appertaining thereto shall be bound thereby.</w:t>
      </w:r>
    </w:p>
    <w:p>
      <w:pPr>
        <w:spacing w:after="0" w:line="155"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905. Conformity with Trust Indenture Act.</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959" w:firstLine="930"/>
        <w:spacing w:after="0" w:line="295" w:lineRule="auto"/>
        <w:rPr>
          <w:sz w:val="20"/>
          <w:szCs w:val="20"/>
          <w:color w:val="auto"/>
        </w:rPr>
      </w:pPr>
      <w:r>
        <w:rPr>
          <w:rFonts w:ascii="Courier New" w:cs="Courier New" w:eastAsia="Courier New" w:hAnsi="Courier New"/>
          <w:sz w:val="14"/>
          <w:szCs w:val="14"/>
          <w:color w:val="auto"/>
        </w:rPr>
        <w:t>Every supplemental indenture executed pursuant to this Article shall conform to the requirements of the Trust Indenture Act as then in effect.</w:t>
      </w:r>
    </w:p>
    <w:p>
      <w:pPr>
        <w:spacing w:after="0" w:line="14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906. Reference in Securities to Supplemental Indentures.</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930"/>
        <w:spacing w:after="0" w:line="274" w:lineRule="auto"/>
        <w:rPr>
          <w:sz w:val="20"/>
          <w:szCs w:val="20"/>
          <w:color w:val="auto"/>
        </w:rPr>
      </w:pPr>
      <w:r>
        <w:rPr>
          <w:rFonts w:ascii="Courier New" w:cs="Courier New" w:eastAsia="Courier New" w:hAnsi="Courier New"/>
          <w:sz w:val="14"/>
          <w:szCs w:val="14"/>
          <w:color w:val="auto"/>
        </w:rPr>
        <w:t>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w:t>
      </w:r>
    </w:p>
    <w:p>
      <w:pPr>
        <w:spacing w:after="0" w:line="155"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907. Effect on Senior Indebtedness.</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879" w:firstLine="930"/>
        <w:spacing w:after="0" w:line="235" w:lineRule="auto"/>
        <w:rPr>
          <w:sz w:val="20"/>
          <w:szCs w:val="20"/>
          <w:color w:val="auto"/>
        </w:rPr>
      </w:pPr>
      <w:r>
        <w:rPr>
          <w:rFonts w:ascii="Courier New" w:cs="Courier New" w:eastAsia="Courier New" w:hAnsi="Courier New"/>
          <w:sz w:val="16"/>
          <w:szCs w:val="16"/>
          <w:color w:val="auto"/>
        </w:rPr>
        <w:t>No supplemental indenture shall adversely affect the rights of any holder of Senior Indebtedness under Article Sixteen without the consent of such holder.</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ARTICLE TEN</w:t>
      </w:r>
    </w:p>
    <w:p>
      <w:pPr>
        <w:jc w:val="center"/>
        <w:ind w:right="2879"/>
        <w:spacing w:after="0" w:line="236" w:lineRule="auto"/>
        <w:rPr>
          <w:sz w:val="20"/>
          <w:szCs w:val="20"/>
          <w:color w:val="auto"/>
        </w:rPr>
      </w:pPr>
      <w:r>
        <w:rPr>
          <w:rFonts w:ascii="Courier New" w:cs="Courier New" w:eastAsia="Courier New" w:hAnsi="Courier New"/>
          <w:sz w:val="16"/>
          <w:szCs w:val="16"/>
          <w:color w:val="auto"/>
        </w:rPr>
        <w:t>COVENANTS</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Section 1001. Payment of Principal, Premium, if any, and Interest.</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879" w:firstLine="930"/>
        <w:spacing w:after="0" w:line="235" w:lineRule="auto"/>
        <w:rPr>
          <w:sz w:val="20"/>
          <w:szCs w:val="20"/>
          <w:color w:val="auto"/>
        </w:rPr>
      </w:pPr>
      <w:r>
        <w:rPr>
          <w:rFonts w:ascii="Courier New" w:cs="Courier New" w:eastAsia="Courier New" w:hAnsi="Courier New"/>
          <w:sz w:val="16"/>
          <w:szCs w:val="16"/>
          <w:color w:val="auto"/>
        </w:rPr>
        <w:t>The Company covenants and agrees for the benefit of the Holders of each series of Securities that it will duly and punctually pay the principal of (and premium, if any) and interest and Additional Amounts, if any, on the</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73</w:t>
      </w:r>
    </w:p>
    <w:p>
      <w:pPr>
        <w:sectPr>
          <w:pgSz w:w="11900" w:h="16838" w:orient="portrait"/>
          <w:cols w:equalWidth="0" w:num="1">
            <w:col w:w="10219"/>
          </w:cols>
          <w:pgMar w:left="240" w:top="649" w:right="1440" w:bottom="1440" w:gutter="0" w:footer="0" w:header="0"/>
        </w:sectPr>
      </w:pPr>
    </w:p>
    <w:bookmarkStart w:id="252" w:name="page253"/>
    <w:bookmarkEnd w:id="252"/>
    <w:p>
      <w:pPr>
        <w:ind w:right="2959"/>
        <w:spacing w:after="0" w:line="273" w:lineRule="auto"/>
        <w:rPr>
          <w:sz w:val="20"/>
          <w:szCs w:val="20"/>
          <w:color w:val="auto"/>
        </w:rPr>
      </w:pPr>
      <w:r>
        <w:rPr>
          <w:rFonts w:ascii="Courier New" w:cs="Courier New" w:eastAsia="Courier New" w:hAnsi="Courier New"/>
          <w:sz w:val="14"/>
          <w:szCs w:val="14"/>
          <w:color w:val="auto"/>
        </w:rPr>
        <w:t>Securities of that series in accordance with the terms of such series of Securities, any coupons appertaining thereto and this Indenture. Any interest due on Bearer Securities on or before Maturity, other than Additional Amounts, if any, payable as provided in Section 1005 in respect of principal of (or premium, if any, on) such a Security, shall be payable only upon presentation and surrender of the several coupons for such interest installments as are evidenced thereby as they severally mature. Unless otherwise specified with respect to Securities of any series pursuant to Section 301, at the option of the Company, all payments of principal may be paid by check to the registered Holder of the Registered Security or other person entitled thereto against surrender of such Security or wire transfer to an account in the United States maintained by the Payee.</w:t>
      </w:r>
    </w:p>
    <w:p>
      <w:pPr>
        <w:spacing w:after="0" w:line="335"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Section 1002. Maintenance of Office or Agency.</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926"/>
        <w:spacing w:after="0" w:line="236" w:lineRule="auto"/>
        <w:tabs>
          <w:tab w:leader="none" w:pos="1302" w:val="left"/>
        </w:tabs>
        <w:numPr>
          <w:ilvl w:val="0"/>
          <w:numId w:val="3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Securities of a series are issuable only as Registered Securities, the Company shall maintain in each Place of Payment for any series of Securities an office or agency where Securities of that series may be presented or surrendered for payment, where Securities of that series may be surrendered for registration of transfer or exchange, where Securities of that series that are convertible or exchangeable may be surrendered for conversion or exchange, as applicable, and where notices and demands to or upon the Company in respect of the Securities of that series and this Indenture may be served. If Securities of a series are issuable as Bearer Securities, the Company will maintain:</w:t>
      </w:r>
    </w:p>
    <w:p>
      <w:pPr>
        <w:spacing w:after="0" w:line="185" w:lineRule="exact"/>
        <w:rPr>
          <w:rFonts w:ascii="Courier New" w:cs="Courier New" w:eastAsia="Courier New" w:hAnsi="Courier New"/>
          <w:sz w:val="16"/>
          <w:szCs w:val="16"/>
          <w:color w:val="auto"/>
        </w:rPr>
      </w:pPr>
    </w:p>
    <w:p>
      <w:pPr>
        <w:ind w:left="920" w:right="2779" w:firstLine="936"/>
        <w:spacing w:after="0" w:line="273" w:lineRule="auto"/>
        <w:tabs>
          <w:tab w:leader="none" w:pos="2222" w:val="left"/>
        </w:tabs>
        <w:numPr>
          <w:ilvl w:val="1"/>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Borough of Manhattan, The City of New York, an office or agency where any Registered Securities of that series may be presented or surrendered for payment, where any Registered Securities of that series may be surrendered for registration of transfer, where Securities of that series may be surrendered for exchange, where Securities of that series that are convertible or exchangeable may be surrendered for conversion or exchange, as applicable, and where notices and demands to or upon the Company in respect of the Securities of that series and this Indenture may be served and where Bearer Securities of that series and related coupons may be presented or surrendered for payment in the circumstances described in the clause(2) of this Subsection (and not otherwise),</w:t>
      </w:r>
    </w:p>
    <w:p>
      <w:pPr>
        <w:spacing w:after="0" w:line="341" w:lineRule="exact"/>
        <w:rPr>
          <w:rFonts w:ascii="Courier New" w:cs="Courier New" w:eastAsia="Courier New" w:hAnsi="Courier New"/>
          <w:sz w:val="14"/>
          <w:szCs w:val="14"/>
          <w:color w:val="auto"/>
        </w:rPr>
      </w:pPr>
    </w:p>
    <w:p>
      <w:pPr>
        <w:ind w:left="920" w:right="2779" w:firstLine="936"/>
        <w:spacing w:after="0" w:line="236" w:lineRule="auto"/>
        <w:tabs>
          <w:tab w:leader="none" w:pos="2222" w:val="left"/>
        </w:tabs>
        <w:numPr>
          <w:ilvl w:val="1"/>
          <w:numId w:val="3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any laws or regulations applicable thereto, in a Place of Payment for that series which is located outside the United States, an office or agency where Securities of that series and related coupons may be presented and surrendered for payment; provided, that, if the Securities of that series are listed on the Luxembourg Stock Exchange or any other stock exchange located outside the United States and such stock exchange shall so require, the Company will maintain a Paying Agent for the Securities of that series in Luxembourg or any other required city located outside the United States, as the case may be, so long as the Securities of that series are listed on such exchange, and</w:t>
      </w:r>
    </w:p>
    <w:p>
      <w:pPr>
        <w:spacing w:after="0" w:line="35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74</w:t>
      </w:r>
    </w:p>
    <w:p>
      <w:pPr>
        <w:sectPr>
          <w:pgSz w:w="11900" w:h="16838" w:orient="portrait"/>
          <w:cols w:equalWidth="0" w:num="1">
            <w:col w:w="10219"/>
          </w:cols>
          <w:pgMar w:left="240" w:top="655" w:right="1440" w:bottom="1440" w:gutter="0" w:footer="0" w:header="0"/>
        </w:sectPr>
      </w:pPr>
    </w:p>
    <w:bookmarkStart w:id="253" w:name="page254"/>
    <w:bookmarkEnd w:id="253"/>
    <w:p>
      <w:pPr>
        <w:ind w:left="-6" w:right="2879" w:firstLine="936"/>
        <w:spacing w:after="0" w:line="236" w:lineRule="auto"/>
        <w:tabs>
          <w:tab w:leader="none" w:pos="1297" w:val="left"/>
        </w:tabs>
        <w:numPr>
          <w:ilvl w:val="1"/>
          <w:numId w:val="3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any laws or regulations applicable thereto, in a Place of Payment for that series located outside the United States an office or agency where any Registered Securities of that series may be surrendered for registration of transfer, where Securities of that series may be surrendered for exchange, where Securities of that series that are convertible or exchangeable may be surrendered for conversion or exchange, as applicable and where notices and demands to or upon the Company in respect of the Securities of that series and this Indenture may be served. The Company will give prompt written notice to the Trustee of the location, and any change in the location, of each such office or agency.</w:t>
      </w:r>
    </w:p>
    <w:p>
      <w:pPr>
        <w:spacing w:after="0" w:line="186" w:lineRule="exact"/>
        <w:rPr>
          <w:rFonts w:ascii="Courier New" w:cs="Courier New" w:eastAsia="Courier New" w:hAnsi="Courier New"/>
          <w:sz w:val="16"/>
          <w:szCs w:val="16"/>
          <w:color w:val="auto"/>
        </w:rPr>
      </w:pPr>
    </w:p>
    <w:p>
      <w:pPr>
        <w:ind w:left="-926" w:right="2879" w:firstLine="926"/>
        <w:spacing w:after="0" w:line="236" w:lineRule="auto"/>
        <w:tabs>
          <w:tab w:leader="none" w:pos="377" w:val="left"/>
        </w:tabs>
        <w:numPr>
          <w:ilvl w:val="0"/>
          <w:numId w:val="3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 any time the Company shall fail to maintain any such required office or agency or shall fail to furnish the Trustee with the address thereof, such presentations, surrenders, notices and demands may be made or served at the Corporate Trust Office of the Trustee, except that Bearer Securities of that series and the related coupons may be presented and surrendered for payment at the offices specified in the Security, in London, England, and the Company hereby appoints the same as its agent to receive such respective presentations, surrenders, notices and demands, and the Company hereby appoints the Trustee its agent to receive all such presentations, surrenders, notices and demands.</w:t>
      </w:r>
    </w:p>
    <w:p>
      <w:pPr>
        <w:spacing w:after="0" w:line="185" w:lineRule="exact"/>
        <w:rPr>
          <w:rFonts w:ascii="Courier New" w:cs="Courier New" w:eastAsia="Courier New" w:hAnsi="Courier New"/>
          <w:sz w:val="16"/>
          <w:szCs w:val="16"/>
          <w:color w:val="auto"/>
        </w:rPr>
      </w:pPr>
    </w:p>
    <w:p>
      <w:pPr>
        <w:ind w:left="-926" w:right="2779" w:firstLine="926"/>
        <w:spacing w:after="0" w:line="236" w:lineRule="auto"/>
        <w:tabs>
          <w:tab w:leader="none" w:pos="377" w:val="left"/>
        </w:tabs>
        <w:numPr>
          <w:ilvl w:val="0"/>
          <w:numId w:val="3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otherwise specified with respect to any Securities pursuant to Section 301, no payment of principal, premium or interest on Bearer Securities shall be made at any office or agency of the Company in the United States or by check mailed to any address in the United States or by transfer to an account maintained with a bank located in the United States; provided, that, if the Securities of a series are payable in Dollars, payment of principal of (and premium, if any) and interest, if any, on any Bearer Security shall be made at the office of the Company's Paying Agent in the Borough of Manhattan, The City of New York, if (but only if) payment in Dollars of the full amount of such principal, premium or interest, as the case may be, at all offices or agencies outside the United States maintained for such purpose by the Company in accordance with this Indenture, is illegal or effectively precluded by exchange controls or other similar restrictions.</w:t>
      </w:r>
    </w:p>
    <w:p>
      <w:pPr>
        <w:spacing w:after="0" w:line="187" w:lineRule="exact"/>
        <w:rPr>
          <w:rFonts w:ascii="Courier New" w:cs="Courier New" w:eastAsia="Courier New" w:hAnsi="Courier New"/>
          <w:sz w:val="16"/>
          <w:szCs w:val="16"/>
          <w:color w:val="auto"/>
        </w:rPr>
      </w:pPr>
    </w:p>
    <w:p>
      <w:pPr>
        <w:ind w:left="-926" w:right="2779" w:firstLine="926"/>
        <w:spacing w:after="0" w:line="273" w:lineRule="auto"/>
        <w:tabs>
          <w:tab w:leader="none" w:pos="377" w:val="left"/>
        </w:tabs>
        <w:numPr>
          <w:ilvl w:val="0"/>
          <w:numId w:val="3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from time to time designate one or more other offices or agencies where the Securities of one or more series may be presented or surrendered for any or all of such purposes, and may from time to time rescind such designations; provided, that, no such designation or rescission shall in any manner relieve the Company of its obligation to maintain an office or agency in accordance with the requirements set forth above for Securities of any series for such purposes. The Company will give prompt written notice to the Trustee of any such designation or rescission and of any change in the location of any such other office or agency. Unless otherwise specified with respect to any Securities pursuant to Section 301 with respect to a series of Securities, the Company hereby designates as a Place of Payment for each series of Securities the office or agency of the Company in the Borough of Manhattan, The City of New York, and initially appoints the Trustee at its Corporate Trust</w:t>
      </w:r>
    </w:p>
    <w:p>
      <w:pPr>
        <w:spacing w:after="0" w:line="200" w:lineRule="exact"/>
        <w:rPr>
          <w:sz w:val="20"/>
          <w:szCs w:val="20"/>
          <w:color w:val="auto"/>
        </w:rPr>
      </w:pPr>
    </w:p>
    <w:p>
      <w:pPr>
        <w:spacing w:after="0" w:line="312" w:lineRule="exact"/>
        <w:rPr>
          <w:sz w:val="20"/>
          <w:szCs w:val="20"/>
          <w:color w:val="auto"/>
        </w:rPr>
      </w:pPr>
    </w:p>
    <w:p>
      <w:pPr>
        <w:ind w:left="2694"/>
        <w:spacing w:after="0"/>
        <w:rPr>
          <w:sz w:val="20"/>
          <w:szCs w:val="20"/>
          <w:color w:val="auto"/>
        </w:rPr>
      </w:pPr>
      <w:r>
        <w:rPr>
          <w:rFonts w:ascii="Courier New" w:cs="Courier New" w:eastAsia="Courier New" w:hAnsi="Courier New"/>
          <w:sz w:val="16"/>
          <w:szCs w:val="16"/>
          <w:color w:val="auto"/>
        </w:rPr>
        <w:t>75</w:t>
      </w:r>
    </w:p>
    <w:p>
      <w:pPr>
        <w:sectPr>
          <w:pgSz w:w="11900" w:h="16838" w:orient="portrait"/>
          <w:cols w:equalWidth="0" w:num="1">
            <w:col w:w="9294"/>
          </w:cols>
          <w:pgMar w:left="1166" w:top="655" w:right="1440" w:bottom="1440" w:gutter="0" w:footer="0" w:header="0"/>
        </w:sectPr>
      </w:pPr>
    </w:p>
    <w:bookmarkStart w:id="254" w:name="page255"/>
    <w:bookmarkEnd w:id="254"/>
    <w:p>
      <w:pPr>
        <w:ind w:right="3519"/>
        <w:spacing w:after="0" w:line="234" w:lineRule="auto"/>
        <w:rPr>
          <w:sz w:val="20"/>
          <w:szCs w:val="20"/>
          <w:color w:val="auto"/>
        </w:rPr>
      </w:pPr>
      <w:r>
        <w:rPr>
          <w:rFonts w:ascii="Courier New" w:cs="Courier New" w:eastAsia="Courier New" w:hAnsi="Courier New"/>
          <w:sz w:val="16"/>
          <w:szCs w:val="16"/>
          <w:color w:val="auto"/>
        </w:rPr>
        <w:t>Office as Paying Agent in such city and as its agent to receive all such presentations, surrenders, notices and demands.</w:t>
      </w:r>
    </w:p>
    <w:p>
      <w:pPr>
        <w:spacing w:after="0" w:line="183" w:lineRule="exact"/>
        <w:rPr>
          <w:sz w:val="20"/>
          <w:szCs w:val="20"/>
          <w:color w:val="auto"/>
        </w:rPr>
      </w:pPr>
    </w:p>
    <w:p>
      <w:pPr>
        <w:ind w:right="2779" w:firstLine="926"/>
        <w:spacing w:after="0" w:line="234" w:lineRule="auto"/>
        <w:tabs>
          <w:tab w:leader="none" w:pos="1302" w:val="left"/>
        </w:tabs>
        <w:numPr>
          <w:ilvl w:val="0"/>
          <w:numId w:val="3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otherwise specified with respect to any Securities pursuant to Section 301, if and so long as the Securities of any series</w:t>
      </w:r>
    </w:p>
    <w:p>
      <w:pPr>
        <w:spacing w:after="0" w:line="177" w:lineRule="exact"/>
        <w:rPr>
          <w:rFonts w:ascii="Courier New" w:cs="Courier New" w:eastAsia="Courier New" w:hAnsi="Courier New"/>
          <w:sz w:val="16"/>
          <w:szCs w:val="16"/>
          <w:color w:val="auto"/>
        </w:rPr>
      </w:pPr>
    </w:p>
    <w:p>
      <w:pPr>
        <w:ind w:left="2220" w:hanging="364"/>
        <w:spacing w:after="0"/>
        <w:tabs>
          <w:tab w:leader="none" w:pos="2220" w:val="left"/>
        </w:tabs>
        <w:numPr>
          <w:ilvl w:val="1"/>
          <w:numId w:val="3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denominated in a Currency other than Dollars or</w:t>
      </w:r>
    </w:p>
    <w:p>
      <w:pPr>
        <w:spacing w:after="0" w:line="176" w:lineRule="exact"/>
        <w:rPr>
          <w:rFonts w:ascii="Courier New" w:cs="Courier New" w:eastAsia="Courier New" w:hAnsi="Courier New"/>
          <w:sz w:val="16"/>
          <w:szCs w:val="16"/>
          <w:color w:val="auto"/>
        </w:rPr>
      </w:pPr>
    </w:p>
    <w:p>
      <w:pPr>
        <w:ind w:left="2220" w:hanging="364"/>
        <w:spacing w:after="0"/>
        <w:tabs>
          <w:tab w:leader="none" w:pos="2220" w:val="left"/>
        </w:tabs>
        <w:numPr>
          <w:ilvl w:val="1"/>
          <w:numId w:val="3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may be payable in a Currency other than Dollars, or</w:t>
      </w:r>
    </w:p>
    <w:p>
      <w:pPr>
        <w:spacing w:after="0" w:line="182" w:lineRule="exact"/>
        <w:rPr>
          <w:rFonts w:ascii="Courier New" w:cs="Courier New" w:eastAsia="Courier New" w:hAnsi="Courier New"/>
          <w:sz w:val="16"/>
          <w:szCs w:val="16"/>
          <w:color w:val="auto"/>
        </w:rPr>
      </w:pPr>
    </w:p>
    <w:p>
      <w:pPr>
        <w:ind w:left="2220" w:hanging="364"/>
        <w:spacing w:after="0"/>
        <w:tabs>
          <w:tab w:leader="none" w:pos="2220" w:val="left"/>
        </w:tabs>
        <w:numPr>
          <w:ilvl w:val="1"/>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 long as it is required  under any other  provision of</w:t>
      </w:r>
    </w:p>
    <w:p>
      <w:pPr>
        <w:spacing w:after="0" w:line="16" w:lineRule="exact"/>
        <w:rPr>
          <w:rFonts w:ascii="Courier New" w:cs="Courier New" w:eastAsia="Courier New" w:hAnsi="Courier New"/>
          <w:sz w:val="14"/>
          <w:szCs w:val="14"/>
          <w:color w:val="auto"/>
        </w:rPr>
      </w:pPr>
    </w:p>
    <w:p>
      <w:pPr>
        <w:ind w:left="92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the Indenture,</w:t>
      </w:r>
    </w:p>
    <w:p>
      <w:pPr>
        <w:spacing w:after="0" w:line="183" w:lineRule="exact"/>
        <w:rPr>
          <w:sz w:val="20"/>
          <w:szCs w:val="20"/>
          <w:color w:val="auto"/>
        </w:rPr>
      </w:pPr>
    </w:p>
    <w:p>
      <w:pPr>
        <w:ind w:right="3159" w:firstLine="930"/>
        <w:spacing w:after="0" w:line="234" w:lineRule="auto"/>
        <w:rPr>
          <w:sz w:val="20"/>
          <w:szCs w:val="20"/>
          <w:color w:val="auto"/>
        </w:rPr>
      </w:pPr>
      <w:r>
        <w:rPr>
          <w:rFonts w:ascii="Courier New" w:cs="Courier New" w:eastAsia="Courier New" w:hAnsi="Courier New"/>
          <w:sz w:val="16"/>
          <w:szCs w:val="16"/>
          <w:color w:val="auto"/>
        </w:rPr>
        <w:t>then the Company will maintain with respect to each such series of Securities, or as so required, at least one Exchange Rate Agent.</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Section 1003. Money for Securities Payments to be Held in Trust.</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879" w:firstLine="926"/>
        <w:spacing w:after="0" w:line="236" w:lineRule="auto"/>
        <w:tabs>
          <w:tab w:leader="none" w:pos="1302" w:val="left"/>
        </w:tabs>
        <w:numPr>
          <w:ilvl w:val="0"/>
          <w:numId w:val="3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Company or any Subsidiary or any Affiliate of any of them shall at any time act as Paying Agent with respect to any series of any Securities and any related coupons, it will, on or before each due date of the principal of (or premium, if any) or interest, if any, on any of the Securities of that series, segregate and hold in trust for the benefit of the Persons entitled thereto a sum in the Currency in which the Securities of such series are payable (except as otherwise specified pursuant to Section 301 for the Securities of such series and except, if applicable, as provided in Subsections 312(b), 312(d) and 312(e)) sufficient to pay the principal of (and premium, if any) and interest, if any, on Securities of such series so becoming due until such sums shall be paid to such Persons or otherwise disposed of as herein provided, and will promptly notify the Trustee of its action or failure so to act.</w:t>
      </w:r>
    </w:p>
    <w:p>
      <w:pPr>
        <w:spacing w:after="0" w:line="187" w:lineRule="exact"/>
        <w:rPr>
          <w:rFonts w:ascii="Courier New" w:cs="Courier New" w:eastAsia="Courier New" w:hAnsi="Courier New"/>
          <w:sz w:val="16"/>
          <w:szCs w:val="16"/>
          <w:color w:val="auto"/>
        </w:rPr>
      </w:pPr>
    </w:p>
    <w:p>
      <w:pPr>
        <w:ind w:right="2779" w:firstLine="926"/>
        <w:spacing w:after="0" w:line="236" w:lineRule="auto"/>
        <w:tabs>
          <w:tab w:leader="none" w:pos="1302" w:val="left"/>
        </w:tabs>
        <w:numPr>
          <w:ilvl w:val="0"/>
          <w:numId w:val="3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the Company shall have one or more Paying Agents for any series of Securities and any related coupons, it will, on or before each due date of the principal of (or premium, if any) or interest, if any, on any Securities of that series, deposit with a Paying Agent a sum (in the Currency described in Subsection 1003(a)) sufficient to pay the principal (or premium, if any) or interest, if any, so becoming due, such sum to be held in trust for the benefit of the Persons entitled to such principal, premium or interest and (unless such Paying Agent is the Trustee) the Company will promptly notify the Trustee of its action or failure so to act.</w:t>
      </w:r>
    </w:p>
    <w:p>
      <w:pPr>
        <w:spacing w:after="0" w:line="184" w:lineRule="exact"/>
        <w:rPr>
          <w:rFonts w:ascii="Courier New" w:cs="Courier New" w:eastAsia="Courier New" w:hAnsi="Courier New"/>
          <w:sz w:val="16"/>
          <w:szCs w:val="16"/>
          <w:color w:val="auto"/>
        </w:rPr>
      </w:pPr>
    </w:p>
    <w:p>
      <w:pPr>
        <w:ind w:right="2779" w:firstLine="926"/>
        <w:spacing w:after="0" w:line="236" w:lineRule="auto"/>
        <w:tabs>
          <w:tab w:leader="none" w:pos="1302" w:val="left"/>
        </w:tabs>
        <w:numPr>
          <w:ilvl w:val="0"/>
          <w:numId w:val="3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sums.</w:t>
      </w:r>
    </w:p>
    <w:p>
      <w:pPr>
        <w:spacing w:after="0" w:line="35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76</w:t>
      </w:r>
    </w:p>
    <w:p>
      <w:pPr>
        <w:sectPr>
          <w:pgSz w:w="11900" w:h="16838" w:orient="portrait"/>
          <w:cols w:equalWidth="0" w:num="1">
            <w:col w:w="10219"/>
          </w:cols>
          <w:pgMar w:left="240" w:top="655" w:right="1440" w:bottom="1440" w:gutter="0" w:footer="0" w:header="0"/>
        </w:sectPr>
      </w:pPr>
    </w:p>
    <w:bookmarkStart w:id="255" w:name="page256"/>
    <w:bookmarkEnd w:id="255"/>
    <w:p>
      <w:pPr>
        <w:ind w:right="2779" w:firstLine="926"/>
        <w:spacing w:after="0" w:line="272" w:lineRule="auto"/>
        <w:tabs>
          <w:tab w:leader="none" w:pos="1302" w:val="left"/>
        </w:tabs>
        <w:numPr>
          <w:ilvl w:val="0"/>
          <w:numId w:val="3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provided in the Securities of any series, any money deposited with the Trustee or any Paying Agent, or then held by the Company, in trust for the payment of the principal of (or premium, if any) or interest, if any, on any Security of any series and remaining unclaimed for two years after such principal, premium or interest has become due and payable shall be paid to the Company upon Company Request or (if then held by the Company) shall be discharged from such trust; and the Holder of such Security shall thereafter, as an unsecured general creditor, look only to the Company for payment of such principal, premium or interest on any Security, without interest thereon, and all liability of the Trustee or such Paying Agent with respect to such trust money, and all liability of the Company as trustee thereof, shall thereupon cease; provided, that, the Trustee or such Paying Agent, before being required to make any such repayment, may at the expense of the Company cause to be published once, in an Authorized Newspaper in each Place of Payment for such series, or mailed to each Holder of Registered Securities of such series, notice that such money remains unclaimed and that, after a date specified therein, which shall not be less than 30 days from the date of such publication, any unclaimed balance of such money then remaining will be repaid to the Company.</w:t>
      </w:r>
    </w:p>
    <w:p>
      <w:pPr>
        <w:spacing w:after="0" w:line="337"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Section 1004. Corporate Existence.</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930"/>
        <w:spacing w:after="0" w:line="236" w:lineRule="auto"/>
        <w:rPr>
          <w:sz w:val="20"/>
          <w:szCs w:val="20"/>
          <w:color w:val="auto"/>
        </w:rPr>
      </w:pPr>
      <w:r>
        <w:rPr>
          <w:rFonts w:ascii="Courier New" w:cs="Courier New" w:eastAsia="Courier New" w:hAnsi="Courier New"/>
          <w:sz w:val="16"/>
          <w:szCs w:val="16"/>
          <w:color w:val="auto"/>
        </w:rPr>
        <w:t>Subject to Article Eight, the Company shall do or cause to be done all things necessary to preserve and keep in full force and effect its corporate existence and material rights and franchises (charter and statutory); provided, that, neither the Company shall be required to preserve any such right or franchise if it shall determine that the preservation thereof is no longer necessary or desirable in the conduct of the business of the Company; and provided further, that the foregoing shall not prohibit a sale, transfer or conveyance of a Subsidiary or any of its assets in compliance with the terms of the Indenture.</w:t>
      </w:r>
    </w:p>
    <w:p>
      <w:pPr>
        <w:spacing w:after="0" w:line="179"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Section 1005. Additional Amounts.</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926"/>
        <w:spacing w:after="0" w:line="272" w:lineRule="auto"/>
        <w:tabs>
          <w:tab w:leader="none" w:pos="1302" w:val="left"/>
        </w:tabs>
        <w:numPr>
          <w:ilvl w:val="0"/>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Securities of a series provide for the payment of Additional Amounts, the Company will pay to the Holder of a Security of such series or any coupon appertaining thereto Additional Amounts as may be specified as contemplated by Section 301. Whenever in this Indenture there is mentioned, in any context, the payment of the principal of (or premium, if any) or interest, if any, on any Security of any series or payment of any related coupon or the net proceeds received on the sale or exchange of any Security of any series, such mention shall be deemed to include mention of the payment of Additional Amounts provided by the terms of such series established pursuant to Section 301 to the extent that, in such context, Additional Amounts are, were or would be payable in respect thereof pursuant to such terms and express mention of the payment of Additional Amounts (if applicable) in any provisions hereof shall not be construed as excluding Additional Amounts in those provisions hereof where such express mention is not made.</w:t>
      </w:r>
    </w:p>
    <w:p>
      <w:pPr>
        <w:spacing w:after="0" w:line="346" w:lineRule="exact"/>
        <w:rPr>
          <w:rFonts w:ascii="Courier New" w:cs="Courier New" w:eastAsia="Courier New" w:hAnsi="Courier New"/>
          <w:sz w:val="14"/>
          <w:szCs w:val="14"/>
          <w:color w:val="auto"/>
        </w:rPr>
      </w:pPr>
    </w:p>
    <w:p>
      <w:pPr>
        <w:ind w:right="2959" w:firstLine="926"/>
        <w:spacing w:after="0" w:line="283" w:lineRule="auto"/>
        <w:tabs>
          <w:tab w:leader="none" w:pos="1302" w:val="left"/>
        </w:tabs>
        <w:numPr>
          <w:ilvl w:val="0"/>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specified as contemplated by Section 301, if the Securities of a series provide for the payment of Additional Amounts, at least 10 days prior to the first Interest Payment Date with respect to that</w:t>
      </w:r>
    </w:p>
    <w:p>
      <w:pPr>
        <w:spacing w:after="0" w:line="32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77</w:t>
      </w:r>
    </w:p>
    <w:p>
      <w:pPr>
        <w:sectPr>
          <w:pgSz w:w="11900" w:h="16838" w:orient="portrait"/>
          <w:cols w:equalWidth="0" w:num="1">
            <w:col w:w="10219"/>
          </w:cols>
          <w:pgMar w:left="240" w:top="655" w:right="1440" w:bottom="1440" w:gutter="0" w:footer="0" w:header="0"/>
        </w:sectPr>
      </w:pPr>
    </w:p>
    <w:bookmarkStart w:id="256" w:name="page257"/>
    <w:bookmarkEnd w:id="256"/>
    <w:p>
      <w:pPr>
        <w:ind w:right="2779"/>
        <w:spacing w:after="0" w:line="271" w:lineRule="auto"/>
        <w:rPr>
          <w:sz w:val="20"/>
          <w:szCs w:val="20"/>
          <w:color w:val="auto"/>
        </w:rPr>
      </w:pPr>
      <w:r>
        <w:rPr>
          <w:rFonts w:ascii="Courier New" w:cs="Courier New" w:eastAsia="Courier New" w:hAnsi="Courier New"/>
          <w:sz w:val="14"/>
          <w:szCs w:val="14"/>
          <w:color w:val="auto"/>
        </w:rPr>
        <w:t>series of Securities (or if the Securities of that series will not bear interest prior to Maturity, the first day on which a payment of principal and any premium is made), and at least 10 days prior to each date of payment of principal, premium or interest if there has been any change with respect to the matters set forth in the below-mentioned Officers' Certificate, the Company will furnish the Trustee and the Company's principal Paying Agent or Paying Agents, if other than the Trustee, with an Officers' Certificate instructing the Trustee and such Paying Agent or Paying Agents whether such payment of principal, premium or interest on the Securities of that series shall be made to Holders of Securities of that series or any related coupons who are not United States persons without withholding for or on account of any tax, assessment or other governmental charge described in the Securities of the series. If any such withholding shall be required, then such Officers' Certificate shall specify by country the amount, if any, required to be withheld on such payments to such Holders of Securities of that series or related coupons and the Company will pay to the Trustee or such Paying Agent the Additional Amounts required by the terms of such Securities. In the event that the Trustee or any Paying Agent, as the case may be, shall not so receive the above-mentioned certificate, then the Trustee or such Paying Agent shall be entitled (1) to assume that no such withholding or deduction is required with respect to any payment of principal of (or premium, if any) or interest with respect to any Securities of a series or related coupons until it shall have received a certificate advising otherwise and (2) to make all payments of principal of (or premium, if any) and interest with respect to the Securities of a series or related coupons without withholding or deductions until otherwise advised. The Company covenants to indemnify the Trustee and any Paying Agent for, and to hold them harmless against, any loss, liability or expense reasonably incurred without negligence or bad faith on their part arising out of or in connection with actions taken or omitted by any of them in reliance on any Officers' Certificate furnished pursuant to this Section.</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Section 1006. Statement as to Compliance.</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930"/>
        <w:spacing w:after="0" w:line="274" w:lineRule="auto"/>
        <w:rPr>
          <w:sz w:val="20"/>
          <w:szCs w:val="20"/>
          <w:color w:val="auto"/>
        </w:rPr>
      </w:pPr>
      <w:r>
        <w:rPr>
          <w:rFonts w:ascii="Courier New" w:cs="Courier New" w:eastAsia="Courier New" w:hAnsi="Courier New"/>
          <w:sz w:val="14"/>
          <w:szCs w:val="14"/>
          <w:color w:val="auto"/>
        </w:rPr>
        <w:t>The Company will deliver to the Trustee, within 120 days after the end of each fiscal year, a brief certificate from the principal executive officer, principal financial officer or principal accounting officer as to his or her knowledge of the Company's compliance with all conditions and covenants under this Indenture and, if the Company is in default, specifying all such defaults and the nature and status thereof of which he or she may have knowledge. For purposes of this Section 1006, such compliance shall be determined without regard to any period of grace or requirement of notice under this Indenture.</w:t>
      </w:r>
    </w:p>
    <w:p>
      <w:pPr>
        <w:spacing w:after="0" w:line="155"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Section 1007. Waiver of Certain Covenants.</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926"/>
        <w:spacing w:after="0" w:line="275" w:lineRule="auto"/>
        <w:tabs>
          <w:tab w:leader="none" w:pos="1302" w:val="left"/>
        </w:tabs>
        <w:numPr>
          <w:ilvl w:val="0"/>
          <w:numId w:val="3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the Securities of any series, the Company may omit in any particular instance to comply with any term, provision or condition specified pursuant to Section 301 as being subject to this Section 1007, if before or after the time for such compliance the Holders of at least a majority in principal amount of all Outstanding Securities of such series affected by such term, provision or condition, by Act of such Holders, waive such compliance</w:t>
      </w:r>
    </w:p>
    <w:p>
      <w:pPr>
        <w:spacing w:after="0" w:line="33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78</w:t>
      </w:r>
    </w:p>
    <w:p>
      <w:pPr>
        <w:sectPr>
          <w:pgSz w:w="11900" w:h="16838" w:orient="portrait"/>
          <w:cols w:equalWidth="0" w:num="1">
            <w:col w:w="10219"/>
          </w:cols>
          <w:pgMar w:left="240" w:top="655" w:right="1440" w:bottom="1440" w:gutter="0" w:footer="0" w:header="0"/>
        </w:sectPr>
      </w:pPr>
    </w:p>
    <w:bookmarkStart w:id="257" w:name="page258"/>
    <w:bookmarkEnd w:id="257"/>
    <w:p>
      <w:pPr>
        <w:ind w:right="2779"/>
        <w:spacing w:after="0" w:line="236" w:lineRule="auto"/>
        <w:rPr>
          <w:sz w:val="20"/>
          <w:szCs w:val="20"/>
          <w:color w:val="auto"/>
        </w:rPr>
      </w:pPr>
      <w:r>
        <w:rPr>
          <w:rFonts w:ascii="Courier New" w:cs="Courier New" w:eastAsia="Courier New" w:hAnsi="Courier New"/>
          <w:sz w:val="16"/>
          <w:szCs w:val="16"/>
          <w:color w:val="auto"/>
        </w:rPr>
        <w:t>in such instance or generally waive compliance with such term, provision or condition, but no such waiver shall extend to or affect such term, provision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Section 1008. Statement by Officers as to Default.</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959" w:firstLine="930"/>
        <w:spacing w:after="0" w:line="236" w:lineRule="auto"/>
        <w:rPr>
          <w:sz w:val="20"/>
          <w:szCs w:val="20"/>
          <w:color w:val="auto"/>
        </w:rPr>
      </w:pPr>
      <w:r>
        <w:rPr>
          <w:rFonts w:ascii="Courier New" w:cs="Courier New" w:eastAsia="Courier New" w:hAnsi="Courier New"/>
          <w:sz w:val="16"/>
          <w:szCs w:val="16"/>
          <w:color w:val="auto"/>
        </w:rPr>
        <w:t>The Company shall deliver to the Trustee, as soon as possible and in any event within 10 days after the Company becomes aware of the occurrence of any Event of Default or an event which, with notice or the lapse of time or both, would constitute an Event of Default, an Officers' Certificate setting forth the details of such Event of Default or default and the action which the Company proposes to take with respect thereto.</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ARTICLE ELEVEN</w:t>
      </w:r>
    </w:p>
    <w:p>
      <w:pPr>
        <w:jc w:val="center"/>
        <w:ind w:right="2779"/>
        <w:spacing w:after="0" w:line="236" w:lineRule="auto"/>
        <w:rPr>
          <w:sz w:val="20"/>
          <w:szCs w:val="20"/>
          <w:color w:val="auto"/>
        </w:rPr>
      </w:pPr>
      <w:r>
        <w:rPr>
          <w:rFonts w:ascii="Courier New" w:cs="Courier New" w:eastAsia="Courier New" w:hAnsi="Courier New"/>
          <w:sz w:val="16"/>
          <w:szCs w:val="16"/>
          <w:color w:val="auto"/>
        </w:rPr>
        <w:t>REDEMPTION OF SECURITIES</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Section 1101. Applicability of Article.</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930"/>
        <w:spacing w:after="0" w:line="235" w:lineRule="auto"/>
        <w:rPr>
          <w:sz w:val="20"/>
          <w:szCs w:val="20"/>
          <w:color w:val="auto"/>
        </w:rPr>
      </w:pPr>
      <w:r>
        <w:rPr>
          <w:rFonts w:ascii="Courier New" w:cs="Courier New" w:eastAsia="Courier New" w:hAnsi="Courier New"/>
          <w:sz w:val="16"/>
          <w:szCs w:val="16"/>
          <w:color w:val="auto"/>
        </w:rPr>
        <w:t>Securities of any series which are redeemable before their Stated Maturity shall be redeemable in accordance with their terms and (except as otherwise specified as contemplated by Section 301 for Securities of any series) in accordance with this Article.</w:t>
      </w:r>
    </w:p>
    <w:p>
      <w:pPr>
        <w:spacing w:after="0" w:line="178"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Section 1102. Election to Redeem; Notice to Trustee.</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930"/>
        <w:spacing w:after="0" w:line="236" w:lineRule="auto"/>
        <w:rPr>
          <w:sz w:val="20"/>
          <w:szCs w:val="20"/>
          <w:color w:val="auto"/>
        </w:rPr>
      </w:pPr>
      <w:r>
        <w:rPr>
          <w:rFonts w:ascii="Courier New" w:cs="Courier New" w:eastAsia="Courier New" w:hAnsi="Courier New"/>
          <w:sz w:val="16"/>
          <w:szCs w:val="16"/>
          <w:color w:val="auto"/>
        </w:rPr>
        <w:t>The election of the Company to redeem any Securities shall be evidenced by or pursuant to a Board Resolution. In case of any redemption at the election of the Company of less than all of the Securities of any series, the Company shall, at least 60 days prior to the Redemption Date fixed by the Company (unless a shorter notice shall be satisfactory to the Trustee), notify the Trustee in writing of such Redemption Date and of the principal amount of Securities of such series to be redeemed. In the case of any redemption of Securities prior to the expiration of any restriction on such redemption provided in the terms of such Securities or elsewhere in this Indenture, the Company shall furnish the Trustee with an Officers' Certificate evidencing compliance with such restriction.</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Section 1103. Selection by Trustee of Securities to be Redeemed.</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926"/>
        <w:spacing w:after="0" w:line="236" w:lineRule="auto"/>
        <w:tabs>
          <w:tab w:leader="none" w:pos="1302" w:val="left"/>
        </w:tabs>
        <w:numPr>
          <w:ilvl w:val="0"/>
          <w:numId w:val="3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less than all the Securities of any series issued on the same day with the same terms are to be redeemed, the particular Securities to be redeemed shall be selected not more than 60 days prior to the Redemption Date by the Trustee, from the Outstanding Securities of such series issued on such date with the same terms not previously called for redemption, by such method as the Trustee shall deem fair and appropriate and which may provide for the selection for redemption of portions (equal to the minimum authorized denomination for Securities of that series or any integral multiple thereof) of the principal amount of Securities of such series of a denomination larger than the minimum authorized denomination for Securities of that series.</w:t>
      </w:r>
    </w:p>
    <w:p>
      <w:pPr>
        <w:spacing w:after="0" w:line="35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79</w:t>
      </w:r>
    </w:p>
    <w:p>
      <w:pPr>
        <w:sectPr>
          <w:pgSz w:w="11900" w:h="16838" w:orient="portrait"/>
          <w:cols w:equalWidth="0" w:num="1">
            <w:col w:w="10219"/>
          </w:cols>
          <w:pgMar w:left="240" w:top="655" w:right="1440" w:bottom="1440" w:gutter="0" w:footer="0" w:header="0"/>
        </w:sectPr>
      </w:pPr>
    </w:p>
    <w:bookmarkStart w:id="258" w:name="page259"/>
    <w:bookmarkEnd w:id="258"/>
    <w:p>
      <w:pPr>
        <w:ind w:left="-360" w:right="2959" w:firstLine="926"/>
        <w:spacing w:after="0" w:line="235" w:lineRule="auto"/>
        <w:tabs>
          <w:tab w:leader="none" w:pos="942" w:val="left"/>
        </w:tabs>
        <w:numPr>
          <w:ilvl w:val="0"/>
          <w:numId w:val="3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promptly notify the Company and the Security Registrar (if other than itself) in writing of the Securities selected for redemption and, in the case of any Securities selected for partial redemption, the principal amount thereof to be redeemed.</w:t>
      </w:r>
    </w:p>
    <w:p>
      <w:pPr>
        <w:spacing w:after="0" w:line="184" w:lineRule="exact"/>
        <w:rPr>
          <w:rFonts w:ascii="Courier New" w:cs="Courier New" w:eastAsia="Courier New" w:hAnsi="Courier New"/>
          <w:sz w:val="16"/>
          <w:szCs w:val="16"/>
          <w:color w:val="auto"/>
        </w:rPr>
      </w:pPr>
    </w:p>
    <w:p>
      <w:pPr>
        <w:ind w:left="-360" w:right="2879" w:firstLine="926"/>
        <w:spacing w:after="0" w:line="235" w:lineRule="auto"/>
        <w:tabs>
          <w:tab w:leader="none" w:pos="942" w:val="left"/>
        </w:tabs>
        <w:numPr>
          <w:ilvl w:val="0"/>
          <w:numId w:val="3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1104. Notice of Redemption.</w:t>
      </w:r>
    </w:p>
    <w:p>
      <w:pPr>
        <w:ind w:left="130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360" w:right="2779" w:firstLine="926"/>
        <w:spacing w:after="0" w:line="274" w:lineRule="auto"/>
        <w:tabs>
          <w:tab w:leader="none" w:pos="942" w:val="left"/>
        </w:tabs>
        <w:numPr>
          <w:ilvl w:val="0"/>
          <w:numId w:val="3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redemption shall be given in the manner provided in Section 106, not less than 30 days nor more than 60 days prior to the Redemption Date, unless a shorter period is specified by the terms of such series established pursuant to Section 301, to each Holder of Securities to be redeemed, but failure to give such notice in the manner herein provided to the Holder of any Security designated for redemption as a whole or in part, or any defect in the notice to any such Holder, shall not affect the validity of the proceedings for the redemption of any other such Security or portion thereof.</w:t>
      </w:r>
    </w:p>
    <w:p>
      <w:pPr>
        <w:spacing w:after="0" w:line="161" w:lineRule="exact"/>
        <w:rPr>
          <w:rFonts w:ascii="Courier New" w:cs="Courier New" w:eastAsia="Courier New" w:hAnsi="Courier New"/>
          <w:sz w:val="14"/>
          <w:szCs w:val="14"/>
          <w:color w:val="auto"/>
        </w:rPr>
      </w:pPr>
    </w:p>
    <w:p>
      <w:pPr>
        <w:ind w:left="-360" w:right="2879" w:firstLine="926"/>
        <w:spacing w:after="0" w:line="235" w:lineRule="auto"/>
        <w:tabs>
          <w:tab w:leader="none" w:pos="942" w:val="left"/>
        </w:tabs>
        <w:numPr>
          <w:ilvl w:val="0"/>
          <w:numId w:val="3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notice that is mailed to the Holders of Registered Securities in the manner herein provided shall be conclusively presumed to have been duly given, whether or not the Holder receives the notice. All notices of redemption shall state:</w:t>
      </w:r>
    </w:p>
    <w:p>
      <w:pPr>
        <w:spacing w:after="0" w:line="178" w:lineRule="exact"/>
        <w:rPr>
          <w:rFonts w:ascii="Courier New" w:cs="Courier New" w:eastAsia="Courier New" w:hAnsi="Courier New"/>
          <w:sz w:val="16"/>
          <w:szCs w:val="16"/>
          <w:color w:val="auto"/>
        </w:rPr>
      </w:pPr>
    </w:p>
    <w:p>
      <w:pPr>
        <w:ind w:left="1860" w:hanging="364"/>
        <w:spacing w:after="0"/>
        <w:tabs>
          <w:tab w:leader="none" w:pos="1860" w:val="left"/>
        </w:tabs>
        <w:numPr>
          <w:ilvl w:val="1"/>
          <w:numId w:val="3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Redemption Date,</w:t>
      </w:r>
    </w:p>
    <w:p>
      <w:pPr>
        <w:spacing w:after="0" w:line="182" w:lineRule="exact"/>
        <w:rPr>
          <w:rFonts w:ascii="Courier New" w:cs="Courier New" w:eastAsia="Courier New" w:hAnsi="Courier New"/>
          <w:sz w:val="16"/>
          <w:szCs w:val="16"/>
          <w:color w:val="auto"/>
        </w:rPr>
      </w:pPr>
    </w:p>
    <w:p>
      <w:pPr>
        <w:ind w:left="560" w:right="2779" w:firstLine="936"/>
        <w:spacing w:after="0" w:line="295" w:lineRule="auto"/>
        <w:tabs>
          <w:tab w:leader="none" w:pos="1862" w:val="left"/>
        </w:tabs>
        <w:numPr>
          <w:ilvl w:val="1"/>
          <w:numId w:val="3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Redemption Price and the amount of accrued interest, if any, to the Redemption Date payable as provided in Section 1106,</w:t>
      </w:r>
    </w:p>
    <w:p>
      <w:pPr>
        <w:spacing w:after="0" w:line="146" w:lineRule="exact"/>
        <w:rPr>
          <w:rFonts w:ascii="Courier New" w:cs="Courier New" w:eastAsia="Courier New" w:hAnsi="Courier New"/>
          <w:sz w:val="14"/>
          <w:szCs w:val="14"/>
          <w:color w:val="auto"/>
        </w:rPr>
      </w:pPr>
    </w:p>
    <w:p>
      <w:pPr>
        <w:ind w:left="560" w:right="2779" w:firstLine="936"/>
        <w:spacing w:after="0" w:line="235" w:lineRule="auto"/>
        <w:tabs>
          <w:tab w:leader="none" w:pos="1862" w:val="left"/>
        </w:tabs>
        <w:numPr>
          <w:ilvl w:val="1"/>
          <w:numId w:val="3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less than all the Outstanding Securities of any series are to be redeemed, the identification (and, in the case of partial redemption, the principal amount) of the particular Securities to be redeemed,</w:t>
      </w:r>
    </w:p>
    <w:p>
      <w:pPr>
        <w:spacing w:after="0" w:line="184" w:lineRule="exact"/>
        <w:rPr>
          <w:rFonts w:ascii="Courier New" w:cs="Courier New" w:eastAsia="Courier New" w:hAnsi="Courier New"/>
          <w:sz w:val="16"/>
          <w:szCs w:val="16"/>
          <w:color w:val="auto"/>
        </w:rPr>
      </w:pPr>
    </w:p>
    <w:p>
      <w:pPr>
        <w:ind w:left="560" w:right="2779" w:firstLine="936"/>
        <w:spacing w:after="0" w:line="276" w:lineRule="auto"/>
        <w:tabs>
          <w:tab w:leader="none" w:pos="1862" w:val="left"/>
        </w:tabs>
        <w:numPr>
          <w:ilvl w:val="1"/>
          <w:numId w:val="3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any Security is to be redeemed in part only, the notice which relates to such Security shall state that on and after the Redemption Date, upon surrender of such Security, the Holder will receive, without a charge, a new Security or Securities of authorized denominations for the principal amount thereof remaining unredeemed,</w:t>
      </w:r>
    </w:p>
    <w:p>
      <w:pPr>
        <w:spacing w:after="0" w:line="161" w:lineRule="exact"/>
        <w:rPr>
          <w:rFonts w:ascii="Courier New" w:cs="Courier New" w:eastAsia="Courier New" w:hAnsi="Courier New"/>
          <w:sz w:val="14"/>
          <w:szCs w:val="14"/>
          <w:color w:val="auto"/>
        </w:rPr>
      </w:pPr>
    </w:p>
    <w:p>
      <w:pPr>
        <w:ind w:left="560" w:right="2959" w:firstLine="936"/>
        <w:spacing w:after="0" w:line="276" w:lineRule="auto"/>
        <w:tabs>
          <w:tab w:leader="none" w:pos="1862" w:val="left"/>
        </w:tabs>
        <w:numPr>
          <w:ilvl w:val="1"/>
          <w:numId w:val="3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on the Redemption Date, the Redemption Price and accrued interest, if any, to the Redemption Date payable as provided in Section 1106 will become due and payable upon each such Security, or the portion thereof, to be redeemed and, if applicable, that interest thereon shall cease to accrue on and after said date,</w:t>
      </w:r>
    </w:p>
    <w:p>
      <w:pPr>
        <w:spacing w:after="0" w:line="161" w:lineRule="exact"/>
        <w:rPr>
          <w:rFonts w:ascii="Courier New" w:cs="Courier New" w:eastAsia="Courier New" w:hAnsi="Courier New"/>
          <w:sz w:val="14"/>
          <w:szCs w:val="14"/>
          <w:color w:val="auto"/>
        </w:rPr>
      </w:pPr>
    </w:p>
    <w:p>
      <w:pPr>
        <w:ind w:left="560" w:right="3059" w:firstLine="936"/>
        <w:spacing w:after="0" w:line="295" w:lineRule="auto"/>
        <w:tabs>
          <w:tab w:leader="none" w:pos="1862" w:val="left"/>
        </w:tabs>
        <w:numPr>
          <w:ilvl w:val="1"/>
          <w:numId w:val="3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Place or Places of Payment where such Securities, together in the case of Bearer Securities with all coupons</w:t>
      </w:r>
    </w:p>
    <w:p>
      <w:pPr>
        <w:spacing w:after="0" w:line="320"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80</w:t>
      </w:r>
    </w:p>
    <w:p>
      <w:pPr>
        <w:sectPr>
          <w:pgSz w:w="11900" w:h="16838" w:orient="portrait"/>
          <w:cols w:equalWidth="0" w:num="1">
            <w:col w:w="9859"/>
          </w:cols>
          <w:pgMar w:left="600" w:top="655" w:right="1440" w:bottom="1440" w:gutter="0" w:footer="0" w:header="0"/>
        </w:sectPr>
      </w:pPr>
    </w:p>
    <w:bookmarkStart w:id="259" w:name="page260"/>
    <w:bookmarkEnd w:id="259"/>
    <w:p>
      <w:pPr>
        <w:ind w:left="920" w:right="2879"/>
        <w:spacing w:after="0" w:line="235" w:lineRule="auto"/>
        <w:rPr>
          <w:sz w:val="20"/>
          <w:szCs w:val="20"/>
          <w:color w:val="auto"/>
        </w:rPr>
      </w:pPr>
      <w:r>
        <w:rPr>
          <w:rFonts w:ascii="Courier New" w:cs="Courier New" w:eastAsia="Courier New" w:hAnsi="Courier New"/>
          <w:sz w:val="16"/>
          <w:szCs w:val="16"/>
          <w:color w:val="auto"/>
        </w:rPr>
        <w:t>appertaining thereto, if any, maturing after the Redemption Date, are to be surrendered for payment of the Redemption Price and accrued interest, if any,</w:t>
      </w:r>
    </w:p>
    <w:p>
      <w:pPr>
        <w:spacing w:after="0" w:line="177"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(7) that the redemption is for a sinking fund, if such is</w:t>
      </w:r>
    </w:p>
    <w:p>
      <w:pPr>
        <w:ind w:left="920"/>
        <w:spacing w:after="0" w:line="236" w:lineRule="auto"/>
        <w:rPr>
          <w:sz w:val="20"/>
          <w:szCs w:val="20"/>
          <w:color w:val="auto"/>
        </w:rPr>
      </w:pPr>
      <w:r>
        <w:rPr>
          <w:rFonts w:ascii="Courier New" w:cs="Courier New" w:eastAsia="Courier New" w:hAnsi="Courier New"/>
          <w:sz w:val="16"/>
          <w:szCs w:val="16"/>
          <w:color w:val="auto"/>
        </w:rPr>
        <w:t>the case,</w:t>
      </w:r>
    </w:p>
    <w:p>
      <w:pPr>
        <w:spacing w:after="0" w:line="183" w:lineRule="exact"/>
        <w:rPr>
          <w:sz w:val="20"/>
          <w:szCs w:val="20"/>
          <w:color w:val="auto"/>
        </w:rPr>
      </w:pPr>
    </w:p>
    <w:p>
      <w:pPr>
        <w:ind w:left="920" w:right="2879" w:firstLine="936"/>
        <w:spacing w:after="0" w:line="236" w:lineRule="auto"/>
        <w:tabs>
          <w:tab w:leader="none" w:pos="2222" w:val="left"/>
        </w:tabs>
        <w:numPr>
          <w:ilvl w:val="0"/>
          <w:numId w:val="3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unless otherwise specified in such notice, Bearer Securities of any series, if any, surrendered for redemption must be accompanied by all coupons maturing subsequent to the Redemption Date or the amount of any such missing coupon or coupons will be deducted from the Redemption Price, unless security or indemnity satisfactory to the Company, the Trustee for such series and any Paying Agent is furnished,</w:t>
      </w:r>
    </w:p>
    <w:p>
      <w:pPr>
        <w:spacing w:after="0" w:line="183" w:lineRule="exact"/>
        <w:rPr>
          <w:rFonts w:ascii="Courier New" w:cs="Courier New" w:eastAsia="Courier New" w:hAnsi="Courier New"/>
          <w:sz w:val="16"/>
          <w:szCs w:val="16"/>
          <w:color w:val="auto"/>
        </w:rPr>
      </w:pPr>
    </w:p>
    <w:p>
      <w:pPr>
        <w:ind w:left="920" w:right="2879" w:firstLine="936"/>
        <w:spacing w:after="0" w:line="275" w:lineRule="auto"/>
        <w:tabs>
          <w:tab w:leader="none" w:pos="2222" w:val="left"/>
        </w:tabs>
        <w:numPr>
          <w:ilvl w:val="0"/>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Bearer Securities of any series are to be redeemed and any Registered Securities of such series are not to be redeemed, and if such Bearer Securities may be exchanged for Registered Securities not subject to redemption on this Redemption Date pursuant to Section 305 or otherwise, the last date, as determined by the Company, on which such exchanges may be made, and</w:t>
      </w:r>
    </w:p>
    <w:p>
      <w:pPr>
        <w:spacing w:after="0" w:line="155" w:lineRule="exact"/>
        <w:rPr>
          <w:rFonts w:ascii="Courier New" w:cs="Courier New" w:eastAsia="Courier New" w:hAnsi="Courier New"/>
          <w:sz w:val="14"/>
          <w:szCs w:val="14"/>
          <w:color w:val="auto"/>
        </w:rPr>
      </w:pPr>
    </w:p>
    <w:p>
      <w:pPr>
        <w:ind w:left="2320" w:hanging="464"/>
        <w:spacing w:after="0"/>
        <w:tabs>
          <w:tab w:leader="none" w:pos="2320" w:val="left"/>
        </w:tabs>
        <w:numPr>
          <w:ilvl w:val="0"/>
          <w:numId w:val="3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CUSIP number of such Security, if any.</w:t>
      </w:r>
    </w:p>
    <w:p>
      <w:pPr>
        <w:spacing w:after="0" w:line="183" w:lineRule="exact"/>
        <w:rPr>
          <w:sz w:val="20"/>
          <w:szCs w:val="20"/>
          <w:color w:val="auto"/>
        </w:rPr>
      </w:pPr>
    </w:p>
    <w:p>
      <w:pPr>
        <w:jc w:val="both"/>
        <w:ind w:right="2959" w:firstLine="926"/>
        <w:spacing w:after="0" w:line="235" w:lineRule="auto"/>
        <w:tabs>
          <w:tab w:leader="none" w:pos="1302" w:val="left"/>
        </w:tabs>
        <w:numPr>
          <w:ilvl w:val="0"/>
          <w:numId w:val="3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of redemption of Securities to be redeemed shall be given by the Company or, at the Company's request, by the Trustee in the name and at the expense of the Company.</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Section 1105. Deposit of Redemption Price.</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930"/>
        <w:spacing w:after="0" w:line="236" w:lineRule="auto"/>
        <w:rPr>
          <w:sz w:val="20"/>
          <w:szCs w:val="20"/>
          <w:color w:val="auto"/>
        </w:rPr>
      </w:pPr>
      <w:r>
        <w:rPr>
          <w:rFonts w:ascii="Courier New" w:cs="Courier New" w:eastAsia="Courier New" w:hAnsi="Courier New"/>
          <w:sz w:val="16"/>
          <w:szCs w:val="16"/>
          <w:color w:val="auto"/>
        </w:rPr>
        <w:t>On or prior to any Redemption Date, the Company shall deposit with the Trustee or with a Paying Agent (or, if the Company is acting as its own Paying Agent, which it may not do in the case of a sinking fund payment under Article Twelve, segregate and hold in trust as provided in Section 1003) an amount of money in the Currency in which the Securities of such series are payable (except as otherwise specified pursuant to Section 301 for the Securities of such series and except, if applicable, as provided in Subsections 312(b), 312(d) and 312(e)) sufficient to pay on the Redemption Date the Redemption Price of, and (unless otherwise specified pursuant to Section 301) accrued and unpaid interest, if any, on, all the Securities or portions thereof which are to be redeemed on that date.</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Section 1106. Securities Payable on Redemption Date.</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926"/>
        <w:spacing w:after="0" w:line="274" w:lineRule="auto"/>
        <w:tabs>
          <w:tab w:leader="none" w:pos="1302" w:val="left"/>
        </w:tabs>
        <w:numPr>
          <w:ilvl w:val="0"/>
          <w:numId w:val="3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redemption having been given as aforesaid, the Securities of any series so to be redeemed shall, on the Redemption Date, become due and payable at the Redemption Price therein specified in the Currency in which the Securities of such series are payable (except as otherwise specified pursuant to Section 301 for the Securities of such series and except, if applicable, as provided in Subsections 312(b), 312(d) and 312(e)) (together with accrued interest, if any, to the Redemption Date), and from and after such date (unless the Company shall default in the payment of the Redemption Price and</w:t>
      </w:r>
    </w:p>
    <w:p>
      <w:pPr>
        <w:spacing w:after="0" w:line="33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81</w:t>
      </w:r>
    </w:p>
    <w:p>
      <w:pPr>
        <w:sectPr>
          <w:pgSz w:w="11900" w:h="16838" w:orient="portrait"/>
          <w:cols w:equalWidth="0" w:num="1">
            <w:col w:w="10219"/>
          </w:cols>
          <w:pgMar w:left="240" w:top="655" w:right="1440" w:bottom="1440" w:gutter="0" w:footer="0" w:header="0"/>
        </w:sectPr>
      </w:pPr>
    </w:p>
    <w:bookmarkStart w:id="260" w:name="page261"/>
    <w:bookmarkEnd w:id="260"/>
    <w:p>
      <w:pPr>
        <w:ind w:right="2779"/>
        <w:spacing w:after="0" w:line="272" w:lineRule="auto"/>
        <w:rPr>
          <w:sz w:val="20"/>
          <w:szCs w:val="20"/>
          <w:color w:val="auto"/>
        </w:rPr>
      </w:pPr>
      <w:r>
        <w:rPr>
          <w:rFonts w:ascii="Courier New" w:cs="Courier New" w:eastAsia="Courier New" w:hAnsi="Courier New"/>
          <w:sz w:val="14"/>
          <w:szCs w:val="14"/>
          <w:color w:val="auto"/>
        </w:rPr>
        <w:t>accrued interest, if any) such Securities shall if the same were interest-bearing cease to bear interest and the coupons for such interest appertaining to any Bearer Securities so to be redeemed, except to the extent provided below, shall be void. Upon surrender of any such Security for redemption in accordance with said notice, together with all coupons, if any, appertaining thereto maturing after the Redemption Date, such Security shall be paid by the Company at the Redemption Price, together with accrued interest, if any, to the Redemption Date; provided, that, installments of interest on Bearer Securities whose Stated Maturity is on or prior to the Redemption Date shall be payable only at an office or agency located outside the United States (except as otherwise provided in Section 1002) and, unless otherwise specified as contemplated by Section 301, only upon presentation and surrender of coupons for such interest; and provided further that installments of interest on Registered Securities whose Stated Maturity is prior to (or, if specified pursuant to Section 301, on) the Redemption Date shall be payable to the Holders of such Securities, or one or more Predecessor Securities, registered as such at the close of business on the relevant Record Dates according to their terms and the provisions of Section 307.</w:t>
      </w:r>
    </w:p>
    <w:p>
      <w:pPr>
        <w:spacing w:after="0" w:line="200" w:lineRule="exact"/>
        <w:rPr>
          <w:sz w:val="20"/>
          <w:szCs w:val="20"/>
          <w:color w:val="auto"/>
        </w:rPr>
      </w:pPr>
    </w:p>
    <w:p>
      <w:pPr>
        <w:spacing w:after="0" w:line="323" w:lineRule="exact"/>
        <w:rPr>
          <w:sz w:val="20"/>
          <w:szCs w:val="20"/>
          <w:color w:val="auto"/>
        </w:rPr>
      </w:pPr>
    </w:p>
    <w:p>
      <w:pPr>
        <w:ind w:right="2779" w:firstLine="926"/>
        <w:spacing w:after="0" w:line="272" w:lineRule="auto"/>
        <w:tabs>
          <w:tab w:leader="none" w:pos="1302" w:val="left"/>
        </w:tabs>
        <w:numPr>
          <w:ilvl w:val="0"/>
          <w:numId w:val="3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Bearer Security surrendered for redemption shall not be accompanied by all appurtenant coupons maturing after the Redemption Date, such Security may be paid after deducting from the Redemption Price an amount equal to the face amount of all such missing coupons, or the surrender of such missing coupon or coupons may be waived by the Company and the Trustee if there be furnished to them such security or indemnity as they may require to save each of them and any Paying Agent harmless. If thereafter the Holder of such Security shall surrender to the Trustee or any Paying Agent any such missing coupon in respect of which a deduction shall have been made from the Redemption Price, such Holder shall be entitled to receive the amount so deducted; provided, that, interest represented by coupons shall be payable only at an office or agency located outside the United States (except as otherwise provided in Section 1002) and, unless otherwise specified as contemplated by Section 301, only upon presentation and surrender of those coupons.</w:t>
      </w:r>
    </w:p>
    <w:p>
      <w:pPr>
        <w:spacing w:after="0" w:line="346" w:lineRule="exact"/>
        <w:rPr>
          <w:rFonts w:ascii="Courier New" w:cs="Courier New" w:eastAsia="Courier New" w:hAnsi="Courier New"/>
          <w:sz w:val="14"/>
          <w:szCs w:val="14"/>
          <w:color w:val="auto"/>
        </w:rPr>
      </w:pPr>
    </w:p>
    <w:p>
      <w:pPr>
        <w:ind w:right="2959" w:firstLine="926"/>
        <w:spacing w:after="0" w:line="235" w:lineRule="auto"/>
        <w:tabs>
          <w:tab w:leader="none" w:pos="1302" w:val="left"/>
        </w:tabs>
        <w:numPr>
          <w:ilvl w:val="0"/>
          <w:numId w:val="3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Security called for redemption shall not be so paid upon surrender thereof for redemption, the principal (and premium, if any) shall, until paid, bear interest from the Redemption Date at the rate of interest set forth in such Security or, in the case of an Original Issue Discount Security, at the Yield to Maturity of such Security.</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Section 1107. Securities Redeemed in Part.</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930"/>
        <w:spacing w:after="0" w:line="273" w:lineRule="auto"/>
        <w:rPr>
          <w:sz w:val="20"/>
          <w:szCs w:val="20"/>
          <w:color w:val="auto"/>
        </w:rPr>
      </w:pPr>
      <w:r>
        <w:rPr>
          <w:rFonts w:ascii="Courier New" w:cs="Courier New" w:eastAsia="Courier New" w:hAnsi="Courier New"/>
          <w:sz w:val="14"/>
          <w:szCs w:val="14"/>
          <w:color w:val="auto"/>
        </w:rPr>
        <w:t>Any Registered Security which is to be redeemed only in part (pursuant to the provisions of this Article or of Article Twelve) shall be surrendered at a Place of Payment therefor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deliver to the Holder of such Security without service charge a new Security or Securities of the same series, of any authorized denomination as requested by such Holder in aggregate principal amount equal to and in exchange</w:t>
      </w: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82</w:t>
      </w:r>
    </w:p>
    <w:p>
      <w:pPr>
        <w:sectPr>
          <w:pgSz w:w="11900" w:h="16838" w:orient="portrait"/>
          <w:cols w:equalWidth="0" w:num="1">
            <w:col w:w="10219"/>
          </w:cols>
          <w:pgMar w:left="240" w:top="655" w:right="1440" w:bottom="1440" w:gutter="0" w:footer="0" w:header="0"/>
        </w:sectPr>
      </w:pPr>
    </w:p>
    <w:bookmarkStart w:id="261" w:name="page262"/>
    <w:bookmarkEnd w:id="261"/>
    <w:p>
      <w:pPr>
        <w:ind w:right="2959"/>
        <w:spacing w:after="0" w:line="236" w:lineRule="auto"/>
        <w:rPr>
          <w:sz w:val="20"/>
          <w:szCs w:val="20"/>
          <w:color w:val="auto"/>
        </w:rPr>
      </w:pPr>
      <w:r>
        <w:rPr>
          <w:rFonts w:ascii="Courier New" w:cs="Courier New" w:eastAsia="Courier New" w:hAnsi="Courier New"/>
          <w:sz w:val="16"/>
          <w:szCs w:val="16"/>
          <w:color w:val="auto"/>
        </w:rPr>
        <w:t>for the unredeemed portion of the principal of the Security so surrendered. However, if less than all the Securities of any series with differing issue dates, interest rates and stated maturities are to be redeemed, the Company in its sole discretion shall select the particular Securities to be redeemed and shall notify the Trustee in writing thereof at least 45 days prior to the relevant redemption date.</w:t>
      </w:r>
    </w:p>
    <w:p>
      <w:pPr>
        <w:spacing w:after="0" w:line="177" w:lineRule="exact"/>
        <w:rPr>
          <w:sz w:val="20"/>
          <w:szCs w:val="20"/>
          <w:color w:val="auto"/>
        </w:rPr>
      </w:pPr>
    </w:p>
    <w:p>
      <w:pPr>
        <w:jc w:val="right"/>
        <w:ind w:right="5859"/>
        <w:spacing w:after="0"/>
        <w:rPr>
          <w:sz w:val="20"/>
          <w:szCs w:val="20"/>
          <w:color w:val="auto"/>
        </w:rPr>
      </w:pPr>
      <w:r>
        <w:rPr>
          <w:rFonts w:ascii="Courier New" w:cs="Courier New" w:eastAsia="Courier New" w:hAnsi="Courier New"/>
          <w:sz w:val="16"/>
          <w:szCs w:val="16"/>
          <w:color w:val="auto"/>
        </w:rPr>
        <w:t>ARTICLE TWELVE</w:t>
      </w:r>
    </w:p>
    <w:p>
      <w:pPr>
        <w:jc w:val="right"/>
        <w:ind w:right="5859"/>
        <w:spacing w:after="0" w:line="236" w:lineRule="auto"/>
        <w:rPr>
          <w:sz w:val="20"/>
          <w:szCs w:val="20"/>
          <w:color w:val="auto"/>
        </w:rPr>
      </w:pPr>
      <w:r>
        <w:rPr>
          <w:rFonts w:ascii="Courier New" w:cs="Courier New" w:eastAsia="Courier New" w:hAnsi="Courier New"/>
          <w:sz w:val="16"/>
          <w:szCs w:val="16"/>
          <w:color w:val="auto"/>
        </w:rPr>
        <w:t>SINKING FUNDS</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Section 1201. Applicability of Article.</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jc w:val="both"/>
        <w:ind w:right="2879" w:firstLine="926"/>
        <w:spacing w:after="0" w:line="283" w:lineRule="auto"/>
        <w:tabs>
          <w:tab w:leader="none" w:pos="1302" w:val="left"/>
        </w:tabs>
        <w:numPr>
          <w:ilvl w:val="0"/>
          <w:numId w:val="3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provisions of this Article shall be applicable to any sinking fund for the retirement of Securities of a series except as otherwise specified as contemplated by Section 301 for Securities of such series.</w:t>
      </w:r>
    </w:p>
    <w:p>
      <w:pPr>
        <w:spacing w:after="0" w:line="154" w:lineRule="exact"/>
        <w:rPr>
          <w:rFonts w:ascii="Courier New" w:cs="Courier New" w:eastAsia="Courier New" w:hAnsi="Courier New"/>
          <w:sz w:val="14"/>
          <w:szCs w:val="14"/>
          <w:color w:val="auto"/>
        </w:rPr>
      </w:pPr>
    </w:p>
    <w:p>
      <w:pPr>
        <w:ind w:right="2779" w:firstLine="926"/>
        <w:spacing w:after="0" w:line="236" w:lineRule="auto"/>
        <w:tabs>
          <w:tab w:leader="none" w:pos="1302" w:val="left"/>
        </w:tabs>
        <w:numPr>
          <w:ilvl w:val="0"/>
          <w:numId w:val="3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minimum amount of any sinking fund payment provided for by the terms of Securities of any series is herein referred to as a "mandatory sinking fund payment", and any payment in excess of such minimum amount provided for by the terms of such Securities of any series is herein referred to as an "optional sinking fund payment". If provided for by the terms of any Securities of any series, the cash amount of any mandatory sinking fund payment may be subject to reduction as provided in Section 1202. Each sinking fund payment shall be applied to the redemption of Securities of any series as provided for by the terms of Securities of such series.</w:t>
      </w:r>
    </w:p>
    <w:p>
      <w:pPr>
        <w:spacing w:after="0" w:line="179"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Section 1202. Satisfaction of Sinking Fund Payments with Securities.</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930"/>
        <w:spacing w:after="0" w:line="272" w:lineRule="auto"/>
        <w:rPr>
          <w:sz w:val="20"/>
          <w:szCs w:val="20"/>
          <w:color w:val="auto"/>
        </w:rPr>
      </w:pPr>
      <w:r>
        <w:rPr>
          <w:rFonts w:ascii="Courier New" w:cs="Courier New" w:eastAsia="Courier New" w:hAnsi="Courier New"/>
          <w:sz w:val="14"/>
          <w:szCs w:val="14"/>
          <w:color w:val="auto"/>
        </w:rPr>
        <w:t>Except as otherwise specifically contemplated by Section 301 for Securities of such series, the Company may, in satisfaction of all or any part of any mandatory sinking fund payment with respect to the Securities of a series, (a) deliver Outstanding Securities of such series (other than any previously called for redemption) together in the case of any Bearer Securities of such series with all unmatured coupons appertaining thereto and (b) apply as a credit Securities of such series which have been redeemed either at the election of the Company pursuant to the terms of such Securities or through the application of permitted optional sinking fund payments pursuant to the terms of such Securities, as provided for by the terms of such Securities; provided that such Securities so delivered or applied as a credit have not been previously so credited. Such Securities shall be received and credited for such purpose by the Trustee at the applicable Redemption Price specified in such Securities for redemption through operation of the sinking fund and the amount of such mandatory sinking fund payment shall be reduced accordingly.</w:t>
      </w:r>
    </w:p>
    <w:p>
      <w:pPr>
        <w:spacing w:after="0" w:line="340"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Section 1203. Redemption of Securities for Sinking Fund.</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879" w:firstLine="930"/>
        <w:spacing w:after="0" w:line="275" w:lineRule="auto"/>
        <w:rPr>
          <w:sz w:val="20"/>
          <w:szCs w:val="20"/>
          <w:color w:val="auto"/>
        </w:rPr>
      </w:pPr>
      <w:r>
        <w:rPr>
          <w:rFonts w:ascii="Courier New" w:cs="Courier New" w:eastAsia="Courier New" w:hAnsi="Courier New"/>
          <w:sz w:val="14"/>
          <w:szCs w:val="14"/>
          <w:color w:val="auto"/>
        </w:rPr>
        <w:t>Not less than 60 days prior to each sinking fund payment date for Securities of any series, the Company will deliver to the Trustee an Officers' Certificate specifying the amount of the next ensuing mandatory sinking fund payment for that series pursuant to the terms of that series, the portion thereof, if any, which is to be satisfied by payment of cash in the Currency in which the Securities of such series are payable (except as otherwise specified</w:t>
      </w:r>
    </w:p>
    <w:p>
      <w:pPr>
        <w:spacing w:after="0" w:line="33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83</w:t>
      </w:r>
    </w:p>
    <w:p>
      <w:pPr>
        <w:sectPr>
          <w:pgSz w:w="11900" w:h="16838" w:orient="portrait"/>
          <w:cols w:equalWidth="0" w:num="1">
            <w:col w:w="10219"/>
          </w:cols>
          <w:pgMar w:left="240" w:top="655" w:right="1440" w:bottom="1440" w:gutter="0" w:footer="0" w:header="0"/>
        </w:sectPr>
      </w:pPr>
    </w:p>
    <w:bookmarkStart w:id="262" w:name="page263"/>
    <w:bookmarkEnd w:id="262"/>
    <w:p>
      <w:pPr>
        <w:ind w:right="2779"/>
        <w:spacing w:after="0" w:line="236" w:lineRule="auto"/>
        <w:rPr>
          <w:sz w:val="20"/>
          <w:szCs w:val="20"/>
          <w:color w:val="auto"/>
        </w:rPr>
      </w:pPr>
      <w:r>
        <w:rPr>
          <w:rFonts w:ascii="Courier New" w:cs="Courier New" w:eastAsia="Courier New" w:hAnsi="Courier New"/>
          <w:sz w:val="16"/>
          <w:szCs w:val="16"/>
          <w:color w:val="auto"/>
        </w:rPr>
        <w:t>pursuant to Section 301 for the Securities of such series and except, if applicable, as provided in Subsections 312(b), 312(d) and 312(e)) and the portion thereof, if any, which is to be satisfied by delivering and crediting Securities of that series pursuant to Section 1202, and the optional amount, if any, to be added in cash to the next ensuing mandatory sinking fund payment, and will also deliver to the Trustee any Securities to be so delivered and credited. If such Officers' Certificate shall specify an optional amount to be added in cash to the next ensuing mandatory sinking fund payment, the Company shall thereupon be obligated to pay the amount therein specified. Not less than 30 days before each such sinking fund payment date the Trustee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w:t>
      </w:r>
    </w:p>
    <w:p>
      <w:pPr>
        <w:spacing w:after="0" w:line="183"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ARTICLE THIRTEEN</w:t>
      </w:r>
    </w:p>
    <w:p>
      <w:pPr>
        <w:jc w:val="center"/>
        <w:ind w:right="2779"/>
        <w:spacing w:after="0" w:line="236" w:lineRule="auto"/>
        <w:rPr>
          <w:sz w:val="20"/>
          <w:szCs w:val="20"/>
          <w:color w:val="auto"/>
        </w:rPr>
      </w:pPr>
      <w:r>
        <w:rPr>
          <w:rFonts w:ascii="Courier New" w:cs="Courier New" w:eastAsia="Courier New" w:hAnsi="Courier New"/>
          <w:sz w:val="16"/>
          <w:szCs w:val="16"/>
          <w:color w:val="auto"/>
        </w:rPr>
        <w:t>REPAYMENT AT THE OPTION OF HOLDERS</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Section 1301. Applicability of Article.</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jc w:val="both"/>
        <w:ind w:right="2779" w:firstLine="930"/>
        <w:spacing w:after="0" w:line="235" w:lineRule="auto"/>
        <w:rPr>
          <w:sz w:val="20"/>
          <w:szCs w:val="20"/>
          <w:color w:val="auto"/>
        </w:rPr>
      </w:pPr>
      <w:r>
        <w:rPr>
          <w:rFonts w:ascii="Courier New" w:cs="Courier New" w:eastAsia="Courier New" w:hAnsi="Courier New"/>
          <w:sz w:val="16"/>
          <w:szCs w:val="16"/>
          <w:color w:val="auto"/>
        </w:rPr>
        <w:t>Repayment of Securities of any series before their Stated Maturity at the option of Holders thereof shall be made in accordance with the terms of such Securities and (except as otherwise specified by the terms of such series established pursuant to Section 301) in accordance with this Article.</w:t>
      </w:r>
    </w:p>
    <w:p>
      <w:pPr>
        <w:spacing w:after="0" w:line="178"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Section 1302. Repayment of Securities.</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930"/>
        <w:spacing w:after="0" w:line="272" w:lineRule="auto"/>
        <w:rPr>
          <w:sz w:val="20"/>
          <w:szCs w:val="20"/>
          <w:color w:val="auto"/>
        </w:rPr>
      </w:pPr>
      <w:r>
        <w:rPr>
          <w:rFonts w:ascii="Courier New" w:cs="Courier New" w:eastAsia="Courier New" w:hAnsi="Courier New"/>
          <w:sz w:val="14"/>
          <w:szCs w:val="14"/>
          <w:color w:val="auto"/>
        </w:rPr>
        <w:t>Securities of any series subject to repayment in whole or in part at the option of the Holders thereof will, unless otherwise provided in the terms of such Securities, be repaid at the Repayment Price thereof, together with interest, if any, thereon accrued to the Repayment Date specified in or pursuant to the terms of such Securities. The Company covenants that on or before the Repayment Date it will deposit with the Trustee or with a Paying Agent (or, if the Company or any Subsidiary or any Affiliate of any of them is acting as Paying Agent, segregate and hold in trust as provided in Section 1003) an amount of money in the Currency in which the Securities of such series are payable (except as otherwise specified pursuant to Section 301 for the Securities of such series and except, if applicable, as provided in Subsections 312(b), 312(d) and 312(e)) sufficient to pay the Repayment Price of, and (unless otherwise specified pursuant to Section 301) accrued interest on, all the Securities or portions thereof, as the case may be, to be repaid on such date.</w:t>
      </w:r>
    </w:p>
    <w:p>
      <w:pPr>
        <w:spacing w:after="0" w:line="341"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Section 1303. Exercise of Option.</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879" w:firstLine="930"/>
        <w:spacing w:after="0" w:line="279" w:lineRule="auto"/>
        <w:rPr>
          <w:sz w:val="20"/>
          <w:szCs w:val="20"/>
          <w:color w:val="auto"/>
        </w:rPr>
      </w:pPr>
      <w:r>
        <w:rPr>
          <w:rFonts w:ascii="Courier New" w:cs="Courier New" w:eastAsia="Courier New" w:hAnsi="Courier New"/>
          <w:sz w:val="14"/>
          <w:szCs w:val="14"/>
          <w:color w:val="auto"/>
        </w:rPr>
        <w:t>Securities of any series subject to repayment at the option of the Holders thereof will contain an "Option to Elect Repayment" form on the reverse of such Securities. To be repaid at the option of the Holder, any Security so providing for such repayment, with the "Option to Elect Repayment" form on the</w:t>
      </w:r>
    </w:p>
    <w:p>
      <w:pPr>
        <w:spacing w:after="0" w:line="33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84</w:t>
      </w:r>
    </w:p>
    <w:p>
      <w:pPr>
        <w:sectPr>
          <w:pgSz w:w="11900" w:h="16838" w:orient="portrait"/>
          <w:cols w:equalWidth="0" w:num="1">
            <w:col w:w="10219"/>
          </w:cols>
          <w:pgMar w:left="240" w:top="655" w:right="1440" w:bottom="1440" w:gutter="0" w:footer="0" w:header="0"/>
        </w:sectPr>
      </w:pPr>
    </w:p>
    <w:bookmarkStart w:id="263" w:name="page264"/>
    <w:bookmarkEnd w:id="263"/>
    <w:p>
      <w:pPr>
        <w:ind w:right="2879"/>
        <w:spacing w:after="0" w:line="236" w:lineRule="auto"/>
        <w:rPr>
          <w:sz w:val="20"/>
          <w:szCs w:val="20"/>
          <w:color w:val="auto"/>
        </w:rPr>
      </w:pPr>
      <w:r>
        <w:rPr>
          <w:rFonts w:ascii="Courier New" w:cs="Courier New" w:eastAsia="Courier New" w:hAnsi="Courier New"/>
          <w:sz w:val="16"/>
          <w:szCs w:val="16"/>
          <w:color w:val="auto"/>
        </w:rPr>
        <w:t>reverse of such Security duly completed by the Holder (or by the Holder's attorney duly authorized in writing), must be received by the Company at the Place of Payment therefor specified in the terms of such Security (or at such other place or places of which the Company shall from time to time notify the Holders of such Securities) not earlier than 45 days nor later than 30 days prior to the Repayment Date. If less than the entire Repayment Price of such Security is to be repaid in accordance with the terms of such Security, the portion of the Repayment Price of such Security to be repaid, in increments of the minimum denomination for Securities of such series, and the denomination or denominations of the Security or Securities to be issued to the Holder for the portion of such Security surrendered that is not to be repaid, must be specified. Any Security providing for repayment at the option of the Holder thereof may not be repaid in part if, following such repayment, the unpaid principal amount of such Security would be less than the minimum authorized denomination of Securities of the series of which such Security to be repaid is a part. Except as otherwise may be provided by the terms of any Security providing for repayment at the option of the Holder thereof, exercise of the repayment option by the Holder shall be irrevocable unless waived by the Company.</w:t>
      </w:r>
    </w:p>
    <w:p>
      <w:pPr>
        <w:spacing w:after="0" w:line="185"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Section 1304. When Securities Presented for Repayment Become Due and</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ind w:left="1660"/>
        <w:spacing w:after="0" w:line="237" w:lineRule="auto"/>
        <w:rPr>
          <w:sz w:val="20"/>
          <w:szCs w:val="20"/>
          <w:color w:val="auto"/>
        </w:rPr>
      </w:pPr>
      <w:r>
        <w:rPr>
          <w:rFonts w:ascii="Courier New" w:cs="Courier New" w:eastAsia="Courier New" w:hAnsi="Courier New"/>
          <w:sz w:val="16"/>
          <w:szCs w:val="16"/>
          <w:color w:val="auto"/>
        </w:rPr>
        <w:t>Payable.</w:t>
      </w:r>
    </w:p>
    <w:p>
      <w:pPr>
        <w:ind w:left="1660"/>
        <w:spacing w:after="0" w:line="237"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926"/>
        <w:spacing w:after="0" w:line="236" w:lineRule="auto"/>
        <w:tabs>
          <w:tab w:leader="none" w:pos="1302" w:val="left"/>
        </w:tabs>
        <w:numPr>
          <w:ilvl w:val="0"/>
          <w:numId w:val="3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Securities of any series providing for repayment at the option of the Holders thereof shall have been surrendered as provided in this Article and as provided by or pursuant to the terms of such Securities, such Securities or the portions thereof, as the case may be, to be repaid shall become due and payable and shall be paid by the Company on the Repayment Date therein specified, and on and after such Repayment Date (unless the Company shall default in the payment of such Securities on such Repayment Date) such Securities shall, if the same were interest-bearing, cease to bear interest and the coupons for such interest appertaining to any Bearer Securities so to be repaid, except to the extent provided below, shall be void. Upon surrender of any such Security for repayment in accordance with such provisions, together with all coupons, if any, appertaining thereto maturing after the Repayment Date, the Repayment Price of such Security so to be repaid shall be paid by the Company, together with accrued interest, if any, to the Repayment Date; provided, that, coupons whose Stated Maturity is on or prior to the Repayment Date shall be payable only at an office or agency located outside the United States (except as otherwise provided in Section 1002) and, unless otherwise specified pursuant to Section 301, only upon presentation and surrender of such coupons; and provided further that installments of interest on Registered Securities, whose Stated Maturity is prior to (or, if specified pursuant to Section 301, on) the Repayment Date shall be payable (but without interest thereon, unless the Company shall default in the payment thereof) to the Holders of such Securities, or one or more Predecessor Securities, registered as such at the close of business on the relevant Record Dates according to their terms and the provisions of Section 307.</w:t>
      </w:r>
    </w:p>
    <w:p>
      <w:pPr>
        <w:spacing w:after="0" w:line="195" w:lineRule="exact"/>
        <w:rPr>
          <w:rFonts w:ascii="Courier New" w:cs="Courier New" w:eastAsia="Courier New" w:hAnsi="Courier New"/>
          <w:sz w:val="16"/>
          <w:szCs w:val="16"/>
          <w:color w:val="auto"/>
        </w:rPr>
      </w:pPr>
    </w:p>
    <w:p>
      <w:pPr>
        <w:ind w:right="2879" w:firstLine="926"/>
        <w:spacing w:after="0" w:line="279" w:lineRule="auto"/>
        <w:tabs>
          <w:tab w:leader="none" w:pos="1302" w:val="left"/>
        </w:tabs>
        <w:numPr>
          <w:ilvl w:val="0"/>
          <w:numId w:val="3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Bearer Security surrendered for repayment shall not be accompanied by all appurtenant coupons maturing after the Repayment Date, such Security may be paid after deducting from the amount payable therefor as provided in Section 1302 an amount equal to the face amount of all such missing</w:t>
      </w:r>
    </w:p>
    <w:p>
      <w:pPr>
        <w:spacing w:after="0" w:line="33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85</w:t>
      </w:r>
    </w:p>
    <w:p>
      <w:pPr>
        <w:sectPr>
          <w:pgSz w:w="11900" w:h="16838" w:orient="portrait"/>
          <w:cols w:equalWidth="0" w:num="1">
            <w:col w:w="10219"/>
          </w:cols>
          <w:pgMar w:left="240" w:top="654" w:right="1440" w:bottom="1440" w:gutter="0" w:footer="0" w:header="0"/>
        </w:sectPr>
      </w:pPr>
    </w:p>
    <w:bookmarkStart w:id="264" w:name="page265"/>
    <w:bookmarkEnd w:id="264"/>
    <w:p>
      <w:pPr>
        <w:ind w:right="2779"/>
        <w:spacing w:after="0" w:line="236" w:lineRule="auto"/>
        <w:rPr>
          <w:sz w:val="20"/>
          <w:szCs w:val="20"/>
          <w:color w:val="auto"/>
        </w:rPr>
      </w:pPr>
      <w:r>
        <w:rPr>
          <w:rFonts w:ascii="Courier New" w:cs="Courier New" w:eastAsia="Courier New" w:hAnsi="Courier New"/>
          <w:sz w:val="16"/>
          <w:szCs w:val="16"/>
          <w:color w:val="auto"/>
        </w:rPr>
        <w:t>coupons, or the surrender of such missing coupon or coupons may be waived by the Company and the Trustee if there be furnished to them such security or indemnity as they may require to save each of them and any Paying Agent harmless. If thereafter the Holder of such Security shall surrender to the Trustee or any Paying Agent any such missing coupon in respect of which a deduction shall have been made as provided in the preceding sentence, such Holder shall be entitled to receive the amount so deducted; provided, that, interest represented by coupons shall be payable only at an office or agency located outside the United States (except as otherwise provided in Section 1002) and, unless otherwise specified as contemplated by Section 301, only upon presentation and surrender of those coupons.</w:t>
      </w:r>
    </w:p>
    <w:p>
      <w:pPr>
        <w:spacing w:after="0" w:line="186" w:lineRule="exact"/>
        <w:rPr>
          <w:sz w:val="20"/>
          <w:szCs w:val="20"/>
          <w:color w:val="auto"/>
        </w:rPr>
      </w:pPr>
    </w:p>
    <w:p>
      <w:pPr>
        <w:ind w:right="2879" w:firstLine="926"/>
        <w:spacing w:after="0" w:line="235" w:lineRule="auto"/>
        <w:tabs>
          <w:tab w:leader="none" w:pos="1302" w:val="left"/>
        </w:tabs>
        <w:numPr>
          <w:ilvl w:val="0"/>
          <w:numId w:val="3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Security surrendered for repayment shall not be so repaid upon surrender thereof, the Repayment Price shall, until paid, bear interest from the Repayment Date at the rate of interest set forth in such Security or, in the case of an Original Issue Discount Security, at the Yield to Maturity of such Security.</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Section 1305. Securities Repaid in Part.</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879" w:firstLine="930"/>
        <w:spacing w:after="0" w:line="236" w:lineRule="auto"/>
        <w:rPr>
          <w:sz w:val="20"/>
          <w:szCs w:val="20"/>
          <w:color w:val="auto"/>
        </w:rPr>
      </w:pPr>
      <w:r>
        <w:rPr>
          <w:rFonts w:ascii="Courier New" w:cs="Courier New" w:eastAsia="Courier New" w:hAnsi="Courier New"/>
          <w:sz w:val="16"/>
          <w:szCs w:val="16"/>
          <w:color w:val="auto"/>
        </w:rPr>
        <w:t>Upon surrender of any Registered Security which is to be repaid in part only, the Company shall execute and the Trustee shall authenticate and deliver to the Holder of such Security, without service charge and at the expense of the Company, a new Registered Security or Securities of the same series, of any authorized denomination specified by the Holder, in an aggregate principal amount equal to and in exchange for the portion of the principal of such Security so surrendered which is not to be repaid.</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ARTICLE FOURTEEN</w:t>
      </w:r>
    </w:p>
    <w:p>
      <w:pPr>
        <w:jc w:val="center"/>
        <w:ind w:right="2779"/>
        <w:spacing w:after="0" w:line="236" w:lineRule="auto"/>
        <w:rPr>
          <w:sz w:val="20"/>
          <w:szCs w:val="20"/>
          <w:color w:val="auto"/>
        </w:rPr>
      </w:pPr>
      <w:r>
        <w:rPr>
          <w:rFonts w:ascii="Courier New" w:cs="Courier New" w:eastAsia="Courier New" w:hAnsi="Courier New"/>
          <w:sz w:val="16"/>
          <w:szCs w:val="16"/>
          <w:color w:val="auto"/>
        </w:rPr>
        <w:t>DEFEASANCE AND COVENANT DEFEASANCE</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Section 1401. Applicability of Article; Company's Option to Effect</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ind w:left="1660"/>
        <w:spacing w:after="0" w:line="237" w:lineRule="auto"/>
        <w:rPr>
          <w:sz w:val="20"/>
          <w:szCs w:val="20"/>
          <w:color w:val="auto"/>
        </w:rPr>
      </w:pPr>
      <w:r>
        <w:rPr>
          <w:rFonts w:ascii="Courier New" w:cs="Courier New" w:eastAsia="Courier New" w:hAnsi="Courier New"/>
          <w:sz w:val="16"/>
          <w:szCs w:val="16"/>
          <w:color w:val="auto"/>
        </w:rPr>
        <w:t>Defeasance or Covenant Defeasance.</w:t>
      </w:r>
    </w:p>
    <w:p>
      <w:pPr>
        <w:ind w:left="1660"/>
        <w:spacing w:after="0" w:line="237"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930"/>
        <w:spacing w:after="0" w:line="273" w:lineRule="auto"/>
        <w:rPr>
          <w:sz w:val="20"/>
          <w:szCs w:val="20"/>
          <w:color w:val="auto"/>
        </w:rPr>
      </w:pPr>
      <w:r>
        <w:rPr>
          <w:rFonts w:ascii="Courier New" w:cs="Courier New" w:eastAsia="Courier New" w:hAnsi="Courier New"/>
          <w:sz w:val="14"/>
          <w:szCs w:val="14"/>
          <w:color w:val="auto"/>
        </w:rPr>
        <w:t>If pursuant to Section 301 provision is made for either or both of (a) defeasance of the Securities of or within a series under Section 1402 or (b) covenant defeasance of the Securities of or within a series under Section 1403, then the provisions of such Section or Sections, as the case may be, together with the other provisions of this Article (with such modifications thereto as may be specified pursuant to Section 301 with respect to any Securities), shall be applicable to such Securities and any coupons appertaining thereto, and the Company may at its option by Board Resolution, at any time, with respect to such Securities and any coupons appertaining thereto, elect to have Section 1402 (if applicable) or Section 1403 (if applicable) be applied to such Outstanding Securities and any coupons appertaining thereto upon compliance with the conditions set forth below in this Article.</w:t>
      </w:r>
    </w:p>
    <w:p>
      <w:pPr>
        <w:spacing w:after="0" w:line="335"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Section 1402. Defeasance and Discharge.</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930"/>
        <w:spacing w:after="0" w:line="283" w:lineRule="auto"/>
        <w:rPr>
          <w:sz w:val="20"/>
          <w:szCs w:val="20"/>
          <w:color w:val="auto"/>
        </w:rPr>
      </w:pPr>
      <w:r>
        <w:rPr>
          <w:rFonts w:ascii="Courier New" w:cs="Courier New" w:eastAsia="Courier New" w:hAnsi="Courier New"/>
          <w:sz w:val="14"/>
          <w:szCs w:val="14"/>
          <w:color w:val="auto"/>
        </w:rPr>
        <w:t>Upon the Company's exercise of the above option applicable to this Section with respect to any Securities of or within a series, the Company shall each be deemed to have been discharged from its obligations with respect to such</w:t>
      </w:r>
    </w:p>
    <w:p>
      <w:pPr>
        <w:spacing w:after="0" w:line="32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86</w:t>
      </w:r>
    </w:p>
    <w:p>
      <w:pPr>
        <w:sectPr>
          <w:pgSz w:w="11900" w:h="16838" w:orient="portrait"/>
          <w:cols w:equalWidth="0" w:num="1">
            <w:col w:w="10219"/>
          </w:cols>
          <w:pgMar w:left="240" w:top="655" w:right="1440" w:bottom="1440" w:gutter="0" w:footer="0" w:header="0"/>
        </w:sectPr>
      </w:pPr>
    </w:p>
    <w:bookmarkStart w:id="265" w:name="page266"/>
    <w:bookmarkEnd w:id="265"/>
    <w:p>
      <w:pPr>
        <w:ind w:right="2779"/>
        <w:spacing w:after="0" w:line="236" w:lineRule="auto"/>
        <w:rPr>
          <w:sz w:val="20"/>
          <w:szCs w:val="20"/>
          <w:color w:val="auto"/>
        </w:rPr>
      </w:pPr>
      <w:r>
        <w:rPr>
          <w:rFonts w:ascii="Courier New" w:cs="Courier New" w:eastAsia="Courier New" w:hAnsi="Courier New"/>
          <w:sz w:val="16"/>
          <w:szCs w:val="16"/>
          <w:color w:val="auto"/>
        </w:rPr>
        <w:t>Outstanding Securities and any coupons appertaining thereto on the date the conditions set forth in Section 1404 are satisfied (hereinafter, "defeasance"). For this purpose, such defeasance means that the Company shall be deemed to have paid and discharged the entire indebtedness represented by such Outstanding Securities and any coupons appertaining thereto, which shall thereafter be deemed to be "Outstanding" only for the purposes of Section 1405 and the other Sections of this Indenture referred to in clauses (a) and (b) of this Section 1402, and to have satisfied all its other obligations under such Securities and any coupons appertaining thereto and this Indenture insofar as such Securities and any coupons appertaining thereto are concerned (and the Trustee, at the expense of the Company, shall execute proper instruments acknowledging the same), except for the following which shall survive until otherwise terminated or discharged hereunder:</w:t>
      </w:r>
    </w:p>
    <w:p>
      <w:pPr>
        <w:spacing w:after="0" w:line="188" w:lineRule="exact"/>
        <w:rPr>
          <w:sz w:val="20"/>
          <w:szCs w:val="20"/>
          <w:color w:val="auto"/>
        </w:rPr>
      </w:pPr>
    </w:p>
    <w:p>
      <w:pPr>
        <w:ind w:right="2779" w:firstLine="926"/>
        <w:spacing w:after="0" w:line="276" w:lineRule="auto"/>
        <w:tabs>
          <w:tab w:leader="none" w:pos="1302" w:val="left"/>
        </w:tabs>
        <w:numPr>
          <w:ilvl w:val="0"/>
          <w:numId w:val="3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rights of Holders of such Outstanding Securities and any coupons appertaining thereto to receive, solely from the trust fund described in Section 1404 and as more fully set forth in such Section, payments in respect of the principal of (and premium, if any) and interest, if any, on such Securities and any coupons appertaining thereto when such payments are due,</w:t>
      </w:r>
    </w:p>
    <w:p>
      <w:pPr>
        <w:spacing w:after="0" w:line="161" w:lineRule="exact"/>
        <w:rPr>
          <w:rFonts w:ascii="Courier New" w:cs="Courier New" w:eastAsia="Courier New" w:hAnsi="Courier New"/>
          <w:sz w:val="14"/>
          <w:szCs w:val="14"/>
          <w:color w:val="auto"/>
        </w:rPr>
      </w:pPr>
    </w:p>
    <w:p>
      <w:pPr>
        <w:ind w:right="2779" w:firstLine="926"/>
        <w:spacing w:after="0" w:line="236" w:lineRule="auto"/>
        <w:tabs>
          <w:tab w:leader="none" w:pos="1302" w:val="left"/>
        </w:tabs>
        <w:numPr>
          <w:ilvl w:val="0"/>
          <w:numId w:val="3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obligations of the Company with respect to such Securities under Sections 304, 305, 306, 1002 and 1003 and with respect to the payment of Additional Amounts, if any, on such Securities as contemplated by Section 1005 with respect to the rights, if any, of the holders of such Securities to require the Company to repay such Securities as contemplated by Article Thirteen and with respect to the rights, if any, of holders to convert or exchange such Securities into other Securities,</w:t>
      </w:r>
    </w:p>
    <w:p>
      <w:pPr>
        <w:spacing w:after="0" w:line="183" w:lineRule="exact"/>
        <w:rPr>
          <w:rFonts w:ascii="Courier New" w:cs="Courier New" w:eastAsia="Courier New" w:hAnsi="Courier New"/>
          <w:sz w:val="16"/>
          <w:szCs w:val="16"/>
          <w:color w:val="auto"/>
        </w:rPr>
      </w:pPr>
    </w:p>
    <w:p>
      <w:pPr>
        <w:ind w:left="1300" w:hanging="374"/>
        <w:spacing w:after="0"/>
        <w:tabs>
          <w:tab w:leader="none" w:pos="1300" w:val="left"/>
        </w:tabs>
        <w:numPr>
          <w:ilvl w:val="0"/>
          <w:numId w:val="3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rights, powers, trusts, duties and immunities of the Trustee</w:t>
      </w:r>
    </w:p>
    <w:p>
      <w:pPr>
        <w:spacing w:after="0" w:line="16" w:lineRule="exact"/>
        <w:rPr>
          <w:rFonts w:ascii="Courier New" w:cs="Courier New" w:eastAsia="Courier New" w:hAnsi="Courier New"/>
          <w:sz w:val="14"/>
          <w:szCs w:val="14"/>
          <w:color w:val="auto"/>
        </w:rPr>
      </w:pPr>
    </w:p>
    <w:p>
      <w:pPr>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hereunder and</w:t>
      </w:r>
    </w:p>
    <w:p>
      <w:pPr>
        <w:spacing w:after="0" w:line="183" w:lineRule="exact"/>
        <w:rPr>
          <w:rFonts w:ascii="Courier New" w:cs="Courier New" w:eastAsia="Courier New" w:hAnsi="Courier New"/>
          <w:sz w:val="14"/>
          <w:szCs w:val="14"/>
          <w:color w:val="auto"/>
        </w:rPr>
      </w:pPr>
    </w:p>
    <w:p>
      <w:pPr>
        <w:ind w:right="2779" w:firstLine="926"/>
        <w:spacing w:after="0" w:line="235" w:lineRule="auto"/>
        <w:tabs>
          <w:tab w:leader="none" w:pos="1302" w:val="left"/>
        </w:tabs>
        <w:numPr>
          <w:ilvl w:val="0"/>
          <w:numId w:val="3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compliance with this Article Fourteen, the Company may exercise its option under this Section 1402 notwithstanding the prior exercise of its option under Section 1403 with respect to such Securities and any coupons appertaining thereto.</w:t>
      </w:r>
    </w:p>
    <w:p>
      <w:pPr>
        <w:spacing w:after="0" w:line="178"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Section 1403. Covenant Defeasance.</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930"/>
        <w:spacing w:after="0" w:line="272" w:lineRule="auto"/>
        <w:rPr>
          <w:sz w:val="20"/>
          <w:szCs w:val="20"/>
          <w:color w:val="auto"/>
        </w:rPr>
      </w:pPr>
      <w:r>
        <w:rPr>
          <w:rFonts w:ascii="Courier New" w:cs="Courier New" w:eastAsia="Courier New" w:hAnsi="Courier New"/>
          <w:sz w:val="14"/>
          <w:szCs w:val="14"/>
          <w:color w:val="auto"/>
        </w:rPr>
        <w:t>Upon the Company's exercise of the above option applicable to this Section with respect to any Securities of or within a series, the Company shall each be released from its obligations under any other covenant specified pursuant to Section 301, with respect to such Outstanding Securities and any coupons appertaining thereto on and after the date the conditions set forth in Section 1404 are satisfied (hereinafter, "covenant defeasance"), and such Securities and any coupons appertaining thereto shall thereafter be deemed to not be "Outstanding" for the purposes of any direction, waiver, consent or declaration or Act of Holders (and the consequences of any thereof) in connection with any applicable covenant, but shall continue to be deemed "Outstanding" for all other purposes hereunder. For this purpose, such covenant defeasance means that, with respect to such Outstanding Securities and any coupons appertaining thereto, the Company may omit to comply with and shall have no liability in respect of any term, condition or limitation set forth in any</w:t>
      </w:r>
    </w:p>
    <w:p>
      <w:pPr>
        <w:spacing w:after="0" w:line="200" w:lineRule="exact"/>
        <w:rPr>
          <w:sz w:val="20"/>
          <w:szCs w:val="20"/>
          <w:color w:val="auto"/>
        </w:rPr>
      </w:pPr>
    </w:p>
    <w:p>
      <w:pPr>
        <w:spacing w:after="0" w:line="32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87</w:t>
      </w:r>
    </w:p>
    <w:p>
      <w:pPr>
        <w:sectPr>
          <w:pgSz w:w="11900" w:h="16838" w:orient="portrait"/>
          <w:cols w:equalWidth="0" w:num="1">
            <w:col w:w="10219"/>
          </w:cols>
          <w:pgMar w:left="240" w:top="655" w:right="1440" w:bottom="1440" w:gutter="0" w:footer="0" w:header="0"/>
        </w:sectPr>
      </w:pPr>
    </w:p>
    <w:bookmarkStart w:id="266" w:name="page267"/>
    <w:bookmarkEnd w:id="266"/>
    <w:p>
      <w:pPr>
        <w:ind w:right="2879"/>
        <w:spacing w:after="0" w:line="236" w:lineRule="auto"/>
        <w:rPr>
          <w:sz w:val="20"/>
          <w:szCs w:val="20"/>
          <w:color w:val="auto"/>
        </w:rPr>
      </w:pPr>
      <w:r>
        <w:rPr>
          <w:rFonts w:ascii="Courier New" w:cs="Courier New" w:eastAsia="Courier New" w:hAnsi="Courier New"/>
          <w:sz w:val="16"/>
          <w:szCs w:val="16"/>
          <w:color w:val="auto"/>
        </w:rPr>
        <w:t>such Section or such other covenant, whether directly or indirectly, by reason of any reference elsewhere herein to any such Section or such other covenant or by reason of reference in any such Section or such other covenant to any other provision herein or in any other document and such omission to comply shall not constitute a Default or an Event of Default under clauses (4) or (7) of Subsection 501(a) or otherwise except as specified in accordance with Section 301, as the case may be, but, except as specified above, the remainder of this Indenture and such Securities and any coupons appertaining thereto shall be unaffected thereby.</w:t>
      </w:r>
    </w:p>
    <w:p>
      <w:pPr>
        <w:spacing w:after="0" w:line="179"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Section 1404. Conditions to Defeasance or Covenant Defeasance.</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959" w:firstLine="930"/>
        <w:spacing w:after="0" w:line="235" w:lineRule="auto"/>
        <w:rPr>
          <w:sz w:val="20"/>
          <w:szCs w:val="20"/>
          <w:color w:val="auto"/>
        </w:rPr>
      </w:pPr>
      <w:r>
        <w:rPr>
          <w:rFonts w:ascii="Courier New" w:cs="Courier New" w:eastAsia="Courier New" w:hAnsi="Courier New"/>
          <w:sz w:val="16"/>
          <w:szCs w:val="16"/>
          <w:color w:val="auto"/>
        </w:rPr>
        <w:t>The following shall be the conditions to application of Section 1402 or Section 1403 to any Outstanding Securities of or within a series and any coupons appertaining thereto:</w:t>
      </w:r>
    </w:p>
    <w:p>
      <w:pPr>
        <w:spacing w:after="0" w:line="183" w:lineRule="exact"/>
        <w:rPr>
          <w:sz w:val="20"/>
          <w:szCs w:val="20"/>
          <w:color w:val="auto"/>
        </w:rPr>
      </w:pPr>
    </w:p>
    <w:p>
      <w:pPr>
        <w:ind w:right="2779" w:firstLine="926"/>
        <w:spacing w:after="0" w:line="271" w:lineRule="auto"/>
        <w:tabs>
          <w:tab w:leader="none" w:pos="1302" w:val="left"/>
        </w:tabs>
        <w:numPr>
          <w:ilvl w:val="0"/>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irrevocably have deposited or caused to be deposited with the Trustee (or another trustee satisfying the requirements of Section 607 who shall agree to comply with the provisions of this Article Fourteen applicable to it) as trust funds in trust for the purpose of making the following payments, specifically pledged as security for, and dedicated solely to, the benefit of the Holders of such Securities and any coupons appertaining thereto, (1) an amount (in such Currency in which such Securities and any coupons appertaining thereto are then specified as payable at Stated Maturity), or (2) Government Obligations applicable to such Securities and coupons appertaining thereto (determined on the basis of the Currency in which such Securities and coupons appertaining thereto are then specified as payable at Stated Maturity) which through the scheduled payment of principal and interest in respect thereof in accordance with their terms will provide, not later than one day before the due date of any payment of principal of (and premium, if any) and interest, if any, on such Securities and any coupons appertaining thereto, money in an amount, or (3) a combination thereof in an amount, sufficient, in the opinion of a nationally recognized firm of independent public accountants or nationally recognized independent investment banking firm expressed in a written certification thereof delivered to the Trustee, to pay and discharge, and which shall be applied by the Trustee (or other qualifying trustee) to pay and discharge, (i) the principal of (and premium, if any) and interest, if any, on such Outstanding Securities and any coupons appertaining thereto on the Stated Maturity of such principal or installment of principal or interest and (ii) any mandatory sinking fund payments or analogous payments applicable to such Outstanding Securities and any coupons appertaining thereto on the day on which such payments are due and payable in accordance with the terms of this Indenture and of such Securities and any coupons appertaining thereto.</w:t>
      </w:r>
    </w:p>
    <w:p>
      <w:pPr>
        <w:spacing w:after="0" w:line="200" w:lineRule="exact"/>
        <w:rPr>
          <w:rFonts w:ascii="Courier New" w:cs="Courier New" w:eastAsia="Courier New" w:hAnsi="Courier New"/>
          <w:sz w:val="14"/>
          <w:szCs w:val="14"/>
          <w:color w:val="auto"/>
        </w:rPr>
      </w:pPr>
    </w:p>
    <w:p>
      <w:pPr>
        <w:spacing w:after="0" w:line="331" w:lineRule="exact"/>
        <w:rPr>
          <w:rFonts w:ascii="Courier New" w:cs="Courier New" w:eastAsia="Courier New" w:hAnsi="Courier New"/>
          <w:sz w:val="14"/>
          <w:szCs w:val="14"/>
          <w:color w:val="auto"/>
        </w:rPr>
      </w:pPr>
    </w:p>
    <w:p>
      <w:pPr>
        <w:ind w:right="3159" w:firstLine="926"/>
        <w:spacing w:after="0" w:line="235" w:lineRule="auto"/>
        <w:tabs>
          <w:tab w:leader="none" w:pos="1302" w:val="left"/>
        </w:tabs>
        <w:numPr>
          <w:ilvl w:val="0"/>
          <w:numId w:val="3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defeasance or covenant defeasance shall not result in a breach or violation of, or constitute a default under, this Indenture or any other material agreement or instrument to which the Company is a party or by which it is bound.</w:t>
      </w:r>
    </w:p>
    <w:p>
      <w:pPr>
        <w:spacing w:after="0" w:line="184" w:lineRule="exact"/>
        <w:rPr>
          <w:rFonts w:ascii="Courier New" w:cs="Courier New" w:eastAsia="Courier New" w:hAnsi="Courier New"/>
          <w:sz w:val="16"/>
          <w:szCs w:val="16"/>
          <w:color w:val="auto"/>
        </w:rPr>
      </w:pPr>
    </w:p>
    <w:p>
      <w:pPr>
        <w:ind w:right="2779" w:firstLine="926"/>
        <w:spacing w:after="0" w:line="295" w:lineRule="auto"/>
        <w:tabs>
          <w:tab w:leader="none" w:pos="1302" w:val="left"/>
        </w:tabs>
        <w:numPr>
          <w:ilvl w:val="0"/>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or Event of Default with respect to such Securities and any coupons appertaining thereto shall have occurred and be continuing on the</w:t>
      </w:r>
    </w:p>
    <w:p>
      <w:pPr>
        <w:spacing w:after="0" w:line="32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88</w:t>
      </w:r>
    </w:p>
    <w:p>
      <w:pPr>
        <w:sectPr>
          <w:pgSz w:w="11900" w:h="16838" w:orient="portrait"/>
          <w:cols w:equalWidth="0" w:num="1">
            <w:col w:w="10219"/>
          </w:cols>
          <w:pgMar w:left="240" w:top="655" w:right="1440" w:bottom="1440" w:gutter="0" w:footer="0" w:header="0"/>
        </w:sectPr>
      </w:pPr>
    </w:p>
    <w:bookmarkStart w:id="267" w:name="page268"/>
    <w:bookmarkEnd w:id="267"/>
    <w:p>
      <w:pPr>
        <w:ind w:left="5" w:right="2959"/>
        <w:spacing w:after="0" w:line="235" w:lineRule="auto"/>
        <w:rPr>
          <w:sz w:val="20"/>
          <w:szCs w:val="20"/>
          <w:color w:val="auto"/>
        </w:rPr>
      </w:pPr>
      <w:r>
        <w:rPr>
          <w:rFonts w:ascii="Courier New" w:cs="Courier New" w:eastAsia="Courier New" w:hAnsi="Courier New"/>
          <w:sz w:val="16"/>
          <w:szCs w:val="16"/>
          <w:color w:val="auto"/>
        </w:rPr>
        <w:t>date of such deposit or, insofar clauses (5) and (6) of Subsection 501(a) are concerned, at any time during the period ending on the 91st day after the date of such deposit (it being understood that this condition shall not be deemed satisfied until the expiration of such period).</w:t>
      </w:r>
    </w:p>
    <w:p>
      <w:pPr>
        <w:spacing w:after="0" w:line="185" w:lineRule="exact"/>
        <w:rPr>
          <w:sz w:val="20"/>
          <w:szCs w:val="20"/>
          <w:color w:val="auto"/>
        </w:rPr>
      </w:pPr>
    </w:p>
    <w:p>
      <w:pPr>
        <w:ind w:left="5" w:right="2779" w:firstLine="926"/>
        <w:spacing w:after="0" w:line="236" w:lineRule="auto"/>
        <w:tabs>
          <w:tab w:leader="none" w:pos="1307" w:val="left"/>
        </w:tabs>
        <w:numPr>
          <w:ilvl w:val="0"/>
          <w:numId w:val="3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 election under Section 1402, the Company shall have delivered to the Trustee an Opinion of Counsel stating that (1) the Company has received from, or there has been published by, the Internal Revenue Service a ruling, or (2) since the date of execution of this Indenture, there has been a change in the applicable Federal income tax law, in either case to the effect that, and based thereon such opinion shall confirm that, the Holders of such Outstanding Securities and any coupons appertaining thereto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186" w:lineRule="exact"/>
        <w:rPr>
          <w:rFonts w:ascii="Courier New" w:cs="Courier New" w:eastAsia="Courier New" w:hAnsi="Courier New"/>
          <w:sz w:val="16"/>
          <w:szCs w:val="16"/>
          <w:color w:val="auto"/>
        </w:rPr>
      </w:pPr>
    </w:p>
    <w:p>
      <w:pPr>
        <w:ind w:left="5" w:right="2779" w:firstLine="926"/>
        <w:spacing w:after="0" w:line="275" w:lineRule="auto"/>
        <w:tabs>
          <w:tab w:leader="none" w:pos="1307" w:val="left"/>
        </w:tabs>
        <w:numPr>
          <w:ilvl w:val="0"/>
          <w:numId w:val="3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an election under Section 1403, the Company shall have delivered to the Trustee an Opinion of Counsel to the effect that the Holders of such Outstanding Securities and any coupons appertaining thereto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340" w:lineRule="exact"/>
        <w:rPr>
          <w:rFonts w:ascii="Courier New" w:cs="Courier New" w:eastAsia="Courier New" w:hAnsi="Courier New"/>
          <w:sz w:val="14"/>
          <w:szCs w:val="14"/>
          <w:color w:val="auto"/>
        </w:rPr>
      </w:pPr>
    </w:p>
    <w:p>
      <w:pPr>
        <w:ind w:left="5" w:right="2879" w:firstLine="926"/>
        <w:spacing w:after="0" w:line="236" w:lineRule="auto"/>
        <w:tabs>
          <w:tab w:leader="none" w:pos="1307" w:val="left"/>
        </w:tabs>
        <w:numPr>
          <w:ilvl w:val="0"/>
          <w:numId w:val="3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delivered to the Trustee an Officers' Certificate and an Opinion of Counsel, each stating that all conditions precedent to the defeasance under Section 1402 or the covenant defeasance under Section 1403 (as the case may be) have been complied with and an Opinion of Counsel to the effect that either (i) as a result of a deposit pursuant to Subsection (a) of this Section and the related exercise of the Company's option under Section 1402 or Section 1403 (as the case may be), registration is not required under the Investment Company Act of 1940, as amended, by the Company, with respect to the trust funds representing such deposit or by the trustee for such trust funds or (ii) all necessary registrations under said Act have been effected.</w:t>
      </w:r>
    </w:p>
    <w:p>
      <w:pPr>
        <w:spacing w:after="0" w:line="186" w:lineRule="exact"/>
        <w:rPr>
          <w:rFonts w:ascii="Courier New" w:cs="Courier New" w:eastAsia="Courier New" w:hAnsi="Courier New"/>
          <w:sz w:val="16"/>
          <w:szCs w:val="16"/>
          <w:color w:val="auto"/>
        </w:rPr>
      </w:pPr>
    </w:p>
    <w:p>
      <w:pPr>
        <w:ind w:left="5" w:right="2959" w:firstLine="926"/>
        <w:spacing w:after="0" w:line="235" w:lineRule="auto"/>
        <w:tabs>
          <w:tab w:leader="none" w:pos="1307" w:val="left"/>
        </w:tabs>
        <w:numPr>
          <w:ilvl w:val="0"/>
          <w:numId w:val="3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provisions of this Section, such defeasance or covenant defeasance shall be effected in compliance with any additional or substitute terms, conditions or limitations which may be imposed on the Company in connection therewith pursuant to Section 301.</w:t>
      </w:r>
    </w:p>
    <w:p>
      <w:pPr>
        <w:spacing w:after="0" w:line="178" w:lineRule="exact"/>
        <w:rPr>
          <w:sz w:val="20"/>
          <w:szCs w:val="20"/>
          <w:color w:val="auto"/>
        </w:rPr>
      </w:pPr>
    </w:p>
    <w:p>
      <w:pPr>
        <w:ind w:left="365"/>
        <w:spacing w:after="0"/>
        <w:rPr>
          <w:sz w:val="20"/>
          <w:szCs w:val="20"/>
          <w:color w:val="auto"/>
        </w:rPr>
      </w:pPr>
      <w:r>
        <w:rPr>
          <w:rFonts w:ascii="Courier New" w:cs="Courier New" w:eastAsia="Courier New" w:hAnsi="Courier New"/>
          <w:sz w:val="16"/>
          <w:szCs w:val="16"/>
          <w:color w:val="auto"/>
        </w:rPr>
        <w:t>Section 1405. Deposited Money and Government Obligations to Be Held in</w:t>
      </w:r>
    </w:p>
    <w:p>
      <w:pPr>
        <w:ind w:left="1665"/>
        <w:spacing w:after="0" w:line="236" w:lineRule="auto"/>
        <w:rPr>
          <w:sz w:val="20"/>
          <w:szCs w:val="20"/>
          <w:color w:val="auto"/>
        </w:rPr>
      </w:pPr>
      <w:r>
        <w:rPr>
          <w:rFonts w:ascii="Courier New" w:cs="Courier New" w:eastAsia="Courier New" w:hAnsi="Courier New"/>
          <w:sz w:val="16"/>
          <w:szCs w:val="16"/>
          <w:color w:val="auto"/>
        </w:rPr>
        <w:t>--------------------------------------------------------</w:t>
      </w:r>
    </w:p>
    <w:p>
      <w:pPr>
        <w:ind w:left="1665"/>
        <w:spacing w:after="0" w:line="237" w:lineRule="auto"/>
        <w:rPr>
          <w:sz w:val="20"/>
          <w:szCs w:val="20"/>
          <w:color w:val="auto"/>
        </w:rPr>
      </w:pPr>
      <w:r>
        <w:rPr>
          <w:rFonts w:ascii="Courier New" w:cs="Courier New" w:eastAsia="Courier New" w:hAnsi="Courier New"/>
          <w:sz w:val="16"/>
          <w:szCs w:val="16"/>
          <w:color w:val="auto"/>
        </w:rPr>
        <w:t>Trust; Other Miscellaneous Provisions.</w:t>
      </w:r>
    </w:p>
    <w:p>
      <w:pPr>
        <w:ind w:left="1665"/>
        <w:spacing w:after="0" w:line="237"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5" w:right="2779" w:firstLine="926"/>
        <w:spacing w:after="0" w:line="270" w:lineRule="auto"/>
        <w:tabs>
          <w:tab w:leader="none" w:pos="1307" w:val="left"/>
        </w:tabs>
        <w:numPr>
          <w:ilvl w:val="1"/>
          <w:numId w:val="3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provisions of Subsection 1003(d), all money and Government Obligations (or other property as may be provided pursuant to Section</w:t>
      </w:r>
    </w:p>
    <w:p>
      <w:pPr>
        <w:ind w:left="5" w:right="2879" w:hanging="5"/>
        <w:spacing w:after="0" w:line="283" w:lineRule="auto"/>
        <w:tabs>
          <w:tab w:leader="none" w:pos="470" w:val="left"/>
        </w:tabs>
        <w:numPr>
          <w:ilvl w:val="0"/>
          <w:numId w:val="3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(including the proceeds thereof) deposited with the Trustee (or other qualifying trustee, collectively for purposes of this Section 1405, the "Trustee") pursuant to Section 1404 in respect of any Outstanding Securities of</w:t>
      </w:r>
    </w:p>
    <w:p>
      <w:pPr>
        <w:spacing w:after="0" w:line="32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89</w:t>
      </w:r>
    </w:p>
    <w:p>
      <w:pPr>
        <w:sectPr>
          <w:pgSz w:w="11900" w:h="16838" w:orient="portrait"/>
          <w:cols w:equalWidth="0" w:num="1">
            <w:col w:w="10224"/>
          </w:cols>
          <w:pgMar w:left="235" w:top="655" w:right="1440" w:bottom="1440" w:gutter="0" w:footer="0" w:header="0"/>
        </w:sectPr>
      </w:pPr>
    </w:p>
    <w:bookmarkStart w:id="268" w:name="page269"/>
    <w:bookmarkEnd w:id="268"/>
    <w:p>
      <w:pPr>
        <w:ind w:right="2779"/>
        <w:spacing w:after="0" w:line="236" w:lineRule="auto"/>
        <w:rPr>
          <w:sz w:val="20"/>
          <w:szCs w:val="20"/>
          <w:color w:val="auto"/>
        </w:rPr>
      </w:pPr>
      <w:r>
        <w:rPr>
          <w:rFonts w:ascii="Courier New" w:cs="Courier New" w:eastAsia="Courier New" w:hAnsi="Courier New"/>
          <w:sz w:val="16"/>
          <w:szCs w:val="16"/>
          <w:color w:val="auto"/>
        </w:rPr>
        <w:t>any series and any coupons appertaining thereto shall be held in trust and applied by the Trustee, in accordance with the provisions of such Securities and any coupons appertaining thereto and this Indenture, to the payment, either directly or through any Paying Agent (including the Company acting as its own Paying Agent) as the Trustee may determine, to the Holders of such Securities and any coupons appertaining thereto of all sums due and to become due thereon in respect of principal (and premium, if any) and interest, if any, but such money need not be segregated from other funds except to the extent required by law.</w:t>
      </w:r>
    </w:p>
    <w:p>
      <w:pPr>
        <w:spacing w:after="0" w:line="185" w:lineRule="exact"/>
        <w:rPr>
          <w:sz w:val="20"/>
          <w:szCs w:val="20"/>
          <w:color w:val="auto"/>
        </w:rPr>
      </w:pPr>
    </w:p>
    <w:p>
      <w:pPr>
        <w:ind w:right="2779" w:firstLine="926"/>
        <w:spacing w:after="0" w:line="272" w:lineRule="auto"/>
        <w:tabs>
          <w:tab w:leader="none" w:pos="1302" w:val="left"/>
        </w:tabs>
        <w:numPr>
          <w:ilvl w:val="0"/>
          <w:numId w:val="3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specified with respect to any Security pursuant to Section 301, if, after a deposit referred to in Subsection 1404(a) has been made, (1) the Holder of a Security in respect of which such deposit was made is entitled to, and does, elect pursuant to Subsection 312(b) or the terms of such Security to receive payment in a Currency other than that in which the deposit pursuant to Subsection 1404(a) has been made in respect of such Security, or (2) a Conversion Event occurs as contemplated in Subsection 312(d) or 312(e) or by the terms of any Security in respect of which the deposit pursuant to Subsection 1404(a) has been made, the indebtedness represented by such Security and any coupons appertaining thereto shall be deemed to have been, and will be, fully discharged and satisfied through the payment of the principal of (and premium, if any) and interest, if any, on such Security as the same becomes due out of the proceeds yielded by converting (from time to time as specified below in the case of any such election) the amount or other property deposited in respect of such Security into the Currency in which such Security becomes payable as a result of such election or Conversion Event based on the applicable Market Exchange Rate for such Currency in effect on the second Business Day prior to each payment date, except, with respect to a Conversion Event, for such Currency in effect (as nearly as feasible) at the time of the Conversion Event.</w:t>
      </w:r>
    </w:p>
    <w:p>
      <w:pPr>
        <w:spacing w:after="0" w:line="342" w:lineRule="exact"/>
        <w:rPr>
          <w:rFonts w:ascii="Courier New" w:cs="Courier New" w:eastAsia="Courier New" w:hAnsi="Courier New"/>
          <w:sz w:val="14"/>
          <w:szCs w:val="14"/>
          <w:color w:val="auto"/>
        </w:rPr>
      </w:pPr>
    </w:p>
    <w:p>
      <w:pPr>
        <w:ind w:right="2779" w:firstLine="926"/>
        <w:spacing w:after="0" w:line="236" w:lineRule="auto"/>
        <w:tabs>
          <w:tab w:leader="none" w:pos="1302" w:val="left"/>
        </w:tabs>
        <w:numPr>
          <w:ilvl w:val="0"/>
          <w:numId w:val="3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pay and indemnify the Trustee against any tax, fee or other charge imposed on or assessed against the Government Obligations deposited pursuant to Section 1404 or the principal and interest received in respect thereof other than any such tax, fee or other charge which by law is for the account of the Holders of such Outstanding Securities and any coupons appertaining thereto.</w:t>
      </w:r>
    </w:p>
    <w:p>
      <w:pPr>
        <w:spacing w:after="0" w:line="182" w:lineRule="exact"/>
        <w:rPr>
          <w:rFonts w:ascii="Courier New" w:cs="Courier New" w:eastAsia="Courier New" w:hAnsi="Courier New"/>
          <w:sz w:val="16"/>
          <w:szCs w:val="16"/>
          <w:color w:val="auto"/>
        </w:rPr>
      </w:pPr>
    </w:p>
    <w:p>
      <w:pPr>
        <w:ind w:right="2779" w:firstLine="926"/>
        <w:spacing w:after="0" w:line="236" w:lineRule="auto"/>
        <w:tabs>
          <w:tab w:leader="none" w:pos="1302" w:val="left"/>
        </w:tabs>
        <w:numPr>
          <w:ilvl w:val="0"/>
          <w:numId w:val="3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Anything in this Article Fourteen to the contrary notwithstanding, the Trustee shall deliver or pay to the Company from time to time upon Company Request any money or Government Obligations (or other property and any proceeds therefrom) held by it as provided in Section 1404 which, in the opinion of a nationally recognized firm of independent public accountants expressed in a written certification thereof delivered to the Trustee, are in excess of the amount thereof which would then be required to be deposited to effect a defeasance or covenant defeasance, as applicable, in accordance with this Article.</w:t>
      </w:r>
    </w:p>
    <w:p>
      <w:pPr>
        <w:spacing w:after="0" w:line="179"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Section 1406. Reinstatement.</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879" w:firstLine="930"/>
        <w:spacing w:after="0" w:line="283" w:lineRule="auto"/>
        <w:rPr>
          <w:sz w:val="20"/>
          <w:szCs w:val="20"/>
          <w:color w:val="auto"/>
        </w:rPr>
      </w:pPr>
      <w:r>
        <w:rPr>
          <w:rFonts w:ascii="Courier New" w:cs="Courier New" w:eastAsia="Courier New" w:hAnsi="Courier New"/>
          <w:sz w:val="14"/>
          <w:szCs w:val="14"/>
          <w:color w:val="auto"/>
        </w:rPr>
        <w:t>If the Trustee or any Paying Agent is unable to apply any money in accordance with Section 1405 by reason of any order or judgment of any court or governmental authority enjoining, restraining or otherwise prohibiting such</w:t>
      </w:r>
    </w:p>
    <w:p>
      <w:pPr>
        <w:spacing w:after="0" w:line="32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90</w:t>
      </w:r>
    </w:p>
    <w:p>
      <w:pPr>
        <w:sectPr>
          <w:pgSz w:w="11900" w:h="16838" w:orient="portrait"/>
          <w:cols w:equalWidth="0" w:num="1">
            <w:col w:w="10219"/>
          </w:cols>
          <w:pgMar w:left="240" w:top="655" w:right="1440" w:bottom="1440" w:gutter="0" w:footer="0" w:header="0"/>
        </w:sectPr>
      </w:pPr>
    </w:p>
    <w:bookmarkStart w:id="269" w:name="page270"/>
    <w:bookmarkEnd w:id="269"/>
    <w:p>
      <w:pPr>
        <w:ind w:right="2779"/>
        <w:spacing w:after="0" w:line="236" w:lineRule="auto"/>
        <w:rPr>
          <w:sz w:val="20"/>
          <w:szCs w:val="20"/>
          <w:color w:val="auto"/>
        </w:rPr>
      </w:pPr>
      <w:r>
        <w:rPr>
          <w:rFonts w:ascii="Courier New" w:cs="Courier New" w:eastAsia="Courier New" w:hAnsi="Courier New"/>
          <w:sz w:val="16"/>
          <w:szCs w:val="16"/>
          <w:color w:val="auto"/>
        </w:rPr>
        <w:t>application, then the Company's obligations, under this Indenture and such Securities and any related coupons shall be revived and reinstated as though no deposit had occurred pursuant to Section 1402 or 1403, as the case may be, until such time as the Trustee or Paying Agent is permitted to apply all such money in accordance with Section 1405; provided, that, if the Company makes any payment of principal of (or premium, if any) or interest, if any, on any such Security or any related coupon following the reinstatement of its obligations, the Company shall be subrogated to the rights of the Holders of such Securities and any related coupons to receive such payment from the money held by the Trustee or Paying Agent.</w:t>
      </w:r>
    </w:p>
    <w:p>
      <w:pPr>
        <w:spacing w:after="0" w:line="179"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ARTICLE FIFTEEN</w:t>
      </w:r>
    </w:p>
    <w:p>
      <w:pPr>
        <w:ind w:left="2220"/>
        <w:spacing w:after="0" w:line="236" w:lineRule="auto"/>
        <w:rPr>
          <w:sz w:val="20"/>
          <w:szCs w:val="20"/>
          <w:color w:val="auto"/>
        </w:rPr>
      </w:pPr>
      <w:r>
        <w:rPr>
          <w:rFonts w:ascii="Courier New" w:cs="Courier New" w:eastAsia="Courier New" w:hAnsi="Courier New"/>
          <w:sz w:val="16"/>
          <w:szCs w:val="16"/>
          <w:color w:val="auto"/>
        </w:rPr>
        <w:t>MEETINGS OF HOLDERS OF SECURITIES</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Section 1501. Purposes for Which Meetings May Be Called.</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930"/>
        <w:spacing w:after="0" w:line="236" w:lineRule="auto"/>
        <w:rPr>
          <w:sz w:val="20"/>
          <w:szCs w:val="20"/>
          <w:color w:val="auto"/>
        </w:rPr>
      </w:pPr>
      <w:r>
        <w:rPr>
          <w:rFonts w:ascii="Courier New" w:cs="Courier New" w:eastAsia="Courier New" w:hAnsi="Courier New"/>
          <w:sz w:val="16"/>
          <w:szCs w:val="16"/>
          <w:color w:val="auto"/>
        </w:rPr>
        <w:t>If Securities of a series are issuable as Bearer Securities, a meeting of Holders of Securities of such series may be called at any time and from time to time pursuant to this Article to make, give or take any request, demand, authorization, direction, notice, consent, waiver or other action provided by this Indenture to be made, given or taken by Holders of Securities of such series.</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Section 1502. Call, Notice and Place of Meetings.</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926"/>
        <w:spacing w:after="0" w:line="236" w:lineRule="auto"/>
        <w:tabs>
          <w:tab w:leader="none" w:pos="1302" w:val="left"/>
        </w:tabs>
        <w:numPr>
          <w:ilvl w:val="0"/>
          <w:numId w:val="3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at any time call a meeting of Holders of Securities of any series for any purpose specified in Section 1501, to be held at such time and at such place in the Borough of Manhattan, The City of New York or in London as the Trustee shall determine. Notice of every meeting of Holders of Securities of any series, setting forth the time and the place of such meeting and in general terms the action proposed to be taken at such meeting, shall be given, in the manner provided in Section 106, not less than 21 nor more than 180 days prior to the date fixed for the meeting.</w:t>
      </w:r>
    </w:p>
    <w:p>
      <w:pPr>
        <w:spacing w:after="0" w:line="184" w:lineRule="exact"/>
        <w:rPr>
          <w:rFonts w:ascii="Courier New" w:cs="Courier New" w:eastAsia="Courier New" w:hAnsi="Courier New"/>
          <w:sz w:val="16"/>
          <w:szCs w:val="16"/>
          <w:color w:val="auto"/>
        </w:rPr>
      </w:pPr>
    </w:p>
    <w:p>
      <w:pPr>
        <w:ind w:right="2779" w:firstLine="926"/>
        <w:spacing w:after="0" w:line="273" w:lineRule="auto"/>
        <w:tabs>
          <w:tab w:leader="none" w:pos="1302" w:val="left"/>
        </w:tabs>
        <w:numPr>
          <w:ilvl w:val="0"/>
          <w:numId w:val="3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at any time the Company, pursuant to a Board Resolution, or the Holders of at least 10% in principal amount of the Outstanding Securities of any series, shall have requested the Trustee to call a meeting of the Holders of Securities of such series for any purpose specified in Section 1501, by written request setting forth in reasonable detail the action proposed to be taken at the meeting, and the Trustee shall not have made the first publication of the notice of such meeting within 21 days after receipt of such request or shall not thereafter proceed to cause the meeting to be held as provided herein, then the Company or the Holders of Securities of such series in the amount above specified, as the case may be, may determine the time and the place in the Borough of Manhattan, The City of New York or in London for such meeting and may call such meeting for such purposes by giving notice thereof as provided in Subsection (a) of this Section.</w:t>
      </w:r>
    </w:p>
    <w:p>
      <w:pPr>
        <w:spacing w:after="0" w:line="334"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Section 1503. Persons Entitled to Vote at Meetings.</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879" w:firstLine="930"/>
        <w:spacing w:after="0" w:line="295" w:lineRule="auto"/>
        <w:rPr>
          <w:sz w:val="20"/>
          <w:szCs w:val="20"/>
          <w:color w:val="auto"/>
        </w:rPr>
      </w:pPr>
      <w:r>
        <w:rPr>
          <w:rFonts w:ascii="Courier New" w:cs="Courier New" w:eastAsia="Courier New" w:hAnsi="Courier New"/>
          <w:sz w:val="14"/>
          <w:szCs w:val="14"/>
          <w:color w:val="auto"/>
        </w:rPr>
        <w:t>To be entitled to vote at any meeting of Holders of Securities of any series, a Person shall be (a) a Holder of one or more Outstanding Securities of</w:t>
      </w:r>
    </w:p>
    <w:p>
      <w:pPr>
        <w:spacing w:after="0" w:line="32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91</w:t>
      </w:r>
    </w:p>
    <w:p>
      <w:pPr>
        <w:sectPr>
          <w:pgSz w:w="11900" w:h="16838" w:orient="portrait"/>
          <w:cols w:equalWidth="0" w:num="1">
            <w:col w:w="10219"/>
          </w:cols>
          <w:pgMar w:left="240" w:top="655" w:right="1440" w:bottom="1440" w:gutter="0" w:footer="0" w:header="0"/>
        </w:sectPr>
      </w:pPr>
    </w:p>
    <w:bookmarkStart w:id="270" w:name="page271"/>
    <w:bookmarkEnd w:id="270"/>
    <w:p>
      <w:pPr>
        <w:ind w:right="2779"/>
        <w:spacing w:after="0" w:line="275" w:lineRule="auto"/>
        <w:rPr>
          <w:sz w:val="20"/>
          <w:szCs w:val="20"/>
          <w:color w:val="auto"/>
        </w:rPr>
      </w:pPr>
      <w:r>
        <w:rPr>
          <w:rFonts w:ascii="Courier New" w:cs="Courier New" w:eastAsia="Courier New" w:hAnsi="Courier New"/>
          <w:sz w:val="14"/>
          <w:szCs w:val="14"/>
          <w:color w:val="auto"/>
        </w:rPr>
        <w:t>such series, or (b) a Person appointed by an instrument in writing as proxy for a Holder or Holders of one or more Outstanding Securities of such series by such Holder or Holders. The only Persons who shall be entitled to be present or to speak at any meeting of Holders of Securities of any series shall be the Persons entitled to vote at such meeting and their counsel, any representatives of the Trustee and its counsel and any representatives of the Company and its counsel.</w:t>
      </w:r>
    </w:p>
    <w:p>
      <w:pPr>
        <w:spacing w:after="0" w:line="156"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Section 1504. Quorum; Action.</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926"/>
        <w:spacing w:after="0" w:line="272" w:lineRule="auto"/>
        <w:tabs>
          <w:tab w:leader="none" w:pos="1302" w:val="left"/>
        </w:tabs>
        <w:numPr>
          <w:ilvl w:val="0"/>
          <w:numId w:val="3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Persons entitled to vote a majority in principal amount of the Outstanding Securities of a series shall constitute a quorum for a meeting of Holders of Securities of such series; provided, that if any action is to be taken at such meeting with respect to a consent or waiver which this Indenture expressly provides may be given by the Holders of not less than a specified percentage in principal amount of the Outstanding Securities of a series, the Persons entitled to vote such specified percentage in principal amount of the Outstanding Securities of such series shall constitute a quorum. In the absence of a quorum within 30 minutes of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any such adjourned meeting, such adjourned meeting may be further adjourned for a period of not less than 10 days as determined by the chairman of the meeting prior to the adjournment of such adjourned meeting. Notice of the reconvening of any adjourned meeting shall be given as provided in Subsection 1502(a), except that such notice need be given only once not less than five days prior to the date on which the meeting is scheduled to be reconvened. Notice of the reconvening of any adjourned meeting shall state expressly the percentage, as provided above, of the principal amount of the Outstanding Securities of such series which shall constitute a quorum.</w:t>
      </w:r>
    </w:p>
    <w:p>
      <w:pPr>
        <w:spacing w:after="0" w:line="200" w:lineRule="exact"/>
        <w:rPr>
          <w:rFonts w:ascii="Courier New" w:cs="Courier New" w:eastAsia="Courier New" w:hAnsi="Courier New"/>
          <w:sz w:val="14"/>
          <w:szCs w:val="14"/>
          <w:color w:val="auto"/>
        </w:rPr>
      </w:pPr>
    </w:p>
    <w:p>
      <w:pPr>
        <w:spacing w:after="0" w:line="319" w:lineRule="exact"/>
        <w:rPr>
          <w:rFonts w:ascii="Courier New" w:cs="Courier New" w:eastAsia="Courier New" w:hAnsi="Courier New"/>
          <w:sz w:val="14"/>
          <w:szCs w:val="14"/>
          <w:color w:val="auto"/>
        </w:rPr>
      </w:pPr>
    </w:p>
    <w:p>
      <w:pPr>
        <w:ind w:right="2959" w:firstLine="926"/>
        <w:spacing w:after="0" w:line="235" w:lineRule="auto"/>
        <w:tabs>
          <w:tab w:leader="none" w:pos="1302" w:val="left"/>
        </w:tabs>
        <w:numPr>
          <w:ilvl w:val="0"/>
          <w:numId w:val="3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Subsection (a) of this section, at the reconvening of any meeting adjourned for lack of a quorum the Persons entitled to vote 25% in principal amount of the Outstanding Securities at the time shall constitute a quorum for the taking of any action set forth in the notice of the original meeting.</w:t>
      </w:r>
    </w:p>
    <w:p>
      <w:pPr>
        <w:spacing w:after="0" w:line="185" w:lineRule="exact"/>
        <w:rPr>
          <w:rFonts w:ascii="Courier New" w:cs="Courier New" w:eastAsia="Courier New" w:hAnsi="Courier New"/>
          <w:sz w:val="16"/>
          <w:szCs w:val="16"/>
          <w:color w:val="auto"/>
        </w:rPr>
      </w:pPr>
    </w:p>
    <w:p>
      <w:pPr>
        <w:ind w:right="2779" w:firstLine="926"/>
        <w:spacing w:after="0" w:line="273" w:lineRule="auto"/>
        <w:tabs>
          <w:tab w:leader="none" w:pos="1302" w:val="left"/>
        </w:tabs>
        <w:numPr>
          <w:ilvl w:val="0"/>
          <w:numId w:val="3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limited by the proviso to Section 902, any resolution presented to a meeting or adjourned meeting duly reconvened at which a quorum is present as aforesaid may be adopted by the affirmative vote of the Holders of not less than a majority in principal amount of the Outstanding Securities of that series; provided, that except as limited by the proviso to Section 902, any resolution with respect to any request, demand, authorization, direction, notice, consent, waiver or other action which this Indenture expressly provides may be made, given or taken by the Holders of a specified percentage, which is less than a majority, in principal amount of the Outstanding Securities of a series may be adopted at a meeting or an adjourned meeting duly reconvened and at which a quorum is present as aforesaid by the affirmative vote of the Holders of not less than such specified percentage in principal amount of the Outstanding Securities of that series.</w:t>
      </w:r>
    </w:p>
    <w:p>
      <w:pPr>
        <w:spacing w:after="0" w:line="200" w:lineRule="exact"/>
        <w:rPr>
          <w:sz w:val="20"/>
          <w:szCs w:val="20"/>
          <w:color w:val="auto"/>
        </w:rPr>
      </w:pPr>
    </w:p>
    <w:p>
      <w:pPr>
        <w:spacing w:after="0" w:line="31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92</w:t>
      </w:r>
    </w:p>
    <w:p>
      <w:pPr>
        <w:sectPr>
          <w:pgSz w:w="11900" w:h="16838" w:orient="portrait"/>
          <w:cols w:equalWidth="0" w:num="1">
            <w:col w:w="10219"/>
          </w:cols>
          <w:pgMar w:left="240" w:top="654" w:right="1440" w:bottom="1440" w:gutter="0" w:footer="0" w:header="0"/>
        </w:sectPr>
      </w:pPr>
    </w:p>
    <w:bookmarkStart w:id="271" w:name="page272"/>
    <w:bookmarkEnd w:id="271"/>
    <w:p>
      <w:pPr>
        <w:ind w:left="-360" w:right="2779" w:firstLine="926"/>
        <w:spacing w:after="0" w:line="235" w:lineRule="auto"/>
        <w:tabs>
          <w:tab w:leader="none" w:pos="942" w:val="left"/>
        </w:tabs>
        <w:numPr>
          <w:ilvl w:val="0"/>
          <w:numId w:val="3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resolution passed or decision taken at any meeting of Holders of Securities of any series duly held in accordance with this Section shall be binding on all the Holders of Securities of such series and the related coupons, whether or not present or represented at the meeting.</w:t>
      </w:r>
    </w:p>
    <w:p>
      <w:pPr>
        <w:spacing w:after="0" w:line="184" w:lineRule="exact"/>
        <w:rPr>
          <w:rFonts w:ascii="Courier New" w:cs="Courier New" w:eastAsia="Courier New" w:hAnsi="Courier New"/>
          <w:sz w:val="16"/>
          <w:szCs w:val="16"/>
          <w:color w:val="auto"/>
        </w:rPr>
      </w:pPr>
    </w:p>
    <w:p>
      <w:pPr>
        <w:ind w:left="-360" w:right="2779" w:firstLine="926"/>
        <w:spacing w:after="0" w:line="236" w:lineRule="auto"/>
        <w:tabs>
          <w:tab w:leader="none" w:pos="942" w:val="left"/>
        </w:tabs>
        <w:numPr>
          <w:ilvl w:val="0"/>
          <w:numId w:val="3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provisions of this Section 1504, if any action is to be taken at a meeting of Holders of Securities of any series with respect to any request, demand, authorization, direction, notice, consent, waiver or other action that this Indenture expressly provides may be made, given or taken by the Holders of a specified percentage in principal amount of all Outstanding Securities affected thereby, or of the Holders of such series and one or more additional series:</w:t>
      </w:r>
    </w:p>
    <w:p>
      <w:pPr>
        <w:spacing w:after="0" w:line="177" w:lineRule="exact"/>
        <w:rPr>
          <w:rFonts w:ascii="Courier New" w:cs="Courier New" w:eastAsia="Courier New" w:hAnsi="Courier New"/>
          <w:sz w:val="16"/>
          <w:szCs w:val="16"/>
          <w:color w:val="auto"/>
        </w:rPr>
      </w:pPr>
    </w:p>
    <w:p>
      <w:pPr>
        <w:ind w:left="1860" w:hanging="364"/>
        <w:spacing w:after="0"/>
        <w:tabs>
          <w:tab w:leader="none" w:pos="1860" w:val="left"/>
        </w:tabs>
        <w:numPr>
          <w:ilvl w:val="1"/>
          <w:numId w:val="3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be no minimum quorum requirement for such</w:t>
      </w:r>
    </w:p>
    <w:p>
      <w:pPr>
        <w:ind w:left="56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meeting; and</w:t>
      </w:r>
    </w:p>
    <w:p>
      <w:pPr>
        <w:spacing w:after="0" w:line="183" w:lineRule="exact"/>
        <w:rPr>
          <w:rFonts w:ascii="Courier New" w:cs="Courier New" w:eastAsia="Courier New" w:hAnsi="Courier New"/>
          <w:sz w:val="16"/>
          <w:szCs w:val="16"/>
          <w:color w:val="auto"/>
        </w:rPr>
      </w:pPr>
    </w:p>
    <w:p>
      <w:pPr>
        <w:ind w:left="560" w:right="2779" w:firstLine="936"/>
        <w:spacing w:after="0" w:line="236" w:lineRule="auto"/>
        <w:tabs>
          <w:tab w:leader="none" w:pos="1862" w:val="left"/>
        </w:tabs>
        <w:numPr>
          <w:ilvl w:val="1"/>
          <w:numId w:val="3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amount of the Outstanding Securities of such series that vote in favor of such request, demand, authorization, direction, notice, consent, waiver or other action shall be taken into account in determining whether such request, demand, authorization, direction, notice, consent, waiver or other action has been made, given or taken under this Indenture.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1505. Determination of Voting Rights; Conduct and Adjournment of</w:t>
      </w:r>
    </w:p>
    <w:p>
      <w:pPr>
        <w:ind w:left="1300"/>
        <w:spacing w:after="0" w:line="236" w:lineRule="auto"/>
        <w:rPr>
          <w:sz w:val="20"/>
          <w:szCs w:val="20"/>
          <w:color w:val="auto"/>
        </w:rPr>
      </w:pPr>
      <w:r>
        <w:rPr>
          <w:rFonts w:ascii="Courier New" w:cs="Courier New" w:eastAsia="Courier New" w:hAnsi="Courier New"/>
          <w:sz w:val="16"/>
          <w:szCs w:val="16"/>
          <w:color w:val="auto"/>
        </w:rPr>
        <w:t>----------------------------------------------------------</w:t>
      </w:r>
    </w:p>
    <w:p>
      <w:pPr>
        <w:ind w:left="1300"/>
        <w:spacing w:after="0" w:line="237" w:lineRule="auto"/>
        <w:rPr>
          <w:sz w:val="20"/>
          <w:szCs w:val="20"/>
          <w:color w:val="auto"/>
        </w:rPr>
      </w:pPr>
      <w:r>
        <w:rPr>
          <w:rFonts w:ascii="Courier New" w:cs="Courier New" w:eastAsia="Courier New" w:hAnsi="Courier New"/>
          <w:sz w:val="16"/>
          <w:szCs w:val="16"/>
          <w:color w:val="auto"/>
        </w:rPr>
        <w:t>Meetings.</w:t>
      </w:r>
    </w:p>
    <w:p>
      <w:pPr>
        <w:ind w:left="1300"/>
        <w:spacing w:after="0" w:line="237"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360" w:right="2779" w:firstLine="926"/>
        <w:spacing w:after="0" w:line="272" w:lineRule="auto"/>
        <w:tabs>
          <w:tab w:leader="none" w:pos="942" w:val="left"/>
        </w:tabs>
        <w:numPr>
          <w:ilvl w:val="0"/>
          <w:numId w:val="3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provisions of this Indenture, the Company may make such reasonable regulations as it may deem advisable for any meeting of Holders of Securities of a series in regard to proof of the holding of Securities of such series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 Except as otherwise permitted or required by any such regulations, the holding of Securities shall be proved in the manner specified in Section 104 and the appointment of any proxy shall be proved in the manner specified in Section 104 or by having the signature of the Person executing the proxy witnessed or guaranteed by any trust company, bank or banker authorized by Section 104 to certify to the holding of Bearer Securities. Such regulations may provide that written instruments appointing proxies, regular on their face, may be presumed valid and genuine without the proof specified in Section 104 or other proof.</w:t>
      </w:r>
    </w:p>
    <w:p>
      <w:pPr>
        <w:spacing w:after="0" w:line="345" w:lineRule="exact"/>
        <w:rPr>
          <w:rFonts w:ascii="Courier New" w:cs="Courier New" w:eastAsia="Courier New" w:hAnsi="Courier New"/>
          <w:sz w:val="14"/>
          <w:szCs w:val="14"/>
          <w:color w:val="auto"/>
        </w:rPr>
      </w:pPr>
    </w:p>
    <w:p>
      <w:pPr>
        <w:ind w:left="-360" w:right="2779" w:firstLine="926"/>
        <w:spacing w:after="0" w:line="236" w:lineRule="auto"/>
        <w:tabs>
          <w:tab w:leader="none" w:pos="942" w:val="left"/>
        </w:tabs>
        <w:numPr>
          <w:ilvl w:val="0"/>
          <w:numId w:val="3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by an instrument in writing appoint a temporary chairman of the meeting, unless the meeting shall have been called by Holders of Securities as provided in Subsection 1502(b), in which case the Holders of Securities of the series calling the meeting shall in like manner appoint a temporary chairman. A permanent chairman and a permanent secretary of the meeting shall be elected by vote of the Persons entitled to vote a majority in principal amount of the Outstanding Securities of such series represented at the meeting.</w:t>
      </w:r>
    </w:p>
    <w:p>
      <w:pPr>
        <w:spacing w:after="0" w:line="35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93</w:t>
      </w:r>
    </w:p>
    <w:p>
      <w:pPr>
        <w:sectPr>
          <w:pgSz w:w="11900" w:h="16838" w:orient="portrait"/>
          <w:cols w:equalWidth="0" w:num="1">
            <w:col w:w="9859"/>
          </w:cols>
          <w:pgMar w:left="600" w:top="655" w:right="1440" w:bottom="1440" w:gutter="0" w:footer="0" w:header="0"/>
        </w:sectPr>
      </w:pPr>
    </w:p>
    <w:bookmarkStart w:id="272" w:name="page273"/>
    <w:bookmarkEnd w:id="272"/>
    <w:p>
      <w:pPr>
        <w:ind w:right="2779" w:firstLine="926"/>
        <w:spacing w:after="0" w:line="236" w:lineRule="auto"/>
        <w:tabs>
          <w:tab w:leader="none" w:pos="1302" w:val="left"/>
        </w:tabs>
        <w:numPr>
          <w:ilvl w:val="0"/>
          <w:numId w:val="3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meeting each Holder of a Security of such series or proxy shall be entitled to one vote for each $1,000 principal amount of the Outstanding Securities of such series held or represented by him; provided, that, no vote shall be cast or counted at any meeting in respect of any Security challenged as not Outstanding and ruled by the chairman of the meeting to be not Outstanding. The chairman of the meeting shall have no right to vote, except as a Holder of a Security of such series or proxy.</w:t>
      </w:r>
    </w:p>
    <w:p>
      <w:pPr>
        <w:spacing w:after="0" w:line="183" w:lineRule="exact"/>
        <w:rPr>
          <w:rFonts w:ascii="Courier New" w:cs="Courier New" w:eastAsia="Courier New" w:hAnsi="Courier New"/>
          <w:sz w:val="16"/>
          <w:szCs w:val="16"/>
          <w:color w:val="auto"/>
        </w:rPr>
      </w:pPr>
    </w:p>
    <w:p>
      <w:pPr>
        <w:ind w:right="2779" w:firstLine="926"/>
        <w:spacing w:after="0" w:line="235" w:lineRule="auto"/>
        <w:tabs>
          <w:tab w:leader="none" w:pos="1302" w:val="left"/>
        </w:tabs>
        <w:numPr>
          <w:ilvl w:val="0"/>
          <w:numId w:val="3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meeting of Holders of Securities of any series duly called pursuant to Section 1502 at which a quorum is present may be adjourned from time to time by Persons entitled to vote a majority in principal amount of the Outstanding Securities of such series represented at the meeting, and the meeting may be held as so adjourned without further notice.</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Section 1506. Counting Votes and Recording Action of Meetings.</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879" w:firstLine="930"/>
        <w:spacing w:after="0" w:line="236" w:lineRule="auto"/>
        <w:rPr>
          <w:sz w:val="20"/>
          <w:szCs w:val="20"/>
          <w:color w:val="auto"/>
        </w:rPr>
      </w:pPr>
      <w:r>
        <w:rPr>
          <w:rFonts w:ascii="Courier New" w:cs="Courier New" w:eastAsia="Courier New" w:hAnsi="Courier New"/>
          <w:sz w:val="16"/>
          <w:szCs w:val="16"/>
          <w:color w:val="auto"/>
        </w:rPr>
        <w:t>The vote upon any resolution submitted to any meeting of Holders of Securities of any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Securities of any series shall be prepared by the secretary of the meeting and there shall be attached to said record the original reports of the inspectors of votes on any vote by ballot taken thereat and affidavits by one or more persons having knowledge of the fact, setting forth a copy of the notice of the meeting and showing that said notice was given as provided in Subsection 1502(a) and, if applicable, Section 1504. Each copy shall be signed and verified by the affidavits of the permanent chairman and secretary of the meeting and one such copy shall be delivered to the Company and another to the Trustee to be preserved by the Trustee, the former to have attached thereto the ballots voted at the meeting. Any record so signed and verified shall be conclusive evidence of the matters therein stated.</w:t>
      </w:r>
    </w:p>
    <w:p>
      <w:pPr>
        <w:spacing w:after="0" w:line="187"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ARTICLE SIXTEEN</w:t>
      </w:r>
    </w:p>
    <w:p>
      <w:pPr>
        <w:ind w:left="2500"/>
        <w:spacing w:after="0" w:line="236" w:lineRule="auto"/>
        <w:rPr>
          <w:sz w:val="20"/>
          <w:szCs w:val="20"/>
          <w:color w:val="auto"/>
        </w:rPr>
      </w:pPr>
      <w:r>
        <w:rPr>
          <w:rFonts w:ascii="Courier New" w:cs="Courier New" w:eastAsia="Courier New" w:hAnsi="Courier New"/>
          <w:sz w:val="16"/>
          <w:szCs w:val="16"/>
          <w:color w:val="auto"/>
        </w:rPr>
        <w:t>SUBORDINATION OF SECURITIES</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Section 1601. Agreement to Subordinate.</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930"/>
        <w:spacing w:after="0" w:line="236" w:lineRule="auto"/>
        <w:rPr>
          <w:sz w:val="20"/>
          <w:szCs w:val="20"/>
          <w:color w:val="auto"/>
        </w:rPr>
      </w:pPr>
      <w:r>
        <w:rPr>
          <w:rFonts w:ascii="Courier New" w:cs="Courier New" w:eastAsia="Courier New" w:hAnsi="Courier New"/>
          <w:sz w:val="16"/>
          <w:szCs w:val="16"/>
          <w:color w:val="auto"/>
        </w:rPr>
        <w:t>Except as otherwise specified pursuant to Section 301, the Company, for itself, its successors and assigns, covenants and agrees, and each Holder of Securities by his acceptance thereof, likewise covenants and agrees, that the payment of the principal of (and premium, if any) and interest, if any, on each and all of the Securities is hereby expressly subordinated, to the extent and in the manner hereinafter set forth, in right of payment to the prior payment in full of all Senior Indebtedness.</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94</w:t>
      </w:r>
    </w:p>
    <w:p>
      <w:pPr>
        <w:sectPr>
          <w:pgSz w:w="11900" w:h="16838" w:orient="portrait"/>
          <w:cols w:equalWidth="0" w:num="1">
            <w:col w:w="10219"/>
          </w:cols>
          <w:pgMar w:left="240" w:top="655" w:right="1440" w:bottom="1440" w:gutter="0" w:footer="0" w:header="0"/>
        </w:sectPr>
      </w:pPr>
    </w:p>
    <w:bookmarkStart w:id="273" w:name="page274"/>
    <w:bookmarkEnd w:id="273"/>
    <w:p>
      <w:pPr>
        <w:spacing w:after="0"/>
        <w:rPr>
          <w:sz w:val="20"/>
          <w:szCs w:val="20"/>
          <w:color w:val="auto"/>
        </w:rPr>
      </w:pPr>
      <w:r>
        <w:rPr>
          <w:rFonts w:ascii="Courier New" w:cs="Courier New" w:eastAsia="Courier New" w:hAnsi="Courier New"/>
          <w:sz w:val="14"/>
          <w:szCs w:val="14"/>
          <w:color w:val="auto"/>
        </w:rPr>
        <w:t>Section 1602. Distribution on Dissolution, Liquidation and Reorganization;</w:t>
      </w:r>
    </w:p>
    <w:p>
      <w:pPr>
        <w:spacing w:after="0" w:line="14"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w:t>
      </w:r>
    </w:p>
    <w:p>
      <w:pPr>
        <w:ind w:left="1300"/>
        <w:spacing w:after="0" w:line="236" w:lineRule="auto"/>
        <w:rPr>
          <w:sz w:val="20"/>
          <w:szCs w:val="20"/>
          <w:color w:val="auto"/>
        </w:rPr>
      </w:pPr>
      <w:r>
        <w:rPr>
          <w:rFonts w:ascii="Courier New" w:cs="Courier New" w:eastAsia="Courier New" w:hAnsi="Courier New"/>
          <w:sz w:val="16"/>
          <w:szCs w:val="16"/>
          <w:color w:val="auto"/>
        </w:rPr>
        <w:t>Subrogation of Securities.</w:t>
      </w:r>
    </w:p>
    <w:p>
      <w:pPr>
        <w:ind w:left="1300"/>
        <w:spacing w:after="0" w:line="237"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360" w:right="2779" w:firstLine="926"/>
        <w:spacing w:after="0" w:line="236" w:lineRule="auto"/>
        <w:tabs>
          <w:tab w:leader="none" w:pos="942" w:val="left"/>
        </w:tabs>
        <w:numPr>
          <w:ilvl w:val="0"/>
          <w:numId w:val="3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specified pursuant to Section 301, upon any distribution of assets of the Company upon any dissolution, winding up, liquidation or reorganization of the Company, whether in bankruptcy, insolvency, reorganization or receivership proceedings or upon an assignment for the benefit of creditors or any other marshalling of the assets and liabilities of the Company or otherwise (subject to the power of a court of competent jurisdiction to make other equitable provision reflecting the rights conferred in this Indenture upon the Senior Indebtedness and the holders thereof with respect to the Securities and the holders thereof by a lawful plan of reorganization under applicable bankruptcy law):</w:t>
      </w:r>
    </w:p>
    <w:p>
      <w:pPr>
        <w:spacing w:after="0" w:line="185" w:lineRule="exact"/>
        <w:rPr>
          <w:rFonts w:ascii="Courier New" w:cs="Courier New" w:eastAsia="Courier New" w:hAnsi="Courier New"/>
          <w:sz w:val="16"/>
          <w:szCs w:val="16"/>
          <w:color w:val="auto"/>
        </w:rPr>
      </w:pPr>
    </w:p>
    <w:p>
      <w:pPr>
        <w:ind w:left="560" w:right="2779" w:firstLine="936"/>
        <w:spacing w:after="0" w:line="276" w:lineRule="auto"/>
        <w:tabs>
          <w:tab w:leader="none" w:pos="1862" w:val="left"/>
        </w:tabs>
        <w:numPr>
          <w:ilvl w:val="1"/>
          <w:numId w:val="3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of all Senior Indebtedness shall be entitled to receive payment in full of the principal thereof (and premium, if any) and interest due thereon before the Holders of the Securities are entitled to receive any payment upon the principal (or premium, if any) or interest, if any, on indebtedness evidenced by the Securities;</w:t>
      </w:r>
    </w:p>
    <w:p>
      <w:pPr>
        <w:spacing w:after="0" w:line="161" w:lineRule="exact"/>
        <w:rPr>
          <w:rFonts w:ascii="Courier New" w:cs="Courier New" w:eastAsia="Courier New" w:hAnsi="Courier New"/>
          <w:sz w:val="14"/>
          <w:szCs w:val="14"/>
          <w:color w:val="auto"/>
        </w:rPr>
      </w:pPr>
    </w:p>
    <w:p>
      <w:pPr>
        <w:ind w:left="560" w:right="2779" w:firstLine="936"/>
        <w:spacing w:after="0" w:line="272" w:lineRule="auto"/>
        <w:tabs>
          <w:tab w:leader="none" w:pos="1862" w:val="left"/>
        </w:tabs>
        <w:numPr>
          <w:ilvl w:val="1"/>
          <w:numId w:val="3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payment or distribution of assets of the Company of any kind or character, whether in cash, property or securities, to which the Holders of the Securities or the Trustee would be entitled except for the provisions of this Article Sixteen shall be paid by the liquidating trustee or agent or other person making such payment or distribution, whether a trustee in bankruptcy, a receiver or liquidating trustee or otherwise, directly to the holders of Senior Indebtedness or their representative or representatives or to the trustee or trustees under any indenture under which any instruments evidencing any of such Senior Indebtedness may have been issued, ratably according to the aggregate amounts remaining unpaid on account of the principal of (and premium, if any) and interest on the Senior Indebtedness held or represented by each, to the extent necessary to make payment in full of all Senior Indebtedness remaining unpaid, after giving effect to any concurrent payment or distribution to the holders of such Senior Indebtedness; and</w:t>
      </w:r>
    </w:p>
    <w:p>
      <w:pPr>
        <w:spacing w:after="0" w:line="345" w:lineRule="exact"/>
        <w:rPr>
          <w:rFonts w:ascii="Courier New" w:cs="Courier New" w:eastAsia="Courier New" w:hAnsi="Courier New"/>
          <w:sz w:val="14"/>
          <w:szCs w:val="14"/>
          <w:color w:val="auto"/>
        </w:rPr>
      </w:pPr>
    </w:p>
    <w:p>
      <w:pPr>
        <w:ind w:left="560" w:right="2779" w:firstLine="936"/>
        <w:spacing w:after="0" w:line="273" w:lineRule="auto"/>
        <w:tabs>
          <w:tab w:leader="none" w:pos="1862" w:val="left"/>
        </w:tabs>
        <w:numPr>
          <w:ilvl w:val="1"/>
          <w:numId w:val="3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notwithstanding the foregoing, any payment or distribution of assets of the Company of any kind or character, whether in cash, property or securities, shall be received by the Trustee or the Holders of the Securities before all Senior Indebtedness is paid in full, such payment or distribution shall be paid over, upon written notice to the Trustee, to the holder of such Senior Indebtedness or their representative or representatives or to the trustee or trustees under any indenture under which any instrument evidencing any of such Senior Indebtedness may have been issued, ratably as aforesaid, for application to payment of all Senior Indebtedness remaining unpaid until all such Senior Indebtedness shall have been paid in full, after giving effect to any concurrent payment or distribution to the holders of such Senior Indebtedness.</w:t>
      </w:r>
    </w:p>
    <w:p>
      <w:pPr>
        <w:spacing w:after="0" w:line="200" w:lineRule="exact"/>
        <w:rPr>
          <w:sz w:val="20"/>
          <w:szCs w:val="20"/>
          <w:color w:val="auto"/>
        </w:rPr>
      </w:pPr>
    </w:p>
    <w:p>
      <w:pPr>
        <w:spacing w:after="0" w:line="312"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95</w:t>
      </w:r>
    </w:p>
    <w:p>
      <w:pPr>
        <w:sectPr>
          <w:pgSz w:w="11900" w:h="16838" w:orient="portrait"/>
          <w:cols w:equalWidth="0" w:num="1">
            <w:col w:w="9859"/>
          </w:cols>
          <w:pgMar w:left="600" w:top="655" w:right="1440" w:bottom="1440" w:gutter="0" w:footer="0" w:header="0"/>
        </w:sectPr>
      </w:pPr>
    </w:p>
    <w:bookmarkStart w:id="274" w:name="page275"/>
    <w:bookmarkEnd w:id="274"/>
    <w:p>
      <w:pPr>
        <w:ind w:left="-360" w:right="2779" w:firstLine="926"/>
        <w:spacing w:after="0" w:line="271" w:lineRule="auto"/>
        <w:tabs>
          <w:tab w:leader="none" w:pos="942" w:val="left"/>
        </w:tabs>
        <w:numPr>
          <w:ilvl w:val="0"/>
          <w:numId w:val="3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payment in full of all Senior Indebtedness, the Holders of the Securities shall be subrogated to the rights of the holders of Senior Indebtedness to receive payments or distributions of cash, property or securities of the Company applicable to Senior Indebtedness until the principal of (and premium, if any) and interest, if any, on the Securities shall be paid in full and no such payments or distributions to the Holders of the Securities of cash, property or securities otherwise distributable to the holders of Senior Indebtedness shall, as between the Company, its creditors other than the holders of Senior Indebtedness, and the Holders of the Securities be deemed to be a payment by the Company to or on account of the Securities. It is understood that the provisions of this Article Sixteen are and are intended solely for the purpose of defining the relative rights of the Holders of the Securities, on the one hand, and the holders of the Senior Indebtedness, on the other hand. Nothing contained in this Article Sixteen or elsewhere in this Indenture or in the Securities is intended to or shall impair, as between the Company, its creditors other than the holders of Senior Indebtedness, and the Holders of the Securities, the obligation of the Company, which is unconditional and absolute, to pay to the Holders of the Securities the principal of (and premium, if any) and interest, if any, on the Securities as and when the same shall become due and payable in accordance with their terms, or to affect the relative rights of the Holders of the Securities and creditors of the Company other than the holders of Senior Indebtedness, nor shall anything herein or in the Securities prevent the Trustee or the Holder of any Security from exercising all remedies otherwise permitted by applicable law upon default under this Indenture, subject to the rights, if any, under this Article Sixteen of the holders of Senior Indebtedness in respect of cash, property or securities of the Company received upon the exercise of any such remedy. Upon any payment or distribution of assets of the Company referred to in this Article Sixteen, the Trustee, subject to the provisions of Section 601, shall be entitled to rely upon a certificate of the liquidating trustee or agent or other person making any distribution to the Trustee for the purpose of ascertaining the Persons entitled to participate in such distribution, the holders of Senior Indebtedness and other indebtedness of the Company, the amount thereof or payable thereon, the amount or amounts paid or distributed thereon and all other facts pertinent thereto or to this Article Sixteen.</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309" w:lineRule="exact"/>
        <w:rPr>
          <w:rFonts w:ascii="Courier New" w:cs="Courier New" w:eastAsia="Courier New" w:hAnsi="Courier New"/>
          <w:sz w:val="14"/>
          <w:szCs w:val="14"/>
          <w:color w:val="auto"/>
        </w:rPr>
      </w:pPr>
    </w:p>
    <w:p>
      <w:pPr>
        <w:ind w:left="-360" w:right="2779" w:firstLine="926"/>
        <w:spacing w:after="0" w:line="235" w:lineRule="auto"/>
        <w:tabs>
          <w:tab w:leader="none" w:pos="942" w:val="left"/>
        </w:tabs>
        <w:numPr>
          <w:ilvl w:val="0"/>
          <w:numId w:val="3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however, shall not be deemed to owe any fiduciary duty to the holders of Senior Indebtedness. The Trustee shall not be liable to any such holder if it shall pay over or distribute to or on behalf of Holders of Securities or the Company moneys or assets to which any holder of Senior Indebtedness shall be entitled by virtue of this Article Sixteen.</w:t>
      </w:r>
    </w:p>
    <w:p>
      <w:pPr>
        <w:spacing w:after="0" w:line="185" w:lineRule="exact"/>
        <w:rPr>
          <w:rFonts w:ascii="Courier New" w:cs="Courier New" w:eastAsia="Courier New" w:hAnsi="Courier New"/>
          <w:sz w:val="16"/>
          <w:szCs w:val="16"/>
          <w:color w:val="auto"/>
        </w:rPr>
      </w:pPr>
    </w:p>
    <w:p>
      <w:pPr>
        <w:ind w:left="-360" w:right="2779" w:firstLine="926"/>
        <w:spacing w:after="0" w:line="236" w:lineRule="auto"/>
        <w:tabs>
          <w:tab w:leader="none" w:pos="942" w:val="left"/>
        </w:tabs>
        <w:numPr>
          <w:ilvl w:val="0"/>
          <w:numId w:val="3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Trustee or any Holder of Securities does not file a proper claim or proof of debt in the form required in any proceeding referred to above prior to 30 days before the expiration of the time to file such claim in such proceeding, then the holder of any Senior Indebtedness is hereby authorized, and has the right, to file an appropriate claim or claims for or on behalf of such Holder of Securities.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1603. No Payment on Securities in Certain Circumstances.</w:t>
      </w:r>
    </w:p>
    <w:p>
      <w:pPr>
        <w:ind w:left="130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jc w:val="center"/>
        <w:ind w:left="3260" w:right="3899" w:hanging="2694"/>
        <w:spacing w:after="0" w:line="702" w:lineRule="auto"/>
        <w:tabs>
          <w:tab w:leader="none" w:pos="934" w:val="left"/>
        </w:tabs>
        <w:numPr>
          <w:ilvl w:val="0"/>
          <w:numId w:val="3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specified pursuant to Section 301, 96</w:t>
      </w:r>
    </w:p>
    <w:p>
      <w:pPr>
        <w:sectPr>
          <w:pgSz w:w="11900" w:h="16838" w:orient="portrait"/>
          <w:cols w:equalWidth="0" w:num="1">
            <w:col w:w="9859"/>
          </w:cols>
          <w:pgMar w:left="600" w:top="655" w:right="1440" w:bottom="1440" w:gutter="0" w:footer="0" w:header="0"/>
        </w:sectPr>
      </w:pPr>
    </w:p>
    <w:bookmarkStart w:id="275" w:name="page276"/>
    <w:bookmarkEnd w:id="275"/>
    <w:p>
      <w:pPr>
        <w:ind w:left="-280" w:right="2779" w:firstLine="936"/>
        <w:spacing w:after="0" w:line="236" w:lineRule="auto"/>
        <w:tabs>
          <w:tab w:leader="none" w:pos="1022" w:val="left"/>
        </w:tabs>
        <w:numPr>
          <w:ilvl w:val="0"/>
          <w:numId w:val="3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maturity of any Senior Indebtedness by lapse of time, acceleration (unless waived, rescinded or annulled) or otherwise, or upon any payment default (with or without the giving of notice or lapse of time or both, in accordance with the terms of the instrument governing such Senior Indebtedness, and without any waiver or forgiveness) with respect to any Senior Indebtedness, all amounts payable thereon shall first be paid in full, or such Senior Indebtedness, before any payment is made, directly or indirectly by set off or otherwise, on account of principal of, or interest on, the Securities of such series or to acquire any of the Securities of such series or on account of the redemption provisions of the Securities of such series.</w:t>
      </w:r>
    </w:p>
    <w:p>
      <w:pPr>
        <w:spacing w:after="0" w:line="186" w:lineRule="exact"/>
        <w:rPr>
          <w:rFonts w:ascii="Courier New" w:cs="Courier New" w:eastAsia="Courier New" w:hAnsi="Courier New"/>
          <w:sz w:val="16"/>
          <w:szCs w:val="16"/>
          <w:color w:val="auto"/>
        </w:rPr>
      </w:pPr>
    </w:p>
    <w:p>
      <w:pPr>
        <w:ind w:left="-280" w:right="2779" w:firstLine="936"/>
        <w:spacing w:after="0" w:line="272" w:lineRule="auto"/>
        <w:tabs>
          <w:tab w:leader="none" w:pos="1022" w:val="left"/>
        </w:tabs>
        <w:numPr>
          <w:ilvl w:val="0"/>
          <w:numId w:val="3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a default with respect to any Senior Indebtedness (other than under circumstances when the terms of clause (1) of this Section are applicable), as such default is defined therein or in the instrument under which it is outstanding, permitting the holders to accelerate the maturity thereof, upon written notice thereof given to the Company and the Trustee by or on behalf of holders of such Senior Indebtedness ("Default Notice"), then, unless and until such default shall have been cured or waived by the holders of such Senior Indebtedness or shall have ceased to exist, no direct or indirect payment shall be made by the Company with respect to the principal of, or interest on, the Securities of such series and the coupons, if any, appertaining thereto or to acquire any of such Securities or on account of the redemption provisions of the Securities of such series and the coupons, if any, appertaining thereto; provided, that this clause (2) shall not prevent the making of any payment (which is not otherwise prohibited by clause (1) of this Section) for more than 179 days after the Default Notice shall have been given unless the Senior Indebtedness in respect of which such event of default exists has been declared due and payable in its entirety, in which case no such payment may be made until such acceleration has been rescinded or annulled or such Senior Indebtedness has been paid in full.</w:t>
      </w:r>
    </w:p>
    <w:p>
      <w:pPr>
        <w:spacing w:after="0" w:line="200" w:lineRule="exact"/>
        <w:rPr>
          <w:rFonts w:ascii="Courier New" w:cs="Courier New" w:eastAsia="Courier New" w:hAnsi="Courier New"/>
          <w:sz w:val="14"/>
          <w:szCs w:val="14"/>
          <w:color w:val="auto"/>
        </w:rPr>
      </w:pPr>
    </w:p>
    <w:p>
      <w:pPr>
        <w:spacing w:after="0" w:line="320" w:lineRule="exact"/>
        <w:rPr>
          <w:rFonts w:ascii="Courier New" w:cs="Courier New" w:eastAsia="Courier New" w:hAnsi="Courier New"/>
          <w:sz w:val="14"/>
          <w:szCs w:val="14"/>
          <w:color w:val="auto"/>
        </w:rPr>
      </w:pPr>
    </w:p>
    <w:p>
      <w:pPr>
        <w:ind w:left="-280" w:right="2779" w:firstLine="936"/>
        <w:spacing w:after="0" w:line="272" w:lineRule="auto"/>
        <w:tabs>
          <w:tab w:leader="none" w:pos="1022" w:val="left"/>
        </w:tabs>
        <w:numPr>
          <w:ilvl w:val="0"/>
          <w:numId w:val="3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notwithstanding the foregoing provisions of this Section, any payment on account of principal of, or interest on, the Securities of such series or of any coupon appertaining thereto shall be received by the Trustee, by and Holder or by any Paying Agent (or, if the Company is acting as its own Paying Agent, money for any such payment is segregated and held in trust), then, unless and until such payment is no longer prohibited by this Section, such payment (subject to the provisions of Section 1603) shall be held in trust for the benefit of the holders of Senior Indebtedness and, upon notice to the Trustee or such Paying Agent from the representative of the holders of the Senior Indebtedness and pursuant to the directions of such representative, shall be paid over or delivered to the holders of Senior Indebtedness or their representative(s), ratably according to the aggregate amount remaining unpaid on account of the principal of and interest on the Senior Indebtedness held or represented by each,</w:t>
      </w:r>
    </w:p>
    <w:p>
      <w:pPr>
        <w:spacing w:after="0" w:line="200" w:lineRule="exact"/>
        <w:rPr>
          <w:sz w:val="20"/>
          <w:szCs w:val="20"/>
          <w:color w:val="auto"/>
        </w:rPr>
      </w:pPr>
    </w:p>
    <w:p>
      <w:pPr>
        <w:spacing w:after="0" w:line="319"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97</w:t>
      </w:r>
    </w:p>
    <w:p>
      <w:pPr>
        <w:sectPr>
          <w:pgSz w:w="11900" w:h="16838" w:orient="portrait"/>
          <w:cols w:equalWidth="0" w:num="1">
            <w:col w:w="9019"/>
          </w:cols>
          <w:pgMar w:left="1440" w:top="655" w:right="1440" w:bottom="1440" w:gutter="0" w:footer="0" w:header="0"/>
        </w:sectPr>
      </w:pPr>
    </w:p>
    <w:bookmarkStart w:id="276" w:name="page277"/>
    <w:bookmarkEnd w:id="276"/>
    <w:p>
      <w:pPr>
        <w:ind w:left="920" w:right="2779"/>
        <w:spacing w:after="0" w:line="271" w:lineRule="auto"/>
        <w:rPr>
          <w:sz w:val="20"/>
          <w:szCs w:val="20"/>
          <w:color w:val="auto"/>
        </w:rPr>
      </w:pPr>
      <w:r>
        <w:rPr>
          <w:rFonts w:ascii="Courier New" w:cs="Courier New" w:eastAsia="Courier New" w:hAnsi="Courier New"/>
          <w:sz w:val="14"/>
          <w:szCs w:val="14"/>
          <w:color w:val="auto"/>
        </w:rPr>
        <w:t>for application to the payment or prepayment of all Senior Indebtedness remaining unpaid to the extent necessary to pay all Senior Indebtedness in full in accordance with its terms, after giving effect to any concurrent payment or distribution or provision therefor to or for the holders of Senior Indebtedness. Promptly after becoming aware thereof, the Company shall give written notice to the Trustee of any event prohibiting payments on account of principal of, or interest on, the Securities of any series and any coupons appertaining thereto and, in such event, shall provide to the Trustee, in the form of an Officers' Certificate, the names and addresses of the holders of such Senior Indebtedness and their representative(s), if any, the amount of the Senior Indebtedness held by each such holder, any information necessary to calculate the daily or other increase in Senior Indebtedness held by such holders and any other information which the Trustee may reasonably request to comply with this Article. Subject to the provisions of Section 1602 hereof, in the event that the Trustee or the Paying Agent reasonably determines that additional evidence is required with respect to any person as a holder of Senior Indebtedness to participate in any payment or distribution pursuant to this Article, the Trustee or the Paying Agent, as the case may be, may request that such person furnish evidence to its reasonable as to the extent such person is entitled to participate in such payment or distribution and as to other facts pertinent to the rights of such persons under this Article and if such evidence is not furnished, the Trustee or the Paying Agent, as the case may be, may defer any payment to such person pending judicial determination as to the right of such person to receive such payment.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Section 1604. Payments on Securities Permitted.</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(a) Nothing contained in this Indenture or in any of the Securities</w:t>
      </w:r>
    </w:p>
    <w:p>
      <w:pPr>
        <w:spacing w:after="0" w:line="236" w:lineRule="auto"/>
        <w:rPr>
          <w:sz w:val="20"/>
          <w:szCs w:val="20"/>
          <w:color w:val="auto"/>
        </w:rPr>
      </w:pPr>
      <w:r>
        <w:rPr>
          <w:rFonts w:ascii="Courier New" w:cs="Courier New" w:eastAsia="Courier New" w:hAnsi="Courier New"/>
          <w:sz w:val="16"/>
          <w:szCs w:val="16"/>
          <w:color w:val="auto"/>
        </w:rPr>
        <w:t>shall,</w:t>
      </w:r>
    </w:p>
    <w:p>
      <w:pPr>
        <w:spacing w:after="0" w:line="183" w:lineRule="exact"/>
        <w:rPr>
          <w:sz w:val="20"/>
          <w:szCs w:val="20"/>
          <w:color w:val="auto"/>
        </w:rPr>
      </w:pPr>
    </w:p>
    <w:p>
      <w:pPr>
        <w:ind w:left="920" w:right="2779" w:firstLine="936"/>
        <w:spacing w:after="0" w:line="235" w:lineRule="auto"/>
        <w:tabs>
          <w:tab w:leader="none" w:pos="2222" w:val="left"/>
        </w:tabs>
        <w:numPr>
          <w:ilvl w:val="0"/>
          <w:numId w:val="3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affect the obligation of the Company to make, or prevent the Company from making, at any time except as provided in Sections 1602 and 1603, payments of principal of (or premium, if any) or interest, if any, on the Securities, or</w:t>
      </w:r>
    </w:p>
    <w:p>
      <w:pPr>
        <w:spacing w:after="0" w:line="184" w:lineRule="exact"/>
        <w:rPr>
          <w:rFonts w:ascii="Courier New" w:cs="Courier New" w:eastAsia="Courier New" w:hAnsi="Courier New"/>
          <w:sz w:val="16"/>
          <w:szCs w:val="16"/>
          <w:color w:val="auto"/>
        </w:rPr>
      </w:pPr>
    </w:p>
    <w:p>
      <w:pPr>
        <w:ind w:left="920" w:right="2959" w:firstLine="936"/>
        <w:spacing w:after="0" w:line="236" w:lineRule="auto"/>
        <w:tabs>
          <w:tab w:leader="none" w:pos="2222" w:val="left"/>
        </w:tabs>
        <w:numPr>
          <w:ilvl w:val="0"/>
          <w:numId w:val="3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prevent the application by the Trustee of any moneys deposited with it hereunder to the payment of or on account of the principal of (or premium, if any) or interest, if any, on the Securities, unless the Trustee shall have received at its Corporate Trust Office written notice of any event prohibiting the making of such payment more than two Business Days prior to the date fixed for such payment.</w:t>
      </w:r>
    </w:p>
    <w:p>
      <w:pPr>
        <w:spacing w:after="0" w:line="18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Section 1605. Authorization of Holders to Trustee to Effect Subordination.</w:t>
      </w:r>
    </w:p>
    <w:p>
      <w:pPr>
        <w:spacing w:after="0" w:line="14"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3159" w:firstLine="930"/>
        <w:spacing w:after="0" w:line="295" w:lineRule="auto"/>
        <w:rPr>
          <w:sz w:val="20"/>
          <w:szCs w:val="20"/>
          <w:color w:val="auto"/>
        </w:rPr>
      </w:pPr>
      <w:r>
        <w:rPr>
          <w:rFonts w:ascii="Courier New" w:cs="Courier New" w:eastAsia="Courier New" w:hAnsi="Courier New"/>
          <w:sz w:val="14"/>
          <w:szCs w:val="14"/>
          <w:color w:val="auto"/>
        </w:rPr>
        <w:t>Each Holder of Securities by his acceptance thereof authorizes and directs the Trustee on his behalf to take such action as may be necessary or</w:t>
      </w:r>
    </w:p>
    <w:p>
      <w:pPr>
        <w:spacing w:after="0" w:line="32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98</w:t>
      </w:r>
    </w:p>
    <w:p>
      <w:pPr>
        <w:sectPr>
          <w:pgSz w:w="11900" w:h="16838" w:orient="portrait"/>
          <w:cols w:equalWidth="0" w:num="1">
            <w:col w:w="10219"/>
          </w:cols>
          <w:pgMar w:left="240" w:top="654" w:right="1440" w:bottom="1440" w:gutter="0" w:footer="0" w:header="0"/>
        </w:sectPr>
      </w:pPr>
    </w:p>
    <w:bookmarkStart w:id="277" w:name="page278"/>
    <w:bookmarkEnd w:id="277"/>
    <w:p>
      <w:pPr>
        <w:ind w:right="2879"/>
        <w:spacing w:after="0" w:line="295" w:lineRule="auto"/>
        <w:rPr>
          <w:sz w:val="20"/>
          <w:szCs w:val="20"/>
          <w:color w:val="auto"/>
        </w:rPr>
      </w:pPr>
      <w:r>
        <w:rPr>
          <w:rFonts w:ascii="Courier New" w:cs="Courier New" w:eastAsia="Courier New" w:hAnsi="Courier New"/>
          <w:sz w:val="14"/>
          <w:szCs w:val="14"/>
          <w:color w:val="auto"/>
        </w:rPr>
        <w:t>appropriate to effectuate the subordination as provided in this Article Sixteen and appoints the Trustee his attorney-in-fact for any and all such purposes.</w:t>
      </w:r>
    </w:p>
    <w:p>
      <w:pPr>
        <w:spacing w:after="0" w:line="141"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Section 1606. Notices to Trustee.</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930"/>
        <w:spacing w:after="0" w:line="271" w:lineRule="auto"/>
        <w:rPr>
          <w:sz w:val="20"/>
          <w:szCs w:val="20"/>
          <w:color w:val="auto"/>
        </w:rPr>
      </w:pPr>
      <w:r>
        <w:rPr>
          <w:rFonts w:ascii="Courier New" w:cs="Courier New" w:eastAsia="Courier New" w:hAnsi="Courier New"/>
          <w:sz w:val="14"/>
          <w:szCs w:val="14"/>
          <w:color w:val="auto"/>
        </w:rPr>
        <w:t>Notwithstanding the provisions of this Article Sixteen or any other provisions of this Indenture, neither the Trustee nor any Paying Agent (other than the Company) shall be charged with knowledge of the existence of any Senior Indebtedness or of any event which would prohibit the making of any payment of moneys to or by the Trustee or such Paying Agent, unless and until the Trustee or such Paying Agent shall have received (in the case of the Trustee, at its Corporate Trust Office) written notice thereof from the Company or from the holder of any Senior Indebtedness or from the trustee for any such holder, together with proof satisfactory to the Trustee of such holding of Senior Indebtedness or of the authority of such trustee; provided, that if at least two Business Days prior to the date upon which by the terms hereof any such moneys may become payable for any purpose (including, without limitation, the payment of either the principal (or premium, if any) or interest, if any, on any Security) the Trustee shall not have received with respect to such moneys the notice provided for in this Section 1606, then, anything herein contained to the contrary notwithstanding, the Trustee shall have full power and authority to receive such moneys and to apply the same to the purpose for which they were received, and shall not be affected by any notice to the contrary, which may be received by it within two Business Days prior to such date. The Trustee shall be entitled to rely on the delivery to it of a written notice by a Person representing himself to be a holder of Senior Indebtedness (or a trustee on behalf of such holder) to establish that such a notice has been given by a holder of Senior Indebtedness or a trustee on behalf of any such holder. In the event that the Trustee determines in good faith that further evidence is required with respect to the right of any Person as a holder of Senior Indebtedness to participate in any payment or distribution pursuant to this Article Sixteen, the Trustee may request such Person to furnish evidence to the reasonable satisfaction of the Trustee as to the amount of Senior Indebtedness held by such Person, the extent to which such Person is entitled to participate in such payment or distribution and any other facts pertinent to the rights of such Person under this Article Sixteen and, if such evidence is not furnished, the Trustee may defer any payment to such Person pending judicial determination as to the right of such Person to receive such payment.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Section 1607. Trustee as Holder of Senior Indebtedness.</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959" w:firstLine="926"/>
        <w:spacing w:after="0" w:line="276" w:lineRule="auto"/>
        <w:tabs>
          <w:tab w:leader="none" w:pos="1302" w:val="left"/>
        </w:tabs>
        <w:numPr>
          <w:ilvl w:val="0"/>
          <w:numId w:val="3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in its individual capacity shall be entitled to all the rights set forth in this Article Sixteen in respect of any Senior Indebtedness at any time held by it to the same extent as any other holder of Senior Indebtedness and nothing in Section 613 or elsewhere in this Indenture shall be construed to deprive the Trustee of any of its rights as such holder.</w:t>
      </w:r>
    </w:p>
    <w:p>
      <w:pPr>
        <w:spacing w:after="0" w:line="161" w:lineRule="exact"/>
        <w:rPr>
          <w:rFonts w:ascii="Courier New" w:cs="Courier New" w:eastAsia="Courier New" w:hAnsi="Courier New"/>
          <w:sz w:val="14"/>
          <w:szCs w:val="14"/>
          <w:color w:val="auto"/>
        </w:rPr>
      </w:pPr>
    </w:p>
    <w:p>
      <w:pPr>
        <w:ind w:right="3339" w:firstLine="926"/>
        <w:spacing w:after="0" w:line="234" w:lineRule="auto"/>
        <w:tabs>
          <w:tab w:leader="none" w:pos="1302" w:val="left"/>
        </w:tabs>
        <w:numPr>
          <w:ilvl w:val="0"/>
          <w:numId w:val="3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Nothing in this Article Sixteen shall apply to claims of, or payments to, the Trustee under or pursuant to Section 606.</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99</w:t>
      </w:r>
    </w:p>
    <w:p>
      <w:pPr>
        <w:sectPr>
          <w:pgSz w:w="11900" w:h="16838" w:orient="portrait"/>
          <w:cols w:equalWidth="0" w:num="1">
            <w:col w:w="10219"/>
          </w:cols>
          <w:pgMar w:left="240" w:top="654" w:right="1440" w:bottom="1440" w:gutter="0" w:footer="0" w:header="0"/>
        </w:sectPr>
      </w:pPr>
    </w:p>
    <w:bookmarkStart w:id="278" w:name="page279"/>
    <w:bookmarkEnd w:id="278"/>
    <w:p>
      <w:pPr>
        <w:ind w:left="360"/>
        <w:spacing w:after="0"/>
        <w:rPr>
          <w:sz w:val="20"/>
          <w:szCs w:val="20"/>
          <w:color w:val="auto"/>
        </w:rPr>
      </w:pPr>
      <w:r>
        <w:rPr>
          <w:rFonts w:ascii="Courier New" w:cs="Courier New" w:eastAsia="Courier New" w:hAnsi="Courier New"/>
          <w:sz w:val="16"/>
          <w:szCs w:val="16"/>
          <w:color w:val="auto"/>
        </w:rPr>
        <w:t>Section 1608. Modifications of Terms of Senior Indebtedness.</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930"/>
        <w:spacing w:after="0" w:line="236" w:lineRule="auto"/>
        <w:rPr>
          <w:sz w:val="20"/>
          <w:szCs w:val="20"/>
          <w:color w:val="auto"/>
        </w:rPr>
      </w:pPr>
      <w:r>
        <w:rPr>
          <w:rFonts w:ascii="Courier New" w:cs="Courier New" w:eastAsia="Courier New" w:hAnsi="Courier New"/>
          <w:sz w:val="16"/>
          <w:szCs w:val="16"/>
          <w:color w:val="auto"/>
        </w:rPr>
        <w:t>Any renewal or extension of the time of payment of any Senior Indebtedness or the exercise by the holders of Senior Indebtedness of any of their rights under any instrument creating or evidencing Senior Indebtedness, including, without limitation, the waiver of default thereunder, may be made or done all without notice to or assent from the Holders of the Securities or the Trustee. No compromise, alteration, amendment, modification, extension, renewal or other change of, or waiver, consent or other action in respect of, any liability or obligation under or in respect of, or of any of the terms, covenants or conditions of any indenture or other instrument under which any Senior Indebtedness is outstanding or of such Senior Indebtedness, whether or not such release is in accordance with the provisions of any applicable document, shall in any way alter or affect any of the provisions of this Article Sixteen or of the Securities relating to the subordination thereof.</w:t>
      </w:r>
    </w:p>
    <w:p>
      <w:pPr>
        <w:spacing w:after="0" w:line="181"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Section 1609. Reliance on Judicial Order or Certificate of Liquidating</w:t>
      </w:r>
    </w:p>
    <w:p>
      <w:pPr>
        <w:ind w:left="1660"/>
        <w:spacing w:after="0" w:line="236" w:lineRule="auto"/>
        <w:rPr>
          <w:sz w:val="20"/>
          <w:szCs w:val="20"/>
          <w:color w:val="auto"/>
        </w:rPr>
      </w:pPr>
      <w:r>
        <w:rPr>
          <w:rFonts w:ascii="Courier New" w:cs="Courier New" w:eastAsia="Courier New" w:hAnsi="Courier New"/>
          <w:sz w:val="16"/>
          <w:szCs w:val="16"/>
          <w:color w:val="auto"/>
        </w:rPr>
        <w:t>--------------------------------------------------------</w:t>
      </w:r>
    </w:p>
    <w:p>
      <w:pPr>
        <w:ind w:left="1660"/>
        <w:spacing w:after="0" w:line="237" w:lineRule="auto"/>
        <w:rPr>
          <w:sz w:val="20"/>
          <w:szCs w:val="20"/>
          <w:color w:val="auto"/>
        </w:rPr>
      </w:pPr>
      <w:r>
        <w:rPr>
          <w:rFonts w:ascii="Courier New" w:cs="Courier New" w:eastAsia="Courier New" w:hAnsi="Courier New"/>
          <w:sz w:val="16"/>
          <w:szCs w:val="16"/>
          <w:color w:val="auto"/>
        </w:rPr>
        <w:t>Agent.</w:t>
      </w:r>
    </w:p>
    <w:p>
      <w:pPr>
        <w:ind w:left="1660"/>
        <w:spacing w:after="0" w:line="237"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879" w:firstLine="930"/>
        <w:spacing w:after="0" w:line="273" w:lineRule="auto"/>
        <w:rPr>
          <w:sz w:val="20"/>
          <w:szCs w:val="20"/>
          <w:color w:val="auto"/>
        </w:rPr>
      </w:pPr>
      <w:r>
        <w:rPr>
          <w:rFonts w:ascii="Courier New" w:cs="Courier New" w:eastAsia="Courier New" w:hAnsi="Courier New"/>
          <w:sz w:val="14"/>
          <w:szCs w:val="14"/>
          <w:color w:val="auto"/>
        </w:rPr>
        <w:t>Upon any payment or distribution of assets of the Company referred to in this Article Sixteen, the Trustee and the Holders of the Securities shall be entitled to rely upon any order or decree entered by any court of competent jurisdiction in which such insolvency, bankruptcy, receivership, liquidation, reorganization, dissolution, winding up or similar case or proceeding is pending, or a certificate of the trustee in bankruptcy, liquidating trustee, custodian, receiver, assignee for the benefit of creditors, agent or other person making such payment or distribution, delivered to the Trustee or to the Holders of Securities, for the purpose of ascertaining the persons entitled to participate in such payment or distribution, the holders of Senior Indebtedness and other indebtedness of the Company, the amount thereof or payable thereon, the amount or amounts paid or distributed thereon and all other facts pertinent thereto or to this Article Sixteen.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100</w:t>
      </w:r>
    </w:p>
    <w:p>
      <w:pPr>
        <w:sectPr>
          <w:pgSz w:w="11900" w:h="16838" w:orient="portrait"/>
          <w:cols w:equalWidth="0" w:num="1">
            <w:col w:w="10219"/>
          </w:cols>
          <w:pgMar w:left="240" w:top="1006" w:right="1440" w:bottom="1440" w:gutter="0" w:footer="0" w:header="0"/>
        </w:sectPr>
      </w:pPr>
    </w:p>
    <w:bookmarkStart w:id="279" w:name="page280"/>
    <w:bookmarkEnd w:id="279"/>
    <w:p>
      <w:pPr>
        <w:ind w:right="2959" w:firstLine="1674"/>
        <w:spacing w:after="0" w:line="283" w:lineRule="auto"/>
        <w:rPr>
          <w:sz w:val="20"/>
          <w:szCs w:val="20"/>
          <w:color w:val="auto"/>
        </w:rPr>
      </w:pPr>
      <w:r>
        <w:rPr>
          <w:rFonts w:ascii="Courier New" w:cs="Courier New" w:eastAsia="Courier New" w:hAnsi="Courier New"/>
          <w:sz w:val="14"/>
          <w:szCs w:val="14"/>
          <w:color w:val="auto"/>
        </w:rPr>
        <w:t>IN WITNESS WHEREOF, the parties hereto have caused this Indenture to be duly executed, and their respective corporate seals to be hereunto affixed and attested, all as of the day and year first above written.</w:t>
      </w:r>
    </w:p>
    <w:p>
      <w:pPr>
        <w:spacing w:after="0" w:line="148"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6"/>
          <w:szCs w:val="16"/>
          <w:color w:val="auto"/>
        </w:rPr>
        <w:t>CLEARONE COMMUNICATIONS, INC.</w:t>
      </w:r>
    </w:p>
    <w:p>
      <w:pPr>
        <w:spacing w:after="0" w:line="35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Name:</w:t>
      </w:r>
    </w:p>
    <w:p>
      <w:pPr>
        <w:ind w:left="4080"/>
        <w:spacing w:after="0" w:line="236" w:lineRule="auto"/>
        <w:rPr>
          <w:sz w:val="20"/>
          <w:szCs w:val="20"/>
          <w:color w:val="auto"/>
        </w:rPr>
      </w:pPr>
      <w:r>
        <w:rPr>
          <w:rFonts w:ascii="Courier New" w:cs="Courier New" w:eastAsia="Courier New" w:hAnsi="Courier New"/>
          <w:sz w:val="16"/>
          <w:szCs w:val="16"/>
          <w:color w:val="auto"/>
        </w:rPr>
        <w:t>Title:</w:t>
      </w:r>
    </w:p>
    <w:p>
      <w:pPr>
        <w:spacing w:after="0" w:line="35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THE BANK OF NEW YORK,</w:t>
      </w:r>
    </w:p>
    <w:p>
      <w:pPr>
        <w:ind w:left="4560"/>
        <w:spacing w:after="0" w:line="236" w:lineRule="auto"/>
        <w:rPr>
          <w:sz w:val="20"/>
          <w:szCs w:val="20"/>
          <w:color w:val="auto"/>
        </w:rPr>
      </w:pPr>
      <w:r>
        <w:rPr>
          <w:rFonts w:ascii="Courier New" w:cs="Courier New" w:eastAsia="Courier New" w:hAnsi="Courier New"/>
          <w:sz w:val="16"/>
          <w:szCs w:val="16"/>
          <w:color w:val="auto"/>
        </w:rPr>
        <w:t>as Trustee</w:t>
      </w:r>
    </w:p>
    <w:p>
      <w:pPr>
        <w:spacing w:after="0" w:line="35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Name:</w:t>
      </w:r>
    </w:p>
    <w:p>
      <w:pPr>
        <w:ind w:left="4080"/>
        <w:spacing w:after="0" w:line="236" w:lineRule="auto"/>
        <w:rPr>
          <w:sz w:val="20"/>
          <w:szCs w:val="20"/>
          <w:color w:val="auto"/>
        </w:rPr>
      </w:pPr>
      <w:r>
        <w:rPr>
          <w:rFonts w:ascii="Courier New" w:cs="Courier New" w:eastAsia="Courier New" w:hAnsi="Courier New"/>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101</w:t>
      </w:r>
    </w:p>
    <w:p>
      <w:pPr>
        <w:sectPr>
          <w:pgSz w:w="11900" w:h="16838" w:orient="portrait"/>
          <w:cols w:equalWidth="0" w:num="1">
            <w:col w:w="10219"/>
          </w:cols>
          <w:pgMar w:left="240" w:top="834" w:right="1440" w:bottom="1440" w:gutter="0" w:footer="0" w:header="0"/>
        </w:sectPr>
      </w:pPr>
    </w:p>
    <w:bookmarkStart w:id="280" w:name="page281"/>
    <w:bookmarkEnd w:id="280"/>
    <w:p>
      <w:pPr>
        <w:jc w:val="center"/>
        <w:ind w:right="3899"/>
        <w:spacing w:after="0"/>
        <w:rPr>
          <w:sz w:val="20"/>
          <w:szCs w:val="20"/>
          <w:color w:val="auto"/>
        </w:rPr>
      </w:pPr>
      <w:r>
        <w:rPr>
          <w:rFonts w:ascii="Courier New" w:cs="Courier New" w:eastAsia="Courier New" w:hAnsi="Courier New"/>
          <w:sz w:val="16"/>
          <w:szCs w:val="16"/>
          <w:color w:val="auto"/>
        </w:rPr>
        <w:t>EXHIBIT A</w:t>
      </w:r>
    </w:p>
    <w:p>
      <w:pPr>
        <w:spacing w:after="0" w:line="183"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FORMS OF CERTIFICATES</w:t>
      </w:r>
    </w:p>
    <w:p>
      <w:pPr>
        <w:sectPr>
          <w:pgSz w:w="11900" w:h="16838" w:orient="portrait"/>
          <w:cols w:equalWidth="0" w:num="1">
            <w:col w:w="9019"/>
          </w:cols>
          <w:pgMar w:left="1440" w:top="648" w:right="1440" w:bottom="1440" w:gutter="0" w:footer="0" w:header="0"/>
        </w:sectPr>
      </w:pPr>
    </w:p>
    <w:bookmarkStart w:id="281" w:name="page282"/>
    <w:bookmarkEnd w:id="281"/>
    <w:p>
      <w:pPr>
        <w:jc w:val="center"/>
        <w:ind w:right="2699"/>
        <w:spacing w:after="0"/>
        <w:rPr>
          <w:sz w:val="20"/>
          <w:szCs w:val="20"/>
          <w:color w:val="auto"/>
        </w:rPr>
      </w:pPr>
      <w:r>
        <w:rPr>
          <w:rFonts w:ascii="Courier New" w:cs="Courier New" w:eastAsia="Courier New" w:hAnsi="Courier New"/>
          <w:sz w:val="16"/>
          <w:szCs w:val="16"/>
          <w:color w:val="auto"/>
        </w:rPr>
        <w:t>EXHIBIT A-1</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FORM OF CERTIFICATE TO BE GIVEN BY PERSON ENTITLED</w:t>
      </w:r>
    </w:p>
    <w:p>
      <w:pPr>
        <w:jc w:val="center"/>
        <w:ind w:right="2779"/>
        <w:spacing w:after="0" w:line="236" w:lineRule="auto"/>
        <w:rPr>
          <w:sz w:val="20"/>
          <w:szCs w:val="20"/>
          <w:color w:val="auto"/>
        </w:rPr>
      </w:pPr>
      <w:r>
        <w:rPr>
          <w:rFonts w:ascii="Courier New" w:cs="Courier New" w:eastAsia="Courier New" w:hAnsi="Courier New"/>
          <w:sz w:val="16"/>
          <w:szCs w:val="16"/>
          <w:color w:val="auto"/>
        </w:rPr>
        <w:t>TO RECEIVE BEARER SECURITY OR TO OBTAIN INTEREST</w:t>
      </w:r>
    </w:p>
    <w:p>
      <w:pPr>
        <w:jc w:val="center"/>
        <w:ind w:right="2779"/>
        <w:spacing w:after="0" w:line="237" w:lineRule="auto"/>
        <w:rPr>
          <w:sz w:val="20"/>
          <w:szCs w:val="20"/>
          <w:color w:val="auto"/>
        </w:rPr>
      </w:pPr>
      <w:r>
        <w:rPr>
          <w:rFonts w:ascii="Courier New" w:cs="Courier New" w:eastAsia="Courier New" w:hAnsi="Courier New"/>
          <w:sz w:val="16"/>
          <w:szCs w:val="16"/>
          <w:color w:val="auto"/>
        </w:rPr>
        <w:t>PAYABLE PRIOR TO THE EXCHANGE DATE</w:t>
      </w:r>
    </w:p>
    <w:p>
      <w:pPr>
        <w:spacing w:after="0" w:line="356"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CERTIFICATE</w:t>
      </w:r>
    </w:p>
    <w:p>
      <w:pPr>
        <w:spacing w:after="0" w:line="355"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[Insert title or sufficient description of Securities to be delivered]</w:t>
      </w:r>
    </w:p>
    <w:p>
      <w:pPr>
        <w:spacing w:after="0" w:line="183" w:lineRule="exact"/>
        <w:rPr>
          <w:sz w:val="20"/>
          <w:szCs w:val="20"/>
          <w:color w:val="auto"/>
        </w:rPr>
      </w:pPr>
    </w:p>
    <w:p>
      <w:pPr>
        <w:ind w:right="2779" w:firstLine="930"/>
        <w:spacing w:after="0" w:line="271" w:lineRule="auto"/>
        <w:rPr>
          <w:sz w:val="20"/>
          <w:szCs w:val="20"/>
          <w:color w:val="auto"/>
        </w:rPr>
      </w:pPr>
      <w:r>
        <w:rPr>
          <w:rFonts w:ascii="Courier New" w:cs="Courier New" w:eastAsia="Courier New" w:hAnsi="Courier New"/>
          <w:sz w:val="14"/>
          <w:szCs w:val="14"/>
          <w:color w:val="auto"/>
        </w:rPr>
        <w:t>This is to certify that, as of the date hereof, and except as set forth below, the above-captioned Securities held by you for our account (i) are owned by person(s) that are not citizens or residents of the United States, domestic partnerships, domestic corporations or any estate the income of which is subject to United States federal income taxation regardless of its source or a trust whose administration is subject to the primary supervision of a United States court and which has one or more United States persons who have the authority to control all of its decisions ("United States person(s)"), (ii) are owned by United States person(s) that are (a) foreign branches of United States financial institutions (financial institutions, as defined in United States Treasury Regulations Section 1.165-12(c)(1)(v) are herein referred to as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 (a) or (b), each such United States financial institution hereby agrees, on its own behalf or through its agent, that you may advise ClearOne Communications, Inc. or its agent that such financial institution will comply with the requirements of Section 165(j)(3)(A), (B) or (C) of the United States Internal Revenue Code of 1986, as amended, and the regulations thereunder), or (iii) are owned by United States or foreign financial institution(s) for purposes of resale during the restricted period (as defined in United States Treasury Regulations Section 1.163-5(c)(2)(i)(D)(7)), and, in addition, if the owner is a United States or foreign financial institution described in clause (iii) above (whether or not also described in clause (i) or (ii)), this is to further certify that such financial institution has not acquired the Securities for purposes of resale directly or indirectly to a United States person or to a person within the United States or its possessions.</w:t>
      </w:r>
    </w:p>
    <w:p>
      <w:pPr>
        <w:spacing w:after="0" w:line="200" w:lineRule="exact"/>
        <w:rPr>
          <w:sz w:val="20"/>
          <w:szCs w:val="20"/>
          <w:color w:val="auto"/>
        </w:rPr>
      </w:pPr>
    </w:p>
    <w:p>
      <w:pPr>
        <w:spacing w:after="0" w:line="332" w:lineRule="exact"/>
        <w:rPr>
          <w:sz w:val="20"/>
          <w:szCs w:val="20"/>
          <w:color w:val="auto"/>
        </w:rPr>
      </w:pPr>
    </w:p>
    <w:p>
      <w:pPr>
        <w:ind w:right="2779" w:firstLine="930"/>
        <w:spacing w:after="0" w:line="235" w:lineRule="auto"/>
        <w:rPr>
          <w:sz w:val="20"/>
          <w:szCs w:val="20"/>
          <w:color w:val="auto"/>
        </w:rPr>
      </w:pPr>
      <w:r>
        <w:rPr>
          <w:rFonts w:ascii="Courier New" w:cs="Courier New" w:eastAsia="Courier New" w:hAnsi="Courier New"/>
          <w:sz w:val="16"/>
          <w:szCs w:val="16"/>
          <w:color w:val="auto"/>
        </w:rPr>
        <w:t>As used herein, "United States" means the United States of America (including the states and the District of Columbia); and its "possessions" include Puerto Rico, the U. S. Virgin Islands, Guam, American Samoa, Wake Island and the Northern Mariana Islands.</w:t>
      </w:r>
    </w:p>
    <w:p>
      <w:pPr>
        <w:spacing w:after="0" w:line="185" w:lineRule="exact"/>
        <w:rPr>
          <w:sz w:val="20"/>
          <w:szCs w:val="20"/>
          <w:color w:val="auto"/>
        </w:rPr>
      </w:pPr>
    </w:p>
    <w:p>
      <w:pPr>
        <w:ind w:right="2779" w:firstLine="930"/>
        <w:spacing w:after="0" w:line="275" w:lineRule="auto"/>
        <w:rPr>
          <w:sz w:val="20"/>
          <w:szCs w:val="20"/>
          <w:color w:val="auto"/>
        </w:rPr>
      </w:pPr>
      <w:r>
        <w:rPr>
          <w:rFonts w:ascii="Courier New" w:cs="Courier New" w:eastAsia="Courier New" w:hAnsi="Courier New"/>
          <w:sz w:val="14"/>
          <w:szCs w:val="14"/>
          <w:color w:val="auto"/>
        </w:rPr>
        <w:t>We undertake to advise you promptly by tested telex on or prior to the date on which you intend to submit your certification relating to the above-captioned Securities held by you for our account in accordance with your Operating Procedures if any applicable statement herein is not correct on such date, and in the absence of any such notification it may be assumed that this certification applies as of such date. This certificate excepts and does not</w:t>
      </w:r>
    </w:p>
    <w:p>
      <w:pPr>
        <w:spacing w:after="0" w:line="335"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102</w:t>
      </w:r>
    </w:p>
    <w:p>
      <w:pPr>
        <w:sectPr>
          <w:pgSz w:w="11900" w:h="16838" w:orient="portrait"/>
          <w:cols w:equalWidth="0" w:num="1">
            <w:col w:w="10219"/>
          </w:cols>
          <w:pgMar w:left="240" w:top="828" w:right="1440" w:bottom="1440" w:gutter="0" w:footer="0" w:header="0"/>
        </w:sectPr>
      </w:pPr>
    </w:p>
    <w:bookmarkStart w:id="282" w:name="page283"/>
    <w:bookmarkEnd w:id="282"/>
    <w:p>
      <w:pPr>
        <w:spacing w:after="0"/>
        <w:rPr>
          <w:sz w:val="20"/>
          <w:szCs w:val="20"/>
          <w:color w:val="auto"/>
        </w:rPr>
      </w:pPr>
      <w:r>
        <w:rPr>
          <w:rFonts w:ascii="Courier New" w:cs="Courier New" w:eastAsia="Courier New" w:hAnsi="Courier New"/>
          <w:sz w:val="16"/>
          <w:szCs w:val="16"/>
          <w:color w:val="auto"/>
        </w:rPr>
        <w:t>relate to [U. S. $]_____________ of such interest in the above-captioned</w:t>
      </w:r>
    </w:p>
    <w:p>
      <w:pPr>
        <w:spacing w:after="0" w:line="4"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Securities in respect of which we are not able to certify and as to which we understand an exchange for an interest in a Permanent Global Security or an exchange for and delivery of definitive Securities (or, if relevant, collection of any interest) cannot be made until we do so certify.</w:t>
      </w:r>
    </w:p>
    <w:p>
      <w:pPr>
        <w:spacing w:after="0" w:line="185" w:lineRule="exact"/>
        <w:rPr>
          <w:sz w:val="20"/>
          <w:szCs w:val="20"/>
          <w:color w:val="auto"/>
        </w:rPr>
      </w:pPr>
    </w:p>
    <w:p>
      <w:pPr>
        <w:ind w:right="2779" w:firstLine="930"/>
        <w:spacing w:after="0" w:line="276" w:lineRule="auto"/>
        <w:rPr>
          <w:sz w:val="20"/>
          <w:szCs w:val="20"/>
          <w:color w:val="auto"/>
        </w:rPr>
      </w:pPr>
      <w:r>
        <w:rPr>
          <w:rFonts w:ascii="Courier New" w:cs="Courier New" w:eastAsia="Courier New" w:hAnsi="Courier New"/>
          <w:sz w:val="14"/>
          <w:szCs w:val="14"/>
          <w:color w:val="auto"/>
        </w:rPr>
        <w:t>We understand that this certificate may be required in connection with certain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________________________</w:t>
      </w:r>
    </w:p>
    <w:p>
      <w:pPr>
        <w:spacing w:after="0" w:line="236" w:lineRule="auto"/>
        <w:rPr>
          <w:sz w:val="20"/>
          <w:szCs w:val="20"/>
          <w:color w:val="auto"/>
        </w:rPr>
      </w:pPr>
      <w:r>
        <w:rPr>
          <w:rFonts w:ascii="Courier New" w:cs="Courier New" w:eastAsia="Courier New" w:hAnsi="Courier New"/>
          <w:sz w:val="16"/>
          <w:szCs w:val="16"/>
          <w:color w:val="auto"/>
        </w:rPr>
        <w:t>[To be dated no earlier than the 15th day prior</w:t>
      </w:r>
    </w:p>
    <w:p>
      <w:pPr>
        <w:spacing w:after="0" w:line="237" w:lineRule="auto"/>
        <w:rPr>
          <w:sz w:val="20"/>
          <w:szCs w:val="20"/>
          <w:color w:val="auto"/>
        </w:rPr>
      </w:pPr>
      <w:r>
        <w:rPr>
          <w:rFonts w:ascii="Courier New" w:cs="Courier New" w:eastAsia="Courier New" w:hAnsi="Courier New"/>
          <w:sz w:val="16"/>
          <w:szCs w:val="16"/>
          <w:color w:val="auto"/>
        </w:rPr>
        <w:t>to (i) the Exchange Date or (ii) the relevant</w:t>
      </w:r>
    </w:p>
    <w:p>
      <w:pPr>
        <w:spacing w:after="0" w:line="237" w:lineRule="auto"/>
        <w:rPr>
          <w:sz w:val="20"/>
          <w:szCs w:val="20"/>
          <w:color w:val="auto"/>
        </w:rPr>
      </w:pPr>
      <w:r>
        <w:rPr>
          <w:rFonts w:ascii="Courier New" w:cs="Courier New" w:eastAsia="Courier New" w:hAnsi="Courier New"/>
          <w:sz w:val="16"/>
          <w:szCs w:val="16"/>
          <w:color w:val="auto"/>
        </w:rPr>
        <w:t>Interest Payment Date occurring prior to the</w:t>
      </w:r>
    </w:p>
    <w:p>
      <w:pPr>
        <w:spacing w:after="0" w:line="237" w:lineRule="auto"/>
        <w:rPr>
          <w:sz w:val="20"/>
          <w:szCs w:val="20"/>
          <w:color w:val="auto"/>
        </w:rPr>
      </w:pPr>
      <w:r>
        <w:rPr>
          <w:rFonts w:ascii="Courier New" w:cs="Courier New" w:eastAsia="Courier New" w:hAnsi="Courier New"/>
          <w:sz w:val="16"/>
          <w:szCs w:val="16"/>
          <w:color w:val="auto"/>
        </w:rPr>
        <w:t>Exchange Date, as applicable]</w:t>
      </w:r>
    </w:p>
    <w:p>
      <w:pPr>
        <w:spacing w:after="0" w:line="237" w:lineRule="auto"/>
        <w:rPr>
          <w:sz w:val="20"/>
          <w:szCs w:val="20"/>
          <w:color w:val="auto"/>
        </w:rPr>
      </w:pPr>
      <w:r>
        <w:rPr>
          <w:rFonts w:ascii="Courier New" w:cs="Courier New" w:eastAsia="Courier New" w:hAnsi="Courier New"/>
          <w:sz w:val="16"/>
          <w:szCs w:val="16"/>
          <w:color w:val="auto"/>
        </w:rPr>
        <w:t>[Name of Person Making Certification]</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w:t>
      </w:r>
    </w:p>
    <w:p>
      <w:pPr>
        <w:ind w:left="4180"/>
        <w:spacing w:after="0" w:line="236" w:lineRule="auto"/>
        <w:rPr>
          <w:sz w:val="20"/>
          <w:szCs w:val="20"/>
          <w:color w:val="auto"/>
        </w:rPr>
      </w:pPr>
      <w:r>
        <w:rPr>
          <w:rFonts w:ascii="Courier New" w:cs="Courier New" w:eastAsia="Courier New" w:hAnsi="Courier New"/>
          <w:sz w:val="16"/>
          <w:szCs w:val="16"/>
          <w:color w:val="auto"/>
        </w:rPr>
        <w:t>(Authorized Signatory)</w:t>
      </w:r>
    </w:p>
    <w:p>
      <w:pPr>
        <w:ind w:left="4180"/>
        <w:spacing w:after="0" w:line="237" w:lineRule="auto"/>
        <w:rPr>
          <w:sz w:val="20"/>
          <w:szCs w:val="20"/>
          <w:color w:val="auto"/>
        </w:rPr>
      </w:pPr>
      <w:r>
        <w:rPr>
          <w:rFonts w:ascii="Courier New" w:cs="Courier New" w:eastAsia="Courier New" w:hAnsi="Courier New"/>
          <w:sz w:val="16"/>
          <w:szCs w:val="16"/>
          <w:color w:val="auto"/>
        </w:rPr>
        <w:t>Name:</w:t>
      </w:r>
    </w:p>
    <w:p>
      <w:pPr>
        <w:ind w:left="4180"/>
        <w:spacing w:after="0" w:line="237" w:lineRule="auto"/>
        <w:rPr>
          <w:sz w:val="20"/>
          <w:szCs w:val="20"/>
          <w:color w:val="auto"/>
        </w:rPr>
      </w:pPr>
      <w:r>
        <w:rPr>
          <w:rFonts w:ascii="Courier New" w:cs="Courier New" w:eastAsia="Courier New" w:hAnsi="Courier New"/>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A-1-2</w:t>
      </w:r>
    </w:p>
    <w:p>
      <w:pPr>
        <w:sectPr>
          <w:pgSz w:w="11900" w:h="16838" w:orient="portrait"/>
          <w:cols w:equalWidth="0" w:num="1">
            <w:col w:w="10219"/>
          </w:cols>
          <w:pgMar w:left="240" w:top="648" w:right="1440" w:bottom="1440" w:gutter="0" w:footer="0" w:header="0"/>
        </w:sectPr>
      </w:pPr>
    </w:p>
    <w:bookmarkStart w:id="283" w:name="page284"/>
    <w:bookmarkEnd w:id="283"/>
    <w:p>
      <w:pPr>
        <w:ind w:left="3265"/>
        <w:spacing w:after="0"/>
        <w:rPr>
          <w:sz w:val="20"/>
          <w:szCs w:val="20"/>
          <w:color w:val="auto"/>
        </w:rPr>
      </w:pPr>
      <w:r>
        <w:rPr>
          <w:rFonts w:ascii="Courier New" w:cs="Courier New" w:eastAsia="Courier New" w:hAnsi="Courier New"/>
          <w:sz w:val="16"/>
          <w:szCs w:val="16"/>
          <w:color w:val="auto"/>
        </w:rPr>
        <w:t>EXHIBIT A-2</w:t>
      </w:r>
    </w:p>
    <w:p>
      <w:pPr>
        <w:spacing w:after="0" w:line="355" w:lineRule="exact"/>
        <w:rPr>
          <w:sz w:val="20"/>
          <w:szCs w:val="20"/>
          <w:color w:val="auto"/>
        </w:rPr>
      </w:pPr>
    </w:p>
    <w:p>
      <w:pPr>
        <w:ind w:left="1485"/>
        <w:spacing w:after="0"/>
        <w:rPr>
          <w:sz w:val="20"/>
          <w:szCs w:val="20"/>
          <w:color w:val="auto"/>
        </w:rPr>
      </w:pPr>
      <w:r>
        <w:rPr>
          <w:rFonts w:ascii="Courier New" w:cs="Courier New" w:eastAsia="Courier New" w:hAnsi="Courier New"/>
          <w:sz w:val="16"/>
          <w:szCs w:val="16"/>
          <w:color w:val="auto"/>
        </w:rPr>
        <w:t>FORM OF CERTIFICATE TO BE GIVEN BY EUROCLEAR AND</w:t>
      </w:r>
    </w:p>
    <w:p>
      <w:pPr>
        <w:ind w:left="1485"/>
        <w:spacing w:after="0" w:line="236" w:lineRule="auto"/>
        <w:rPr>
          <w:sz w:val="20"/>
          <w:szCs w:val="20"/>
          <w:color w:val="auto"/>
        </w:rPr>
      </w:pPr>
      <w:r>
        <w:rPr>
          <w:rFonts w:ascii="Courier New" w:cs="Courier New" w:eastAsia="Courier New" w:hAnsi="Courier New"/>
          <w:sz w:val="16"/>
          <w:szCs w:val="16"/>
          <w:color w:val="auto"/>
        </w:rPr>
        <w:t>CLEARSTREAM BANKING SOCIETE ANONYME IN CONNECTION</w:t>
      </w:r>
    </w:p>
    <w:p>
      <w:pPr>
        <w:ind w:left="1305"/>
        <w:spacing w:after="0" w:line="237" w:lineRule="auto"/>
        <w:rPr>
          <w:sz w:val="20"/>
          <w:szCs w:val="20"/>
          <w:color w:val="auto"/>
        </w:rPr>
      </w:pPr>
      <w:r>
        <w:rPr>
          <w:rFonts w:ascii="Courier New" w:cs="Courier New" w:eastAsia="Courier New" w:hAnsi="Courier New"/>
          <w:sz w:val="16"/>
          <w:szCs w:val="16"/>
          <w:color w:val="auto"/>
        </w:rPr>
        <w:t>WITH THE EXCHANGE OF A PORTION OF A TEMPORARY GLOBAL</w:t>
      </w:r>
    </w:p>
    <w:p>
      <w:pPr>
        <w:ind w:left="745"/>
        <w:spacing w:after="0" w:line="237" w:lineRule="auto"/>
        <w:rPr>
          <w:sz w:val="20"/>
          <w:szCs w:val="20"/>
          <w:color w:val="auto"/>
        </w:rPr>
      </w:pPr>
      <w:r>
        <w:rPr>
          <w:rFonts w:ascii="Courier New" w:cs="Courier New" w:eastAsia="Courier New" w:hAnsi="Courier New"/>
          <w:sz w:val="16"/>
          <w:szCs w:val="16"/>
          <w:color w:val="auto"/>
        </w:rPr>
        <w:t>SECURITY OR TO OBTAIN INTEREST PAYABLE PRIOR TO THE EXCHANGE DATE</w:t>
      </w:r>
    </w:p>
    <w:p>
      <w:pPr>
        <w:spacing w:after="0" w:line="356" w:lineRule="exact"/>
        <w:rPr>
          <w:sz w:val="20"/>
          <w:szCs w:val="20"/>
          <w:color w:val="auto"/>
        </w:rPr>
      </w:pPr>
    </w:p>
    <w:p>
      <w:pPr>
        <w:ind w:left="3265"/>
        <w:spacing w:after="0"/>
        <w:rPr>
          <w:sz w:val="20"/>
          <w:szCs w:val="20"/>
          <w:color w:val="auto"/>
        </w:rPr>
      </w:pPr>
      <w:r>
        <w:rPr>
          <w:rFonts w:ascii="Courier New" w:cs="Courier New" w:eastAsia="Courier New" w:hAnsi="Courier New"/>
          <w:sz w:val="16"/>
          <w:szCs w:val="16"/>
          <w:color w:val="auto"/>
        </w:rPr>
        <w:t>CERTIFICATE</w:t>
      </w:r>
    </w:p>
    <w:p>
      <w:pPr>
        <w:spacing w:after="0" w:line="355"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[Insert title or sufficient description of Securities to be delivered]</w:t>
      </w:r>
    </w:p>
    <w:p>
      <w:pPr>
        <w:spacing w:after="0" w:line="183" w:lineRule="exact"/>
        <w:rPr>
          <w:sz w:val="20"/>
          <w:szCs w:val="20"/>
          <w:color w:val="auto"/>
        </w:rPr>
      </w:pPr>
    </w:p>
    <w:p>
      <w:pPr>
        <w:ind w:left="5" w:right="2779" w:firstLine="930"/>
        <w:spacing w:after="0" w:line="270" w:lineRule="auto"/>
        <w:rPr>
          <w:sz w:val="20"/>
          <w:szCs w:val="20"/>
          <w:color w:val="auto"/>
        </w:rPr>
      </w:pPr>
      <w:r>
        <w:rPr>
          <w:rFonts w:ascii="Courier New" w:cs="Courier New" w:eastAsia="Courier New" w:hAnsi="Courier New"/>
          <w:sz w:val="14"/>
          <w:szCs w:val="14"/>
          <w:color w:val="auto"/>
        </w:rPr>
        <w:t>This is to certify that, based solely on written certifications that we have received in writing, by tested telex or by electronic transmission from each of the persons appearing in our records as persons entitled to a portion of the principal amount set forth below (our "Member Organizations") substantially in the form attached hereto, as of the date hereof, [U.S.$] __________________</w:t>
      </w:r>
    </w:p>
    <w:p>
      <w:pPr>
        <w:spacing w:after="0" w:line="2" w:lineRule="exact"/>
        <w:rPr>
          <w:sz w:val="20"/>
          <w:szCs w:val="20"/>
          <w:color w:val="auto"/>
        </w:rPr>
      </w:pPr>
    </w:p>
    <w:p>
      <w:pPr>
        <w:ind w:left="5" w:right="2779"/>
        <w:spacing w:after="0" w:line="272" w:lineRule="auto"/>
        <w:rPr>
          <w:sz w:val="20"/>
          <w:szCs w:val="20"/>
          <w:color w:val="auto"/>
        </w:rPr>
      </w:pPr>
      <w:r>
        <w:rPr>
          <w:rFonts w:ascii="Courier New" w:cs="Courier New" w:eastAsia="Courier New" w:hAnsi="Courier New"/>
          <w:sz w:val="14"/>
          <w:szCs w:val="14"/>
          <w:color w:val="auto"/>
        </w:rPr>
        <w:t>principal amount of the above-captioned Securities (i) is owned by person(s) that are not citizens or residents of the United States, domestic partnerships, domestic corporations or any estate the income of which is subject to United States Federal income taxation regardless of its source or a trust whose administration is subject to the primary supervision of a United States court and which has one or more United States persons who have the authority to control all of its decisions ("United States person(s)"), (ii) is owned by United States person(s) that are (a) foreign branches of United States financial institutions (financial institutions, as defined in U.S. Treasury Regulations Section 1.165-12(c)(1)(v) are herein referred to as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 (a) or (b), each such financial institution has agreed, on its own behalf or through its agent, that we may advise ClearOne Communications, Inc. or its agent that such financial institution will comply with the requirements of Section 165(j)(3)(A), (B) or</w:t>
      </w:r>
    </w:p>
    <w:p>
      <w:pPr>
        <w:spacing w:after="0" w:line="165" w:lineRule="exact"/>
        <w:rPr>
          <w:sz w:val="20"/>
          <w:szCs w:val="20"/>
          <w:color w:val="auto"/>
        </w:rPr>
      </w:pPr>
    </w:p>
    <w:p>
      <w:pPr>
        <w:ind w:left="5" w:right="2879" w:hanging="5"/>
        <w:spacing w:after="0" w:line="236" w:lineRule="auto"/>
        <w:tabs>
          <w:tab w:leader="none" w:pos="377" w:val="left"/>
        </w:tabs>
        <w:numPr>
          <w:ilvl w:val="0"/>
          <w:numId w:val="3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the Internal Revenue Code of 1986, as amended, and the regulations thereunder), or (iii) is owned by United States or foreign financial institution(s) for purposes of resale during the restricted period (as defined in United States Treasury Regulations Section 1.163-5(c)(2)(i)(D)(7)), and, to the further effect, that financial institutions described in clause (iii) above (whether or not also described in clause (i) or (ii)) have certified that they have not acquired the Securities for purposes of resale directly or indirectly to a United States person or to a person within the United States or its possessions.</w:t>
      </w:r>
    </w:p>
    <w:p>
      <w:pPr>
        <w:spacing w:after="0" w:line="185" w:lineRule="exact"/>
        <w:rPr>
          <w:sz w:val="20"/>
          <w:szCs w:val="20"/>
          <w:color w:val="auto"/>
        </w:rPr>
      </w:pPr>
    </w:p>
    <w:p>
      <w:pPr>
        <w:ind w:left="5" w:right="2879" w:firstLine="930"/>
        <w:spacing w:after="0" w:line="235" w:lineRule="auto"/>
        <w:rPr>
          <w:sz w:val="20"/>
          <w:szCs w:val="20"/>
          <w:color w:val="auto"/>
        </w:rPr>
      </w:pPr>
      <w:r>
        <w:rPr>
          <w:rFonts w:ascii="Courier New" w:cs="Courier New" w:eastAsia="Courier New" w:hAnsi="Courier New"/>
          <w:sz w:val="16"/>
          <w:szCs w:val="16"/>
          <w:color w:val="auto"/>
        </w:rPr>
        <w:t>As used herein, "United States" means the United States of America (including the states and the District of Columbia); and its "possessions" include Puerto Rico, the U.S. Virgin Islands, Guam, American Samoa, Wake Island and the Northern Mariana Islands.</w:t>
      </w:r>
    </w:p>
    <w:p>
      <w:pPr>
        <w:spacing w:after="0" w:line="35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103</w:t>
      </w:r>
    </w:p>
    <w:p>
      <w:pPr>
        <w:sectPr>
          <w:pgSz w:w="11900" w:h="16838" w:orient="portrait"/>
          <w:cols w:equalWidth="0" w:num="1">
            <w:col w:w="10224"/>
          </w:cols>
          <w:pgMar w:left="235" w:top="648" w:right="1440" w:bottom="1440" w:gutter="0" w:footer="0" w:header="0"/>
        </w:sectPr>
      </w:pPr>
    </w:p>
    <w:bookmarkStart w:id="284" w:name="page285"/>
    <w:bookmarkEnd w:id="284"/>
    <w:p>
      <w:pPr>
        <w:ind w:right="2879" w:firstLine="930"/>
        <w:spacing w:after="0" w:line="236" w:lineRule="auto"/>
        <w:rPr>
          <w:sz w:val="20"/>
          <w:szCs w:val="20"/>
          <w:color w:val="auto"/>
        </w:rPr>
      </w:pPr>
      <w:r>
        <w:rPr>
          <w:rFonts w:ascii="Courier New" w:cs="Courier New" w:eastAsia="Courier New" w:hAnsi="Courier New"/>
          <w:sz w:val="16"/>
          <w:szCs w:val="16"/>
          <w:color w:val="auto"/>
        </w:rPr>
        <w:t>We further certify that (i) we are not making available herewith for exchange (or, if relevant, collection of any interest) any portion of the temporary global Security representing the above-captioned Securities excepted in the above-referenced certificates of Member Organizations and (ii) as of the date hereof we have not received any notification from any of our Member Organizations to the effect that the statements made by such Member Organizations with respect to any portion of the part submitted herewith for exchange (or, if relevant, collection of any interest) are no longer true and cannot be relied upon as of the date hereof.</w:t>
      </w:r>
    </w:p>
    <w:p>
      <w:pPr>
        <w:spacing w:after="0" w:line="185" w:lineRule="exact"/>
        <w:rPr>
          <w:sz w:val="20"/>
          <w:szCs w:val="20"/>
          <w:color w:val="auto"/>
        </w:rPr>
      </w:pPr>
    </w:p>
    <w:p>
      <w:pPr>
        <w:ind w:right="2879" w:firstLine="930"/>
        <w:spacing w:after="0" w:line="276" w:lineRule="auto"/>
        <w:rPr>
          <w:sz w:val="20"/>
          <w:szCs w:val="20"/>
          <w:color w:val="auto"/>
        </w:rPr>
      </w:pPr>
      <w:r>
        <w:rPr>
          <w:rFonts w:ascii="Courier New" w:cs="Courier New" w:eastAsia="Courier New" w:hAnsi="Courier New"/>
          <w:sz w:val="14"/>
          <w:szCs w:val="14"/>
          <w:color w:val="auto"/>
        </w:rPr>
        <w:t>We understand that this certification is required in connection with certain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________________________</w:t>
      </w:r>
    </w:p>
    <w:p>
      <w:pPr>
        <w:spacing w:after="0" w:line="236" w:lineRule="auto"/>
        <w:rPr>
          <w:sz w:val="20"/>
          <w:szCs w:val="20"/>
          <w:color w:val="auto"/>
        </w:rPr>
      </w:pPr>
      <w:r>
        <w:rPr>
          <w:rFonts w:ascii="Courier New" w:cs="Courier New" w:eastAsia="Courier New" w:hAnsi="Courier New"/>
          <w:sz w:val="16"/>
          <w:szCs w:val="16"/>
          <w:color w:val="auto"/>
        </w:rPr>
        <w:t>[To be dated no earlier than the Exchange Date</w:t>
      </w:r>
    </w:p>
    <w:p>
      <w:pPr>
        <w:spacing w:after="0" w:line="237" w:lineRule="auto"/>
        <w:rPr>
          <w:sz w:val="20"/>
          <w:szCs w:val="20"/>
          <w:color w:val="auto"/>
        </w:rPr>
      </w:pPr>
      <w:r>
        <w:rPr>
          <w:rFonts w:ascii="Courier New" w:cs="Courier New" w:eastAsia="Courier New" w:hAnsi="Courier New"/>
          <w:sz w:val="16"/>
          <w:szCs w:val="16"/>
          <w:color w:val="auto"/>
        </w:rPr>
        <w:t>or the relevant Interest Payment Date occurring</w:t>
      </w:r>
    </w:p>
    <w:p>
      <w:pPr>
        <w:spacing w:after="0" w:line="237" w:lineRule="auto"/>
        <w:rPr>
          <w:sz w:val="20"/>
          <w:szCs w:val="20"/>
          <w:color w:val="auto"/>
        </w:rPr>
      </w:pPr>
      <w:r>
        <w:rPr>
          <w:rFonts w:ascii="Courier New" w:cs="Courier New" w:eastAsia="Courier New" w:hAnsi="Courier New"/>
          <w:sz w:val="16"/>
          <w:szCs w:val="16"/>
          <w:color w:val="auto"/>
        </w:rPr>
        <w:t>prior to the Exchange Date, as applicable]</w:t>
      </w:r>
    </w:p>
    <w:p>
      <w:pPr>
        <w:spacing w:after="0" w:line="35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[Morgan Guaranty Trust Company of New</w:t>
      </w:r>
    </w:p>
    <w:p>
      <w:pPr>
        <w:spacing w:after="0" w:line="4"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York, Brussels Office,] as Operator of</w:t>
      </w:r>
    </w:p>
    <w:p>
      <w:pPr>
        <w:spacing w:after="0" w:line="1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the Euroclear System</w:t>
      </w:r>
    </w:p>
    <w:p>
      <w:pPr>
        <w:ind w:left="3720"/>
        <w:spacing w:after="0" w:line="236" w:lineRule="auto"/>
        <w:rPr>
          <w:sz w:val="20"/>
          <w:szCs w:val="20"/>
          <w:color w:val="auto"/>
        </w:rPr>
      </w:pPr>
      <w:r>
        <w:rPr>
          <w:rFonts w:ascii="Courier New" w:cs="Courier New" w:eastAsia="Courier New" w:hAnsi="Courier New"/>
          <w:sz w:val="16"/>
          <w:szCs w:val="16"/>
          <w:color w:val="auto"/>
        </w:rPr>
        <w:t>[Clearstream Banking societe anonyme]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By</w:t>
      </w:r>
    </w:p>
    <w:p>
      <w:pPr>
        <w:ind w:left="3900"/>
        <w:spacing w:after="0" w:line="236" w:lineRule="auto"/>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35"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A-2-2</w:t>
      </w:r>
    </w:p>
    <w:p>
      <w:pPr>
        <w:sectPr>
          <w:pgSz w:w="11900" w:h="16838" w:orient="portrait"/>
          <w:cols w:equalWidth="0" w:num="1">
            <w:col w:w="10219"/>
          </w:cols>
          <w:pgMar w:left="240" w:top="655" w:right="1440" w:bottom="1440" w:gutter="0" w:footer="0" w:header="0"/>
        </w:sectPr>
      </w:pPr>
    </w:p>
    <w:bookmarkStart w:id="285" w:name="page286"/>
    <w:bookmarkEnd w:id="285"/>
    <w:p>
      <w:pPr>
        <w:ind w:left="6320"/>
        <w:spacing w:after="0"/>
        <w:rPr>
          <w:sz w:val="20"/>
          <w:szCs w:val="20"/>
          <w:color w:val="auto"/>
        </w:rPr>
      </w:pPr>
      <w:r>
        <w:rPr>
          <w:rFonts w:ascii="Courier New" w:cs="Courier New" w:eastAsia="Courier New" w:hAnsi="Courier New"/>
          <w:sz w:val="16"/>
          <w:szCs w:val="16"/>
          <w:color w:val="auto"/>
        </w:rPr>
        <w:t>Exhibit 12.1</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ClearOne Communications, Inc.</w:t>
      </w:r>
    </w:p>
    <w:p>
      <w:pPr>
        <w:jc w:val="center"/>
        <w:ind w:right="2699"/>
        <w:spacing w:after="0" w:line="236" w:lineRule="auto"/>
        <w:rPr>
          <w:sz w:val="20"/>
          <w:szCs w:val="20"/>
          <w:color w:val="auto"/>
        </w:rPr>
      </w:pPr>
      <w:r>
        <w:rPr>
          <w:rFonts w:ascii="Courier New" w:cs="Courier New" w:eastAsia="Courier New" w:hAnsi="Courier New"/>
          <w:sz w:val="16"/>
          <w:szCs w:val="16"/>
          <w:color w:val="auto"/>
        </w:rPr>
        <w:t>Statement re: Computation of Ratio of Earnings to Fixed Charges</w:t>
      </w:r>
    </w:p>
    <w:p>
      <w:pPr>
        <w:jc w:val="center"/>
        <w:ind w:right="2699"/>
        <w:spacing w:after="0" w:line="237" w:lineRule="auto"/>
        <w:rPr>
          <w:sz w:val="20"/>
          <w:szCs w:val="20"/>
          <w:color w:val="auto"/>
        </w:rPr>
      </w:pPr>
      <w:r>
        <w:rPr>
          <w:rFonts w:ascii="Courier New" w:cs="Courier New" w:eastAsia="Courier New" w:hAnsi="Courier New"/>
          <w:sz w:val="16"/>
          <w:szCs w:val="16"/>
          <w:color w:val="auto"/>
        </w:rPr>
        <w:t>(In thousands, except ratios)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Year Ended</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79"/>
        </w:trPr>
        <w:tc>
          <w:tcPr>
            <w:tcW w:w="3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2002</w:t>
            </w:r>
          </w:p>
        </w:tc>
        <w:tc>
          <w:tcPr>
            <w:tcW w:w="280" w:type="dxa"/>
            <w:vAlign w:val="bottom"/>
          </w:tcPr>
          <w:p>
            <w:pPr>
              <w:spacing w:after="0"/>
              <w:rPr>
                <w:sz w:val="15"/>
                <w:szCs w:val="15"/>
                <w:color w:val="auto"/>
              </w:rPr>
            </w:pPr>
          </w:p>
        </w:tc>
        <w:tc>
          <w:tcPr>
            <w:tcW w:w="6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2001</w:t>
            </w:r>
          </w:p>
        </w:tc>
        <w:tc>
          <w:tcPr>
            <w:tcW w:w="320" w:type="dxa"/>
            <w:vAlign w:val="bottom"/>
          </w:tcPr>
          <w:p>
            <w:pPr>
              <w:spacing w:after="0"/>
              <w:rPr>
                <w:sz w:val="15"/>
                <w:szCs w:val="15"/>
                <w:color w:val="auto"/>
              </w:rPr>
            </w:pPr>
          </w:p>
        </w:tc>
        <w:tc>
          <w:tcPr>
            <w:tcW w:w="7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2000</w:t>
            </w:r>
          </w:p>
        </w:tc>
        <w:tc>
          <w:tcPr>
            <w:tcW w:w="200" w:type="dxa"/>
            <w:vAlign w:val="bottom"/>
          </w:tcPr>
          <w:p>
            <w:pPr>
              <w:spacing w:after="0"/>
              <w:rPr>
                <w:sz w:val="15"/>
                <w:szCs w:val="15"/>
                <w:color w:val="auto"/>
              </w:rPr>
            </w:pPr>
          </w:p>
        </w:tc>
        <w:tc>
          <w:tcPr>
            <w:tcW w:w="6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1999</w:t>
            </w:r>
          </w:p>
        </w:tc>
        <w:tc>
          <w:tcPr>
            <w:tcW w:w="280" w:type="dxa"/>
            <w:vAlign w:val="bottom"/>
          </w:tcPr>
          <w:p>
            <w:pPr>
              <w:spacing w:after="0"/>
              <w:rPr>
                <w:sz w:val="15"/>
                <w:szCs w:val="15"/>
                <w:color w:val="auto"/>
              </w:rPr>
            </w:pPr>
          </w:p>
        </w:tc>
        <w:tc>
          <w:tcPr>
            <w:tcW w:w="5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1998</w:t>
            </w:r>
          </w:p>
        </w:tc>
      </w:tr>
      <w:tr>
        <w:trPr>
          <w:trHeight w:val="179"/>
        </w:trPr>
        <w:tc>
          <w:tcPr>
            <w:tcW w:w="3480" w:type="dxa"/>
            <w:vAlign w:val="bottom"/>
          </w:tcPr>
          <w:p>
            <w:pPr>
              <w:spacing w:after="0"/>
              <w:rPr>
                <w:sz w:val="15"/>
                <w:szCs w:val="15"/>
                <w:color w:val="auto"/>
              </w:rPr>
            </w:pPr>
          </w:p>
        </w:tc>
        <w:tc>
          <w:tcPr>
            <w:tcW w:w="4520" w:type="dxa"/>
            <w:vAlign w:val="bottom"/>
            <w:gridSpan w:val="10"/>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358"/>
        </w:trPr>
        <w:tc>
          <w:tcPr>
            <w:tcW w:w="3480" w:type="dxa"/>
            <w:vAlign w:val="bottom"/>
          </w:tcPr>
          <w:p>
            <w:pPr>
              <w:spacing w:after="0"/>
              <w:rPr>
                <w:sz w:val="20"/>
                <w:szCs w:val="20"/>
                <w:color w:val="auto"/>
              </w:rPr>
            </w:pPr>
            <w:r>
              <w:rPr>
                <w:rFonts w:ascii="Courier New" w:cs="Courier New" w:eastAsia="Courier New" w:hAnsi="Courier New"/>
                <w:sz w:val="16"/>
                <w:szCs w:val="16"/>
                <w:color w:val="auto"/>
              </w:rPr>
              <w:t>Fixed Charges:</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9"/>
        </w:trPr>
        <w:tc>
          <w:tcPr>
            <w:tcW w:w="34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Interest on debt</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23</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42</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66</w:t>
            </w:r>
          </w:p>
        </w:tc>
        <w:tc>
          <w:tcPr>
            <w:tcW w:w="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148</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240</w:t>
            </w:r>
          </w:p>
        </w:tc>
      </w:tr>
      <w:tr>
        <w:trPr>
          <w:trHeight w:val="179"/>
        </w:trPr>
        <w:tc>
          <w:tcPr>
            <w:tcW w:w="34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Interest portion of rental expense</w:t>
            </w:r>
          </w:p>
        </w:tc>
        <w:tc>
          <w:tcPr>
            <w:tcW w:w="280" w:type="dxa"/>
            <w:vAlign w:val="bottom"/>
          </w:tcPr>
          <w:p>
            <w:pPr>
              <w:spacing w:after="0"/>
              <w:rPr>
                <w:sz w:val="15"/>
                <w:szCs w:val="15"/>
                <w:color w:val="auto"/>
              </w:rPr>
            </w:pPr>
          </w:p>
        </w:tc>
        <w:tc>
          <w:tcPr>
            <w:tcW w:w="6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440</w:t>
            </w:r>
          </w:p>
        </w:tc>
        <w:tc>
          <w:tcPr>
            <w:tcW w:w="280" w:type="dxa"/>
            <w:vAlign w:val="bottom"/>
          </w:tcPr>
          <w:p>
            <w:pPr>
              <w:spacing w:after="0"/>
              <w:rPr>
                <w:sz w:val="15"/>
                <w:szCs w:val="15"/>
                <w:color w:val="auto"/>
              </w:rPr>
            </w:pPr>
          </w:p>
        </w:tc>
        <w:tc>
          <w:tcPr>
            <w:tcW w:w="6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316</w:t>
            </w:r>
          </w:p>
        </w:tc>
        <w:tc>
          <w:tcPr>
            <w:tcW w:w="320" w:type="dxa"/>
            <w:vAlign w:val="bottom"/>
          </w:tcPr>
          <w:p>
            <w:pPr>
              <w:spacing w:after="0"/>
              <w:rPr>
                <w:sz w:val="15"/>
                <w:szCs w:val="15"/>
                <w:color w:val="auto"/>
              </w:rPr>
            </w:pPr>
          </w:p>
        </w:tc>
        <w:tc>
          <w:tcPr>
            <w:tcW w:w="7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199</w:t>
            </w:r>
          </w:p>
        </w:tc>
        <w:tc>
          <w:tcPr>
            <w:tcW w:w="200" w:type="dxa"/>
            <w:vAlign w:val="bottom"/>
          </w:tcPr>
          <w:p>
            <w:pPr>
              <w:spacing w:after="0"/>
              <w:rPr>
                <w:sz w:val="15"/>
                <w:szCs w:val="15"/>
                <w:color w:val="auto"/>
              </w:rPr>
            </w:pPr>
          </w:p>
        </w:tc>
        <w:tc>
          <w:tcPr>
            <w:tcW w:w="6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154</w:t>
            </w:r>
          </w:p>
        </w:tc>
        <w:tc>
          <w:tcPr>
            <w:tcW w:w="280" w:type="dxa"/>
            <w:vAlign w:val="bottom"/>
          </w:tcPr>
          <w:p>
            <w:pPr>
              <w:spacing w:after="0"/>
              <w:rPr>
                <w:sz w:val="15"/>
                <w:szCs w:val="15"/>
                <w:color w:val="auto"/>
              </w:rPr>
            </w:pP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80</w:t>
            </w:r>
          </w:p>
        </w:tc>
      </w:tr>
      <w:tr>
        <w:trPr>
          <w:trHeight w:val="179"/>
        </w:trPr>
        <w:tc>
          <w:tcPr>
            <w:tcW w:w="3480" w:type="dxa"/>
            <w:vAlign w:val="bottom"/>
          </w:tcPr>
          <w:p>
            <w:pPr>
              <w:spacing w:after="0"/>
              <w:rPr>
                <w:sz w:val="15"/>
                <w:szCs w:val="15"/>
                <w:color w:val="auto"/>
              </w:rPr>
            </w:pPr>
          </w:p>
        </w:tc>
        <w:tc>
          <w:tcPr>
            <w:tcW w:w="4520" w:type="dxa"/>
            <w:vAlign w:val="bottom"/>
            <w:gridSpan w:val="10"/>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3480" w:type="dxa"/>
            <w:vAlign w:val="bottom"/>
          </w:tcPr>
          <w:p>
            <w:pPr>
              <w:spacing w:after="0" w:line="179" w:lineRule="exact"/>
              <w:rPr>
                <w:sz w:val="20"/>
                <w:szCs w:val="20"/>
                <w:color w:val="auto"/>
              </w:rPr>
            </w:pPr>
            <w:r>
              <w:rPr>
                <w:rFonts w:ascii="Courier New" w:cs="Courier New" w:eastAsia="Courier New" w:hAnsi="Courier New"/>
                <w:sz w:val="16"/>
                <w:szCs w:val="16"/>
                <w:color w:val="auto"/>
              </w:rPr>
              <w:t>Total fixed charges</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464</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358</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265</w:t>
            </w:r>
          </w:p>
        </w:tc>
        <w:tc>
          <w:tcPr>
            <w:tcW w:w="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302</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320</w:t>
            </w:r>
          </w:p>
        </w:tc>
      </w:tr>
      <w:tr>
        <w:trPr>
          <w:trHeight w:val="179"/>
        </w:trPr>
        <w:tc>
          <w:tcPr>
            <w:tcW w:w="3480" w:type="dxa"/>
            <w:vAlign w:val="bottom"/>
          </w:tcPr>
          <w:p>
            <w:pPr>
              <w:spacing w:after="0"/>
              <w:rPr>
                <w:sz w:val="15"/>
                <w:szCs w:val="15"/>
                <w:color w:val="auto"/>
              </w:rPr>
            </w:pPr>
          </w:p>
        </w:tc>
        <w:tc>
          <w:tcPr>
            <w:tcW w:w="4520" w:type="dxa"/>
            <w:vAlign w:val="bottom"/>
            <w:gridSpan w:val="10"/>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358"/>
        </w:trPr>
        <w:tc>
          <w:tcPr>
            <w:tcW w:w="3480" w:type="dxa"/>
            <w:vAlign w:val="bottom"/>
          </w:tcPr>
          <w:p>
            <w:pPr>
              <w:spacing w:after="0"/>
              <w:rPr>
                <w:sz w:val="20"/>
                <w:szCs w:val="20"/>
                <w:color w:val="auto"/>
              </w:rPr>
            </w:pPr>
            <w:r>
              <w:rPr>
                <w:rFonts w:ascii="Courier New" w:cs="Courier New" w:eastAsia="Courier New" w:hAnsi="Courier New"/>
                <w:sz w:val="16"/>
                <w:szCs w:val="16"/>
                <w:color w:val="auto"/>
              </w:rPr>
              <w:t>Earnings:</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9"/>
        </w:trPr>
        <w:tc>
          <w:tcPr>
            <w:tcW w:w="34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Consolidated pre-tax income from</w:t>
            </w: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79"/>
        </w:trPr>
        <w:tc>
          <w:tcPr>
            <w:tcW w:w="348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continuing operations</w:t>
            </w:r>
          </w:p>
        </w:tc>
        <w:tc>
          <w:tcPr>
            <w:tcW w:w="9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$11,242</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8,844</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6,720</w:t>
            </w:r>
          </w:p>
        </w:tc>
        <w:tc>
          <w:tcPr>
            <w:tcW w:w="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3,229</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988</w:t>
            </w:r>
          </w:p>
        </w:tc>
      </w:tr>
      <w:tr>
        <w:trPr>
          <w:trHeight w:val="179"/>
        </w:trPr>
        <w:tc>
          <w:tcPr>
            <w:tcW w:w="34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Add back:  fixed charges</w:t>
            </w:r>
          </w:p>
        </w:tc>
        <w:tc>
          <w:tcPr>
            <w:tcW w:w="280" w:type="dxa"/>
            <w:vAlign w:val="bottom"/>
          </w:tcPr>
          <w:p>
            <w:pPr>
              <w:spacing w:after="0"/>
              <w:rPr>
                <w:sz w:val="15"/>
                <w:szCs w:val="15"/>
                <w:color w:val="auto"/>
              </w:rPr>
            </w:pPr>
          </w:p>
        </w:tc>
        <w:tc>
          <w:tcPr>
            <w:tcW w:w="6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464</w:t>
            </w:r>
          </w:p>
        </w:tc>
        <w:tc>
          <w:tcPr>
            <w:tcW w:w="280" w:type="dxa"/>
            <w:vAlign w:val="bottom"/>
          </w:tcPr>
          <w:p>
            <w:pPr>
              <w:spacing w:after="0"/>
              <w:rPr>
                <w:sz w:val="15"/>
                <w:szCs w:val="15"/>
                <w:color w:val="auto"/>
              </w:rPr>
            </w:pPr>
          </w:p>
        </w:tc>
        <w:tc>
          <w:tcPr>
            <w:tcW w:w="6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358</w:t>
            </w:r>
          </w:p>
        </w:tc>
        <w:tc>
          <w:tcPr>
            <w:tcW w:w="320" w:type="dxa"/>
            <w:vAlign w:val="bottom"/>
          </w:tcPr>
          <w:p>
            <w:pPr>
              <w:spacing w:after="0"/>
              <w:rPr>
                <w:sz w:val="15"/>
                <w:szCs w:val="15"/>
                <w:color w:val="auto"/>
              </w:rPr>
            </w:pPr>
          </w:p>
        </w:tc>
        <w:tc>
          <w:tcPr>
            <w:tcW w:w="7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265</w:t>
            </w:r>
          </w:p>
        </w:tc>
        <w:tc>
          <w:tcPr>
            <w:tcW w:w="200" w:type="dxa"/>
            <w:vAlign w:val="bottom"/>
          </w:tcPr>
          <w:p>
            <w:pPr>
              <w:spacing w:after="0"/>
              <w:rPr>
                <w:sz w:val="15"/>
                <w:szCs w:val="15"/>
                <w:color w:val="auto"/>
              </w:rPr>
            </w:pPr>
          </w:p>
        </w:tc>
        <w:tc>
          <w:tcPr>
            <w:tcW w:w="6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302</w:t>
            </w:r>
          </w:p>
        </w:tc>
        <w:tc>
          <w:tcPr>
            <w:tcW w:w="280" w:type="dxa"/>
            <w:vAlign w:val="bottom"/>
          </w:tcPr>
          <w:p>
            <w:pPr>
              <w:spacing w:after="0"/>
              <w:rPr>
                <w:sz w:val="15"/>
                <w:szCs w:val="15"/>
                <w:color w:val="auto"/>
              </w:rPr>
            </w:pP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320</w:t>
            </w:r>
          </w:p>
        </w:tc>
      </w:tr>
      <w:tr>
        <w:trPr>
          <w:trHeight w:val="179"/>
        </w:trPr>
        <w:tc>
          <w:tcPr>
            <w:tcW w:w="3480" w:type="dxa"/>
            <w:vAlign w:val="bottom"/>
          </w:tcPr>
          <w:p>
            <w:pPr>
              <w:spacing w:after="0"/>
              <w:rPr>
                <w:sz w:val="15"/>
                <w:szCs w:val="15"/>
                <w:color w:val="auto"/>
              </w:rPr>
            </w:pPr>
          </w:p>
        </w:tc>
        <w:tc>
          <w:tcPr>
            <w:tcW w:w="4520" w:type="dxa"/>
            <w:vAlign w:val="bottom"/>
            <w:gridSpan w:val="10"/>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3480" w:type="dxa"/>
            <w:vAlign w:val="bottom"/>
          </w:tcPr>
          <w:p>
            <w:pPr>
              <w:spacing w:after="0" w:line="179" w:lineRule="exact"/>
              <w:rPr>
                <w:sz w:val="20"/>
                <w:szCs w:val="20"/>
                <w:color w:val="auto"/>
              </w:rPr>
            </w:pPr>
            <w:r>
              <w:rPr>
                <w:rFonts w:ascii="Courier New" w:cs="Courier New" w:eastAsia="Courier New" w:hAnsi="Courier New"/>
                <w:sz w:val="16"/>
                <w:szCs w:val="16"/>
                <w:color w:val="auto"/>
              </w:rPr>
              <w:t>Total earnings</w:t>
            </w:r>
          </w:p>
        </w:tc>
        <w:tc>
          <w:tcPr>
            <w:tcW w:w="9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$11,706</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9,202</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6,985</w:t>
            </w:r>
          </w:p>
        </w:tc>
        <w:tc>
          <w:tcPr>
            <w:tcW w:w="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3,531</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1,308</w:t>
            </w:r>
          </w:p>
        </w:tc>
      </w:tr>
      <w:tr>
        <w:trPr>
          <w:trHeight w:val="179"/>
        </w:trPr>
        <w:tc>
          <w:tcPr>
            <w:tcW w:w="3480" w:type="dxa"/>
            <w:vAlign w:val="bottom"/>
          </w:tcPr>
          <w:p>
            <w:pPr>
              <w:spacing w:after="0"/>
              <w:rPr>
                <w:sz w:val="15"/>
                <w:szCs w:val="15"/>
                <w:color w:val="auto"/>
              </w:rPr>
            </w:pPr>
          </w:p>
        </w:tc>
        <w:tc>
          <w:tcPr>
            <w:tcW w:w="4520" w:type="dxa"/>
            <w:vAlign w:val="bottom"/>
            <w:gridSpan w:val="10"/>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358"/>
        </w:trPr>
        <w:tc>
          <w:tcPr>
            <w:tcW w:w="3480" w:type="dxa"/>
            <w:vAlign w:val="bottom"/>
          </w:tcPr>
          <w:p>
            <w:pPr>
              <w:spacing w:after="0"/>
              <w:rPr>
                <w:sz w:val="20"/>
                <w:szCs w:val="20"/>
                <w:color w:val="auto"/>
              </w:rPr>
            </w:pPr>
            <w:r>
              <w:rPr>
                <w:rFonts w:ascii="Courier New" w:cs="Courier New" w:eastAsia="Courier New" w:hAnsi="Courier New"/>
                <w:sz w:val="16"/>
                <w:szCs w:val="16"/>
                <w:color w:val="auto"/>
              </w:rPr>
              <w:t>Ratio of earnings to fixed charges</w:t>
            </w:r>
          </w:p>
        </w:tc>
        <w:tc>
          <w:tcPr>
            <w:tcW w:w="280" w:type="dxa"/>
            <w:vAlign w:val="bottom"/>
          </w:tcPr>
          <w:p>
            <w:pPr>
              <w:spacing w:after="0"/>
              <w:rPr>
                <w:sz w:val="24"/>
                <w:szCs w:val="24"/>
                <w:color w:val="auto"/>
              </w:rPr>
            </w:pPr>
          </w:p>
        </w:tc>
        <w:tc>
          <w:tcPr>
            <w:tcW w:w="6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25.2x</w:t>
            </w:r>
          </w:p>
        </w:tc>
        <w:tc>
          <w:tcPr>
            <w:tcW w:w="280" w:type="dxa"/>
            <w:vAlign w:val="bottom"/>
          </w:tcPr>
          <w:p>
            <w:pPr>
              <w:spacing w:after="0"/>
              <w:rPr>
                <w:sz w:val="24"/>
                <w:szCs w:val="24"/>
                <w:color w:val="auto"/>
              </w:rPr>
            </w:pPr>
          </w:p>
        </w:tc>
        <w:tc>
          <w:tcPr>
            <w:tcW w:w="60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9"/>
              </w:rPr>
              <w:t>25.7x</w:t>
            </w:r>
          </w:p>
        </w:tc>
        <w:tc>
          <w:tcPr>
            <w:tcW w:w="320" w:type="dxa"/>
            <w:vAlign w:val="bottom"/>
          </w:tcPr>
          <w:p>
            <w:pPr>
              <w:spacing w:after="0"/>
              <w:rPr>
                <w:sz w:val="24"/>
                <w:szCs w:val="24"/>
                <w:color w:val="auto"/>
              </w:rPr>
            </w:pPr>
          </w:p>
        </w:tc>
        <w:tc>
          <w:tcPr>
            <w:tcW w:w="7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26.4x</w:t>
            </w:r>
          </w:p>
        </w:tc>
        <w:tc>
          <w:tcPr>
            <w:tcW w:w="200" w:type="dxa"/>
            <w:vAlign w:val="bottom"/>
          </w:tcPr>
          <w:p>
            <w:pPr>
              <w:spacing w:after="0"/>
              <w:rPr>
                <w:sz w:val="24"/>
                <w:szCs w:val="24"/>
                <w:color w:val="auto"/>
              </w:rPr>
            </w:pPr>
          </w:p>
        </w:tc>
        <w:tc>
          <w:tcPr>
            <w:tcW w:w="64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9"/>
              </w:rPr>
              <w:t>11.7x</w:t>
            </w:r>
          </w:p>
        </w:tc>
        <w:tc>
          <w:tcPr>
            <w:tcW w:w="2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4.1x</w:t>
            </w:r>
          </w:p>
        </w:tc>
      </w:tr>
    </w:tbl>
    <w:p>
      <w:pPr>
        <w:sectPr>
          <w:pgSz w:w="11900" w:h="16838" w:orient="portrait"/>
          <w:cols w:equalWidth="0" w:num="1">
            <w:col w:w="10219"/>
          </w:cols>
          <w:pgMar w:left="240" w:top="135" w:right="1440" w:bottom="1440" w:gutter="0" w:footer="0" w:header="0"/>
        </w:sectPr>
      </w:pPr>
    </w:p>
    <w:bookmarkStart w:id="286" w:name="page287"/>
    <w:bookmarkEnd w:id="286"/>
    <w:p>
      <w:pPr>
        <w:jc w:val="right"/>
        <w:ind w:right="2779"/>
        <w:spacing w:after="0"/>
        <w:rPr>
          <w:sz w:val="20"/>
          <w:szCs w:val="20"/>
          <w:color w:val="auto"/>
        </w:rPr>
      </w:pPr>
      <w:r>
        <w:rPr>
          <w:rFonts w:ascii="Courier New" w:cs="Courier New" w:eastAsia="Courier New" w:hAnsi="Courier New"/>
          <w:sz w:val="16"/>
          <w:szCs w:val="16"/>
          <w:color w:val="auto"/>
        </w:rPr>
        <w:t>Exhibit 23.3</w:t>
      </w:r>
    </w:p>
    <w:p>
      <w:pPr>
        <w:spacing w:after="0" w:line="35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CONSENT OF INDEPENDENT AUDITORS</w:t>
      </w:r>
    </w:p>
    <w:p>
      <w:pPr>
        <w:spacing w:after="0" w:line="362" w:lineRule="exact"/>
        <w:rPr>
          <w:sz w:val="20"/>
          <w:szCs w:val="20"/>
          <w:color w:val="auto"/>
        </w:rPr>
      </w:pPr>
    </w:p>
    <w:p>
      <w:pPr>
        <w:ind w:right="2959"/>
        <w:spacing w:after="0" w:line="274" w:lineRule="auto"/>
        <w:rPr>
          <w:sz w:val="20"/>
          <w:szCs w:val="20"/>
          <w:color w:val="auto"/>
        </w:rPr>
      </w:pPr>
      <w:r>
        <w:rPr>
          <w:rFonts w:ascii="Courier New" w:cs="Courier New" w:eastAsia="Courier New" w:hAnsi="Courier New"/>
          <w:sz w:val="14"/>
          <w:szCs w:val="14"/>
          <w:color w:val="auto"/>
        </w:rPr>
        <w:t>We consent to the reference to our firm under the caption "Experts" in the Registration Statement on Form S-3/A and related Prospectuses of ClearOne Communications, Inc., filed with the Securities and Exchange Commission on November 1, 2002, and to the incorporation by reference therein of our report dated August 9, 2002 (except note 20 as to which the date is August 27, 2002), with respect to the consolidated financial statements of ClearOne Communications, Inc., included in its Annual Report (Form 10-K) for the year ended June 30, 2002, filed with the Securities and Exchange Commission.</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Ernst &amp; Young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1, 2002</w:t>
      </w:r>
    </w:p>
    <w:p>
      <w:pPr>
        <w:sectPr>
          <w:pgSz w:w="11900" w:h="16838" w:orient="portrait"/>
          <w:cols w:equalWidth="0" w:num="1">
            <w:col w:w="10219"/>
          </w:cols>
          <w:pgMar w:left="240" w:top="136" w:right="1440" w:bottom="1440" w:gutter="0" w:footer="0" w:header="0"/>
        </w:sectPr>
      </w:pPr>
    </w:p>
    <w:bookmarkStart w:id="287" w:name="page288"/>
    <w:bookmarkEnd w:id="287"/>
    <w:p>
      <w:pPr>
        <w:jc w:val="right"/>
        <w:ind w:right="2779"/>
        <w:spacing w:after="0"/>
        <w:rPr>
          <w:sz w:val="20"/>
          <w:szCs w:val="20"/>
          <w:color w:val="auto"/>
        </w:rPr>
      </w:pPr>
      <w:r>
        <w:rPr>
          <w:rFonts w:ascii="Courier New" w:cs="Courier New" w:eastAsia="Courier New" w:hAnsi="Courier New"/>
          <w:sz w:val="16"/>
          <w:szCs w:val="16"/>
          <w:color w:val="auto"/>
        </w:rPr>
        <w:t>Exhibit 23.4</w:t>
      </w:r>
    </w:p>
    <w:p>
      <w:pPr>
        <w:spacing w:after="0" w:line="200" w:lineRule="exact"/>
        <w:rPr>
          <w:sz w:val="20"/>
          <w:szCs w:val="20"/>
          <w:color w:val="auto"/>
        </w:rPr>
      </w:pPr>
    </w:p>
    <w:p>
      <w:pPr>
        <w:spacing w:after="0" w:line="334"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INDEPENDENT AUDITORS' CONSENT</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We consent to the incorporation by reference in this Registration Statement of ClearOne Communications, Inc. on Form S-3/A of our report dated March 1, 2002, appearing in the Current Report on Form 8-K/A of ClearOne Communications, Inc., filed with the Securities and Exchange Commission on August 14, 2002, and to the reference to us under the heading "Experts" in the Prospectuses, which are part of this Registration Statement.</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DELOITTE &amp; TOUCHE LLP</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Minneapolis, Minnesota</w:t>
      </w:r>
    </w:p>
    <w:p>
      <w:pPr>
        <w:spacing w:after="0" w:line="236" w:lineRule="auto"/>
        <w:rPr>
          <w:sz w:val="20"/>
          <w:szCs w:val="20"/>
          <w:color w:val="auto"/>
        </w:rPr>
      </w:pPr>
      <w:r>
        <w:rPr>
          <w:rFonts w:ascii="Courier New" w:cs="Courier New" w:eastAsia="Courier New" w:hAnsi="Courier New"/>
          <w:sz w:val="16"/>
          <w:szCs w:val="16"/>
          <w:color w:val="auto"/>
        </w:rPr>
        <w:t>November 1, 2002</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4217E23"/>
    <w:multiLevelType w:val="hybridMultilevel"/>
    <w:lvl w:ilvl="0">
      <w:lvlJc w:val="left"/>
      <w:lvlText w:val="-"/>
      <w:numFmt w:val="bullet"/>
      <w:start w:val="1"/>
    </w:lvl>
  </w:abstractNum>
  <w:abstractNum w:abstractNumId="1">
    <w:nsid w:val="710757D0"/>
    <w:multiLevelType w:val="hybridMultilevel"/>
    <w:lvl w:ilvl="0">
      <w:lvlJc w:val="left"/>
      <w:lvlText w:val="-"/>
      <w:numFmt w:val="bullet"/>
      <w:start w:val="1"/>
    </w:lvl>
  </w:abstractNum>
  <w:abstractNum w:abstractNumId="2">
    <w:nsid w:val="5015CD1A"/>
    <w:multiLevelType w:val="hybridMultilevel"/>
    <w:lvl w:ilvl="0">
      <w:lvlJc w:val="left"/>
      <w:lvlText w:val="(%1)"/>
      <w:numFmt w:val="decimal"/>
      <w:start w:val="1"/>
    </w:lvl>
  </w:abstractNum>
  <w:abstractNum w:abstractNumId="3">
    <w:nsid w:val="424479DA"/>
    <w:multiLevelType w:val="hybridMultilevel"/>
    <w:lvl w:ilvl="0">
      <w:lvlJc w:val="left"/>
      <w:lvlText w:val="o"/>
      <w:numFmt w:val="bullet"/>
      <w:start w:val="1"/>
    </w:lvl>
  </w:abstractNum>
  <w:abstractNum w:abstractNumId="4">
    <w:nsid w:val="1A9A9E69"/>
    <w:multiLevelType w:val="hybridMultilevel"/>
    <w:lvl w:ilvl="0">
      <w:lvlJc w:val="left"/>
      <w:lvlText w:val="o"/>
      <w:numFmt w:val="bullet"/>
      <w:start w:val="1"/>
    </w:lvl>
  </w:abstractNum>
  <w:abstractNum w:abstractNumId="5">
    <w:nsid w:val="475E256A"/>
    <w:multiLevelType w:val="hybridMultilevel"/>
    <w:lvl w:ilvl="0">
      <w:lvlJc w:val="left"/>
      <w:lvlText w:val="%1."/>
      <w:numFmt w:val="decimal"/>
      <w:start w:val="1"/>
    </w:lvl>
  </w:abstractNum>
  <w:abstractNum w:abstractNumId="6">
    <w:nsid w:val="368DB37E"/>
    <w:multiLevelType w:val="hybridMultilevel"/>
    <w:lvl w:ilvl="0">
      <w:lvlJc w:val="left"/>
      <w:lvlText w:val="o"/>
      <w:numFmt w:val="bullet"/>
      <w:start w:val="1"/>
    </w:lvl>
  </w:abstractNum>
  <w:abstractNum w:abstractNumId="7">
    <w:nsid w:val="6A3B714C"/>
    <w:multiLevelType w:val="hybridMultilevel"/>
    <w:lvl w:ilvl="0">
      <w:lvlJc w:val="left"/>
      <w:lvlText w:val="o"/>
      <w:numFmt w:val="bullet"/>
      <w:start w:val="1"/>
    </w:lvl>
  </w:abstractNum>
  <w:abstractNum w:abstractNumId="8">
    <w:nsid w:val="327B517E"/>
    <w:multiLevelType w:val="hybridMultilevel"/>
    <w:lvl w:ilvl="0">
      <w:lvlJc w:val="left"/>
      <w:lvlText w:val="o"/>
      <w:numFmt w:val="bullet"/>
      <w:start w:val="1"/>
    </w:lvl>
  </w:abstractNum>
  <w:abstractNum w:abstractNumId="9">
    <w:nsid w:val="1F461B51"/>
    <w:multiLevelType w:val="hybridMultilevel"/>
    <w:lvl w:ilvl="0">
      <w:lvlJc w:val="left"/>
      <w:lvlText w:val="o"/>
      <w:numFmt w:val="bullet"/>
      <w:start w:val="1"/>
    </w:lvl>
  </w:abstractNum>
  <w:abstractNum w:abstractNumId="10">
    <w:nsid w:val="29BACF25"/>
    <w:multiLevelType w:val="hybridMultilevel"/>
    <w:lvl w:ilvl="0">
      <w:lvlJc w:val="left"/>
      <w:lvlText w:val="o"/>
      <w:numFmt w:val="bullet"/>
      <w:start w:val="1"/>
    </w:lvl>
  </w:abstractNum>
  <w:abstractNum w:abstractNumId="11">
    <w:nsid w:val="5D5BABB3"/>
    <w:multiLevelType w:val="hybridMultilevel"/>
    <w:lvl w:ilvl="0">
      <w:lvlJc w:val="left"/>
      <w:lvlText w:val="o"/>
      <w:numFmt w:val="bullet"/>
      <w:start w:val="1"/>
    </w:lvl>
  </w:abstractNum>
  <w:abstractNum w:abstractNumId="12">
    <w:nsid w:val="51BF6B48"/>
    <w:multiLevelType w:val="hybridMultilevel"/>
    <w:lvl w:ilvl="0">
      <w:lvlJc w:val="left"/>
      <w:lvlText w:val="o"/>
      <w:numFmt w:val="bullet"/>
      <w:start w:val="1"/>
    </w:lvl>
  </w:abstractNum>
  <w:abstractNum w:abstractNumId="13">
    <w:nsid w:val="7E0F6384"/>
    <w:multiLevelType w:val="hybridMultilevel"/>
    <w:lvl w:ilvl="0">
      <w:lvlJc w:val="left"/>
      <w:lvlText w:val="o"/>
      <w:numFmt w:val="bullet"/>
      <w:start w:val="1"/>
    </w:lvl>
  </w:abstractNum>
  <w:abstractNum w:abstractNumId="14">
    <w:nsid w:val="2B4B8B53"/>
    <w:multiLevelType w:val="hybridMultilevel"/>
    <w:lvl w:ilvl="0">
      <w:lvlJc w:val="left"/>
      <w:lvlText w:val="o"/>
      <w:numFmt w:val="bullet"/>
      <w:start w:val="1"/>
    </w:lvl>
  </w:abstractNum>
  <w:abstractNum w:abstractNumId="15">
    <w:nsid w:val="72E3413A"/>
    <w:multiLevelType w:val="hybridMultilevel"/>
    <w:lvl w:ilvl="0">
      <w:lvlJc w:val="left"/>
      <w:lvlText w:val="o"/>
      <w:numFmt w:val="bullet"/>
      <w:start w:val="1"/>
    </w:lvl>
  </w:abstractNum>
  <w:abstractNum w:abstractNumId="16">
    <w:nsid w:val="116AE494"/>
    <w:multiLevelType w:val="hybridMultilevel"/>
    <w:lvl w:ilvl="0">
      <w:lvlJc w:val="left"/>
      <w:lvlText w:val="o"/>
      <w:numFmt w:val="bullet"/>
      <w:start w:val="1"/>
    </w:lvl>
  </w:abstractNum>
  <w:abstractNum w:abstractNumId="17">
    <w:nsid w:val="3494B2FB"/>
    <w:multiLevelType w:val="hybridMultilevel"/>
    <w:lvl w:ilvl="0">
      <w:lvlJc w:val="left"/>
      <w:lvlText w:val="o"/>
      <w:numFmt w:val="bullet"/>
      <w:start w:val="1"/>
    </w:lvl>
  </w:abstractNum>
  <w:abstractNum w:abstractNumId="18">
    <w:nsid w:val="B13A31"/>
    <w:multiLevelType w:val="hybridMultilevel"/>
    <w:lvl w:ilvl="0">
      <w:lvlJc w:val="left"/>
      <w:lvlText w:val="o"/>
      <w:numFmt w:val="bullet"/>
      <w:start w:val="1"/>
    </w:lvl>
  </w:abstractNum>
  <w:abstractNum w:abstractNumId="19">
    <w:nsid w:val="64429599"/>
    <w:multiLevelType w:val="hybridMultilevel"/>
    <w:lvl w:ilvl="0">
      <w:lvlJc w:val="left"/>
      <w:lvlText w:val="o"/>
      <w:numFmt w:val="bullet"/>
      <w:start w:val="1"/>
    </w:lvl>
  </w:abstractNum>
  <w:abstractNum w:abstractNumId="20">
    <w:nsid w:val="631F1690"/>
    <w:multiLevelType w:val="hybridMultilevel"/>
    <w:lvl w:ilvl="0">
      <w:lvlJc w:val="left"/>
      <w:lvlText w:val="o"/>
      <w:numFmt w:val="bullet"/>
      <w:start w:val="1"/>
    </w:lvl>
  </w:abstractNum>
  <w:abstractNum w:abstractNumId="21">
    <w:nsid w:val="25973E32"/>
    <w:multiLevelType w:val="hybridMultilevel"/>
    <w:lvl w:ilvl="0">
      <w:lvlJc w:val="left"/>
      <w:lvlText w:val="o"/>
      <w:numFmt w:val="bullet"/>
      <w:start w:val="1"/>
    </w:lvl>
  </w:abstractNum>
  <w:abstractNum w:abstractNumId="22">
    <w:nsid w:val="EAD6F57"/>
    <w:multiLevelType w:val="hybridMultilevel"/>
    <w:lvl w:ilvl="0">
      <w:lvlJc w:val="left"/>
      <w:lvlText w:val="o"/>
      <w:numFmt w:val="bullet"/>
      <w:start w:val="1"/>
    </w:lvl>
  </w:abstractNum>
  <w:abstractNum w:abstractNumId="23">
    <w:nsid w:val="6EC9D844"/>
    <w:multiLevelType w:val="hybridMultilevel"/>
    <w:lvl w:ilvl="0">
      <w:lvlJc w:val="left"/>
      <w:lvlText w:val="o"/>
      <w:numFmt w:val="bullet"/>
      <w:start w:val="1"/>
    </w:lvl>
  </w:abstractNum>
  <w:abstractNum w:abstractNumId="24">
    <w:nsid w:val="5C49EAEE"/>
    <w:multiLevelType w:val="hybridMultilevel"/>
    <w:lvl w:ilvl="0">
      <w:lvlJc w:val="left"/>
      <w:lvlText w:val="o"/>
      <w:numFmt w:val="bullet"/>
      <w:start w:val="1"/>
    </w:lvl>
  </w:abstractNum>
  <w:abstractNum w:abstractNumId="25">
    <w:nsid w:val="64AF49B"/>
    <w:multiLevelType w:val="hybridMultilevel"/>
    <w:lvl w:ilvl="0">
      <w:lvlJc w:val="left"/>
      <w:lvlText w:val="o"/>
      <w:numFmt w:val="bullet"/>
      <w:start w:val="1"/>
    </w:lvl>
  </w:abstractNum>
  <w:abstractNum w:abstractNumId="26">
    <w:nsid w:val="397C46BC"/>
    <w:multiLevelType w:val="hybridMultilevel"/>
    <w:lvl w:ilvl="0">
      <w:lvlJc w:val="left"/>
      <w:lvlText w:val="o"/>
      <w:numFmt w:val="bullet"/>
      <w:start w:val="1"/>
    </w:lvl>
  </w:abstractNum>
  <w:abstractNum w:abstractNumId="27">
    <w:nsid w:val="7E448DE9"/>
    <w:multiLevelType w:val="hybridMultilevel"/>
    <w:lvl w:ilvl="0">
      <w:lvlJc w:val="left"/>
      <w:lvlText w:val="o"/>
      <w:numFmt w:val="bullet"/>
      <w:start w:val="1"/>
    </w:lvl>
  </w:abstractNum>
  <w:abstractNum w:abstractNumId="28">
    <w:nsid w:val="5A9CC3E5"/>
    <w:multiLevelType w:val="hybridMultilevel"/>
    <w:lvl w:ilvl="0">
      <w:lvlJc w:val="left"/>
      <w:lvlText w:val="o"/>
      <w:numFmt w:val="bullet"/>
      <w:start w:val="1"/>
    </w:lvl>
  </w:abstractNum>
  <w:abstractNum w:abstractNumId="29">
    <w:nsid w:val="1AFE3625"/>
    <w:multiLevelType w:val="hybridMultilevel"/>
    <w:lvl w:ilvl="0">
      <w:lvlJc w:val="left"/>
      <w:lvlText w:val="o"/>
      <w:numFmt w:val="bullet"/>
      <w:start w:val="1"/>
    </w:lvl>
  </w:abstractNum>
  <w:abstractNum w:abstractNumId="30">
    <w:nsid w:val="3CA88ECF"/>
    <w:multiLevelType w:val="hybridMultilevel"/>
    <w:lvl w:ilvl="0">
      <w:lvlJc w:val="left"/>
      <w:lvlText w:val="o"/>
      <w:numFmt w:val="bullet"/>
      <w:start w:val="1"/>
    </w:lvl>
  </w:abstractNum>
  <w:abstractNum w:abstractNumId="31">
    <w:nsid w:val="6EBE4208"/>
    <w:multiLevelType w:val="hybridMultilevel"/>
    <w:lvl w:ilvl="0">
      <w:lvlJc w:val="left"/>
      <w:lvlText w:val="o"/>
      <w:numFmt w:val="bullet"/>
      <w:start w:val="1"/>
    </w:lvl>
  </w:abstractNum>
  <w:abstractNum w:abstractNumId="32">
    <w:nsid w:val="C058DF5"/>
    <w:multiLevelType w:val="hybridMultilevel"/>
    <w:lvl w:ilvl="0">
      <w:lvlJc w:val="left"/>
      <w:lvlText w:val="o"/>
      <w:numFmt w:val="bullet"/>
      <w:start w:val="1"/>
    </w:lvl>
  </w:abstractNum>
  <w:abstractNum w:abstractNumId="33">
    <w:nsid w:val="CBE5BE9"/>
    <w:multiLevelType w:val="hybridMultilevel"/>
    <w:lvl w:ilvl="0">
      <w:lvlJc w:val="left"/>
      <w:lvlText w:val="o"/>
      <w:numFmt w:val="bullet"/>
      <w:start w:val="1"/>
    </w:lvl>
  </w:abstractNum>
  <w:abstractNum w:abstractNumId="34">
    <w:nsid w:val="3102BBE2"/>
    <w:multiLevelType w:val="hybridMultilevel"/>
    <w:lvl w:ilvl="0">
      <w:lvlJc w:val="left"/>
      <w:lvlText w:val="o"/>
      <w:numFmt w:val="bullet"/>
      <w:start w:val="1"/>
    </w:lvl>
  </w:abstractNum>
  <w:abstractNum w:abstractNumId="35">
    <w:nsid w:val="26A02C5E"/>
    <w:multiLevelType w:val="hybridMultilevel"/>
    <w:lvl w:ilvl="0">
      <w:lvlJc w:val="left"/>
      <w:lvlText w:val="(%1)"/>
      <w:numFmt w:val="lowerRoman"/>
      <w:start w:val="4"/>
    </w:lvl>
  </w:abstractNum>
  <w:abstractNum w:abstractNumId="36">
    <w:nsid w:val="541C8153"/>
    <w:multiLevelType w:val="hybridMultilevel"/>
    <w:lvl w:ilvl="0">
      <w:lvlJc w:val="left"/>
      <w:lvlText w:val="(%1)"/>
      <w:numFmt w:val="decimal"/>
      <w:start w:val="2"/>
    </w:lvl>
  </w:abstractNum>
  <w:abstractNum w:abstractNumId="37">
    <w:nsid w:val="67906F60"/>
    <w:multiLevelType w:val="hybridMultilevel"/>
    <w:lvl w:ilvl="0">
      <w:lvlJc w:val="left"/>
      <w:lvlText w:val="%1."/>
      <w:numFmt w:val="decimal"/>
      <w:start w:val="1"/>
    </w:lvl>
  </w:abstractNum>
  <w:abstractNum w:abstractNumId="38">
    <w:nsid w:val="10DB9DAA"/>
    <w:multiLevelType w:val="hybridMultilevel"/>
    <w:lvl w:ilvl="0">
      <w:lvlJc w:val="left"/>
      <w:lvlText w:val="o"/>
      <w:numFmt w:val="bullet"/>
      <w:start w:val="1"/>
    </w:lvl>
  </w:abstractNum>
  <w:abstractNum w:abstractNumId="39">
    <w:nsid w:val="697D2D2"/>
    <w:multiLevelType w:val="hybridMultilevel"/>
    <w:lvl w:ilvl="0">
      <w:lvlJc w:val="left"/>
      <w:lvlText w:val="o"/>
      <w:numFmt w:val="bullet"/>
      <w:start w:val="1"/>
    </w:lvl>
  </w:abstractNum>
  <w:abstractNum w:abstractNumId="40">
    <w:nsid w:val="6D68AB2"/>
    <w:multiLevelType w:val="hybridMultilevel"/>
    <w:lvl w:ilvl="0">
      <w:lvlJc w:val="left"/>
      <w:lvlText w:val="(%1)"/>
      <w:numFmt w:val="lowerRoman"/>
      <w:start w:val="4"/>
    </w:lvl>
  </w:abstractNum>
  <w:abstractNum w:abstractNumId="41">
    <w:nsid w:val="3A966CD0"/>
    <w:multiLevelType w:val="hybridMultilevel"/>
    <w:lvl w:ilvl="0">
      <w:lvlJc w:val="left"/>
      <w:lvlText w:val="(%1)"/>
      <w:numFmt w:val="decimal"/>
      <w:start w:val="2"/>
    </w:lvl>
  </w:abstractNum>
  <w:abstractNum w:abstractNumId="42">
    <w:nsid w:val="63F37E85"/>
    <w:multiLevelType w:val="hybridMultilevel"/>
    <w:lvl w:ilvl="0">
      <w:lvlJc w:val="left"/>
      <w:lvlText w:val="(%1)"/>
      <w:numFmt w:val="lowerLetter"/>
      <w:start w:val="1"/>
    </w:lvl>
    <w:lvl w:ilvl="1">
      <w:lvlJc w:val="left"/>
      <w:lvlText w:val="(%2)"/>
      <w:numFmt w:val="lowerRoman"/>
      <w:start w:val="2"/>
    </w:lvl>
  </w:abstractNum>
  <w:abstractNum w:abstractNumId="43">
    <w:nsid w:val="5895F5FA"/>
    <w:multiLevelType w:val="hybridMultilevel"/>
    <w:lvl w:ilvl="0">
      <w:lvlJc w:val="left"/>
      <w:lvlText w:val="%1"/>
      <w:numFmt w:val="lowerLetter"/>
      <w:start w:val="1"/>
    </w:lvl>
    <w:lvl w:ilvl="1">
      <w:lvlJc w:val="left"/>
      <w:lvlText w:val="(%2)"/>
      <w:numFmt w:val="decimal"/>
      <w:start w:val="2"/>
    </w:lvl>
  </w:abstractNum>
  <w:abstractNum w:abstractNumId="44">
    <w:nsid w:val="38A5D054"/>
    <w:multiLevelType w:val="hybridMultilevel"/>
    <w:lvl w:ilvl="0">
      <w:lvlJc w:val="left"/>
      <w:lvlText w:val="(%1)"/>
      <w:numFmt w:val="lowerLetter"/>
      <w:start w:val="2"/>
    </w:lvl>
    <w:lvl w:ilvl="1">
      <w:lvlJc w:val="left"/>
      <w:lvlText w:val="%2"/>
      <w:numFmt w:val="decimal"/>
      <w:start w:val="1"/>
    </w:lvl>
  </w:abstractNum>
  <w:abstractNum w:abstractNumId="45">
    <w:nsid w:val="F3F09D8"/>
    <w:multiLevelType w:val="hybridMultilevel"/>
    <w:lvl w:ilvl="0">
      <w:lvlJc w:val="left"/>
      <w:lvlText w:val="-"/>
      <w:numFmt w:val="bullet"/>
      <w:start w:val="1"/>
    </w:lvl>
  </w:abstractNum>
  <w:abstractNum w:abstractNumId="46">
    <w:nsid w:val="4B793735"/>
    <w:multiLevelType w:val="hybridMultilevel"/>
    <w:lvl w:ilvl="0">
      <w:lvlJc w:val="left"/>
      <w:lvlText w:val="-"/>
      <w:numFmt w:val="bullet"/>
      <w:start w:val="1"/>
    </w:lvl>
  </w:abstractNum>
  <w:abstractNum w:abstractNumId="47">
    <w:nsid w:val="4A10B4E8"/>
    <w:multiLevelType w:val="hybridMultilevel"/>
    <w:lvl w:ilvl="0">
      <w:lvlJc w:val="left"/>
      <w:lvlText w:val="-"/>
      <w:numFmt w:val="bullet"/>
      <w:start w:val="1"/>
    </w:lvl>
  </w:abstractNum>
  <w:abstractNum w:abstractNumId="48">
    <w:nsid w:val="43D3BCD4"/>
    <w:multiLevelType w:val="hybridMultilevel"/>
    <w:lvl w:ilvl="0">
      <w:lvlJc w:val="left"/>
      <w:lvlText w:val="-"/>
      <w:numFmt w:val="bullet"/>
      <w:start w:val="1"/>
    </w:lvl>
  </w:abstractNum>
  <w:abstractNum w:abstractNumId="49">
    <w:nsid w:val="4C2A7166"/>
    <w:multiLevelType w:val="hybridMultilevel"/>
    <w:lvl w:ilvl="0">
      <w:lvlJc w:val="left"/>
      <w:lvlText w:val="*"/>
      <w:numFmt w:val="bullet"/>
      <w:start w:val="1"/>
    </w:lvl>
  </w:abstractNum>
  <w:abstractNum w:abstractNumId="50">
    <w:nsid w:val="2E534A82"/>
    <w:multiLevelType w:val="hybridMultilevel"/>
    <w:lvl w:ilvl="0">
      <w:lvlJc w:val="left"/>
      <w:lvlText w:val="(%1)"/>
      <w:numFmt w:val="lowerLetter"/>
      <w:start w:val="1"/>
    </w:lvl>
  </w:abstractNum>
  <w:abstractNum w:abstractNumId="51">
    <w:nsid w:val="26F2D364"/>
    <w:multiLevelType w:val="hybridMultilevel"/>
    <w:lvl w:ilvl="0">
      <w:lvlJc w:val="left"/>
      <w:lvlText w:val=":"/>
      <w:numFmt w:val="bullet"/>
      <w:start w:val="1"/>
    </w:lvl>
  </w:abstractNum>
  <w:abstractNum w:abstractNumId="52">
    <w:nsid w:val="71C1AF98"/>
    <w:multiLevelType w:val="hybridMultilevel"/>
    <w:lvl w:ilvl="0">
      <w:lvlJc w:val="left"/>
      <w:lvlText w:val=":"/>
      <w:numFmt w:val="bullet"/>
      <w:start w:val="1"/>
    </w:lvl>
  </w:abstractNum>
  <w:abstractNum w:abstractNumId="53">
    <w:nsid w:val="3D00B9D9"/>
    <w:multiLevelType w:val="hybridMultilevel"/>
    <w:lvl w:ilvl="0">
      <w:lvlJc w:val="left"/>
      <w:lvlText w:val=":"/>
      <w:numFmt w:val="bullet"/>
      <w:start w:val="1"/>
    </w:lvl>
  </w:abstractNum>
  <w:abstractNum w:abstractNumId="54">
    <w:nsid w:val="15BCABA8"/>
    <w:multiLevelType w:val="hybridMultilevel"/>
    <w:lvl w:ilvl="0">
      <w:lvlJc w:val="left"/>
      <w:lvlText w:val="%1."/>
      <w:numFmt w:val="decimal"/>
      <w:start w:val="1"/>
    </w:lvl>
  </w:abstractNum>
  <w:abstractNum w:abstractNumId="55">
    <w:nsid w:val="4E0B9A87"/>
    <w:multiLevelType w:val="hybridMultilevel"/>
    <w:lvl w:ilvl="0">
      <w:lvlJc w:val="left"/>
      <w:lvlText w:val="%1."/>
      <w:numFmt w:val="decimal"/>
      <w:start w:val="1"/>
    </w:lvl>
  </w:abstractNum>
  <w:abstractNum w:abstractNumId="56">
    <w:nsid w:val="434BAE75"/>
    <w:multiLevelType w:val="hybridMultilevel"/>
    <w:lvl w:ilvl="0">
      <w:lvlJc w:val="left"/>
      <w:lvlText w:val="%1."/>
      <w:numFmt w:val="decimal"/>
      <w:start w:val="2"/>
    </w:lvl>
  </w:abstractNum>
  <w:abstractNum w:abstractNumId="57">
    <w:nsid w:val="4F38F265"/>
    <w:multiLevelType w:val="hybridMultilevel"/>
    <w:lvl w:ilvl="0">
      <w:lvlJc w:val="left"/>
      <w:lvlText w:val="(%1)"/>
      <w:numFmt w:val="lowerLetter"/>
      <w:start w:val="1"/>
    </w:lvl>
  </w:abstractNum>
  <w:abstractNum w:abstractNumId="58">
    <w:nsid w:val="4C502870"/>
    <w:multiLevelType w:val="hybridMultilevel"/>
    <w:lvl w:ilvl="0">
      <w:lvlJc w:val="left"/>
      <w:lvlText w:val="%1"/>
      <w:numFmt w:val="decimal"/>
      <w:start w:val="1"/>
    </w:lvl>
    <w:lvl w:ilvl="1">
      <w:lvlJc w:val="left"/>
      <w:lvlText w:val="(%2)"/>
      <w:numFmt w:val="lowerLetter"/>
      <w:start w:val="1"/>
    </w:lvl>
  </w:abstractNum>
  <w:abstractNum w:abstractNumId="59">
    <w:nsid w:val="1DE8725A"/>
    <w:multiLevelType w:val="hybridMultilevel"/>
    <w:lvl w:ilvl="0">
      <w:lvlJc w:val="left"/>
      <w:lvlText w:val="(%1)"/>
      <w:numFmt w:val="decimal"/>
      <w:start w:val="1"/>
    </w:lvl>
    <w:lvl w:ilvl="1">
      <w:lvlJc w:val="left"/>
      <w:lvlText w:val="%2"/>
      <w:numFmt w:val="lowerLetter"/>
      <w:start w:val="1"/>
    </w:lvl>
  </w:abstractNum>
  <w:abstractNum w:abstractNumId="60">
    <w:nsid w:val="6A37288A"/>
    <w:multiLevelType w:val="hybridMultilevel"/>
    <w:lvl w:ilvl="0">
      <w:lvlJc w:val="left"/>
      <w:lvlText w:val="(%1)"/>
      <w:numFmt w:val="lowerLetter"/>
      <w:start w:val="1"/>
    </w:lvl>
  </w:abstractNum>
  <w:abstractNum w:abstractNumId="61">
    <w:nsid w:val="8F8B73F"/>
    <w:multiLevelType w:val="hybridMultilevel"/>
    <w:lvl w:ilvl="0">
      <w:lvlJc w:val="left"/>
      <w:lvlText w:val="(%1)"/>
      <w:numFmt w:val="lowerLetter"/>
      <w:start w:val="2"/>
    </w:lvl>
  </w:abstractNum>
  <w:abstractNum w:abstractNumId="62">
    <w:nsid w:val="CA6B462"/>
    <w:multiLevelType w:val="hybridMultilevel"/>
    <w:lvl w:ilvl="0">
      <w:lvlJc w:val="left"/>
      <w:lvlText w:val="(%1)"/>
      <w:numFmt w:val="lowerLetter"/>
      <w:start w:val="1"/>
    </w:lvl>
  </w:abstractNum>
  <w:abstractNum w:abstractNumId="63">
    <w:nsid w:val="763CB680"/>
    <w:multiLevelType w:val="hybridMultilevel"/>
    <w:lvl w:ilvl="0">
      <w:lvlJc w:val="left"/>
      <w:lvlText w:val="(%1)"/>
      <w:numFmt w:val="lowerLetter"/>
      <w:start w:val="1"/>
    </w:lvl>
  </w:abstractNum>
  <w:abstractNum w:abstractNumId="64">
    <w:nsid w:val="15B71329"/>
    <w:multiLevelType w:val="hybridMultilevel"/>
    <w:lvl w:ilvl="0">
      <w:lvlJc w:val="left"/>
      <w:lvlText w:val="(%1)"/>
      <w:numFmt w:val="lowerLetter"/>
      <w:start w:val="1"/>
    </w:lvl>
  </w:abstractNum>
  <w:abstractNum w:abstractNumId="65">
    <w:nsid w:val="3DA97044"/>
    <w:multiLevelType w:val="hybridMultilevel"/>
    <w:lvl w:ilvl="0">
      <w:lvlJc w:val="left"/>
      <w:lvlText w:val="(%1)"/>
      <w:numFmt w:val="lowerLetter"/>
      <w:start w:val="2"/>
    </w:lvl>
  </w:abstractNum>
  <w:abstractNum w:abstractNumId="66">
    <w:nsid w:val="1CDCE2DE"/>
    <w:multiLevelType w:val="hybridMultilevel"/>
    <w:lvl w:ilvl="0">
      <w:lvlJc w:val="left"/>
      <w:lvlText w:val="(%1)"/>
      <w:numFmt w:val="lowerLetter"/>
      <w:start w:val="1"/>
    </w:lvl>
  </w:abstractNum>
  <w:abstractNum w:abstractNumId="67">
    <w:nsid w:val="69D3947C"/>
    <w:multiLevelType w:val="hybridMultilevel"/>
    <w:lvl w:ilvl="0">
      <w:lvlJc w:val="left"/>
      <w:lvlText w:val="(%1)"/>
      <w:numFmt w:val="lowerLetter"/>
      <w:start w:val="6"/>
    </w:lvl>
  </w:abstractNum>
  <w:abstractNum w:abstractNumId="68">
    <w:nsid w:val="2539DFA5"/>
    <w:multiLevelType w:val="hybridMultilevel"/>
    <w:lvl w:ilvl="0">
      <w:lvlJc w:val="left"/>
      <w:lvlText w:val="(%1)"/>
      <w:numFmt w:val="lowerLetter"/>
      <w:start w:val="1"/>
    </w:lvl>
  </w:abstractNum>
  <w:abstractNum w:abstractNumId="69">
    <w:nsid w:val="2DB88089"/>
    <w:multiLevelType w:val="hybridMultilevel"/>
    <w:lvl w:ilvl="0">
      <w:lvlJc w:val="left"/>
      <w:lvlText w:val="(%1)"/>
      <w:numFmt w:val="decimal"/>
      <w:start w:val="1"/>
    </w:lvl>
  </w:abstractNum>
  <w:abstractNum w:abstractNumId="70">
    <w:nsid w:val="706B674E"/>
    <w:multiLevelType w:val="hybridMultilevel"/>
    <w:lvl w:ilvl="0">
      <w:lvlJc w:val="left"/>
      <w:lvlText w:val="(%1)"/>
      <w:numFmt w:val="lowerLetter"/>
      <w:start w:val="2"/>
    </w:lvl>
  </w:abstractNum>
  <w:abstractNum w:abstractNumId="71">
    <w:nsid w:val="2C106A57"/>
    <w:multiLevelType w:val="hybridMultilevel"/>
    <w:lvl w:ilvl="0">
      <w:lvlJc w:val="left"/>
      <w:lvlText w:val="(%1)"/>
      <w:numFmt w:val="decimal"/>
      <w:start w:val="2"/>
    </w:lvl>
  </w:abstractNum>
  <w:abstractNum w:abstractNumId="72">
    <w:nsid w:val="684EED59"/>
    <w:multiLevelType w:val="hybridMultilevel"/>
    <w:lvl w:ilvl="0">
      <w:lvlJc w:val="left"/>
      <w:lvlText w:val="(%1)"/>
      <w:numFmt w:val="lowerLetter"/>
      <w:start w:val="3"/>
    </w:lvl>
  </w:abstractNum>
  <w:abstractNum w:abstractNumId="73">
    <w:nsid w:val="545EE5D3"/>
    <w:multiLevelType w:val="hybridMultilevel"/>
    <w:lvl w:ilvl="0">
      <w:lvlJc w:val="left"/>
      <w:lvlText w:val="(%1)"/>
      <w:numFmt w:val="decimal"/>
      <w:start w:val="1"/>
    </w:lvl>
  </w:abstractNum>
  <w:abstractNum w:abstractNumId="74">
    <w:nsid w:val="4A66051"/>
    <w:multiLevelType w:val="hybridMultilevel"/>
    <w:lvl w:ilvl="0">
      <w:lvlJc w:val="left"/>
      <w:lvlText w:val="(%1)"/>
      <w:numFmt w:val="lowerLetter"/>
      <w:start w:val="4"/>
    </w:lvl>
  </w:abstractNum>
  <w:abstractNum w:abstractNumId="75">
    <w:nsid w:val="20F4BDAD"/>
    <w:multiLevelType w:val="hybridMultilevel"/>
    <w:lvl w:ilvl="0">
      <w:lvlJc w:val="left"/>
      <w:lvlText w:val="(%1)"/>
      <w:numFmt w:val="lowerLetter"/>
      <w:start w:val="1"/>
    </w:lvl>
  </w:abstractNum>
  <w:abstractNum w:abstractNumId="76">
    <w:nsid w:val="639DEFAC"/>
    <w:multiLevelType w:val="hybridMultilevel"/>
    <w:lvl w:ilvl="0">
      <w:lvlJc w:val="left"/>
      <w:lvlText w:val="(%1)"/>
      <w:numFmt w:val="lowerLetter"/>
      <w:start w:val="1"/>
    </w:lvl>
  </w:abstractNum>
  <w:abstractNum w:abstractNumId="77">
    <w:nsid w:val="501F9786"/>
    <w:multiLevelType w:val="hybridMultilevel"/>
    <w:lvl w:ilvl="0">
      <w:lvlJc w:val="left"/>
      <w:lvlText w:val="(%1)"/>
      <w:numFmt w:val="lowerLetter"/>
      <w:start w:val="1"/>
    </w:lvl>
  </w:abstractNum>
  <w:abstractNum w:abstractNumId="78">
    <w:nsid w:val="6B057295"/>
    <w:multiLevelType w:val="hybridMultilevel"/>
    <w:lvl w:ilvl="0">
      <w:lvlJc w:val="left"/>
      <w:lvlText w:val="(%1)"/>
      <w:numFmt w:val="lowerLetter"/>
      <w:start w:val="1"/>
    </w:lvl>
    <w:lvl w:ilvl="1">
      <w:lvlJc w:val="left"/>
      <w:lvlText w:val="(%2)"/>
      <w:numFmt w:val="decimal"/>
      <w:start w:val="1"/>
    </w:lvl>
  </w:abstractNum>
  <w:abstractNum w:abstractNumId="79">
    <w:nsid w:val="2771AC80"/>
    <w:multiLevelType w:val="hybridMultilevel"/>
    <w:lvl w:ilvl="0">
      <w:lvlJc w:val="left"/>
      <w:lvlText w:val="%1"/>
      <w:numFmt w:val="lowerLetter"/>
      <w:start w:val="1"/>
    </w:lvl>
    <w:lvl w:ilvl="1">
      <w:lvlJc w:val="left"/>
      <w:lvlText w:val="(%2)"/>
      <w:numFmt w:val="decimal"/>
      <w:start w:val="3"/>
    </w:lvl>
  </w:abstractNum>
  <w:abstractNum w:abstractNumId="80">
    <w:nsid w:val="1C4A08EC"/>
    <w:multiLevelType w:val="hybridMultilevel"/>
    <w:lvl w:ilvl="0">
      <w:lvlJc w:val="left"/>
      <w:lvlText w:val="(%1)"/>
      <w:numFmt w:val="lowerLetter"/>
      <w:start w:val="2"/>
    </w:lvl>
    <w:lvl w:ilvl="1">
      <w:lvlJc w:val="left"/>
      <w:lvlText w:val="%2"/>
      <w:numFmt w:val="decimal"/>
      <w:start w:val="1"/>
    </w:lvl>
  </w:abstractNum>
  <w:abstractNum w:abstractNumId="81">
    <w:nsid w:val="1958BD17"/>
    <w:multiLevelType w:val="hybridMultilevel"/>
    <w:lvl w:ilvl="0">
      <w:lvlJc w:val="left"/>
      <w:lvlText w:val="(%1)"/>
      <w:numFmt w:val="decimal"/>
      <w:start w:val="1"/>
    </w:lvl>
  </w:abstractNum>
  <w:abstractNum w:abstractNumId="82">
    <w:nsid w:val="4E647FE4"/>
    <w:multiLevelType w:val="hybridMultilevel"/>
    <w:lvl w:ilvl="0">
      <w:lvlJc w:val="left"/>
      <w:lvlText w:val="(%1)"/>
      <w:numFmt w:val="decimal"/>
      <w:start w:val="1"/>
    </w:lvl>
  </w:abstractNum>
  <w:abstractNum w:abstractNumId="83">
    <w:nsid w:val="E0BB885"/>
    <w:multiLevelType w:val="hybridMultilevel"/>
    <w:lvl w:ilvl="0">
      <w:lvlJc w:val="left"/>
      <w:lvlText w:val="(%1)"/>
      <w:numFmt w:val="lowerRoman"/>
      <w:start w:val="1"/>
    </w:lvl>
  </w:abstractNum>
  <w:abstractNum w:abstractNumId="84">
    <w:nsid w:val="565976F1"/>
    <w:multiLevelType w:val="hybridMultilevel"/>
    <w:lvl w:ilvl="0">
      <w:lvlJc w:val="left"/>
      <w:lvlText w:val="(%1)"/>
      <w:numFmt w:val="lowerLetter"/>
      <w:start w:val="1"/>
    </w:lvl>
    <w:lvl w:ilvl="1">
      <w:lvlJc w:val="left"/>
      <w:lvlText w:val="(%2)"/>
      <w:numFmt w:val="decimal"/>
      <w:start w:val="1"/>
    </w:lvl>
  </w:abstractNum>
  <w:abstractNum w:abstractNumId="85">
    <w:nsid w:val="64212B8C"/>
    <w:multiLevelType w:val="hybridMultilevel"/>
    <w:lvl w:ilvl="0">
      <w:lvlJc w:val="left"/>
      <w:lvlText w:val="(%1)"/>
      <w:numFmt w:val="decimal"/>
      <w:start w:val="3"/>
    </w:lvl>
  </w:abstractNum>
  <w:abstractNum w:abstractNumId="86">
    <w:nsid w:val="5C17530C"/>
    <w:multiLevelType w:val="hybridMultilevel"/>
    <w:lvl w:ilvl="0">
      <w:lvlJc w:val="left"/>
      <w:lvlText w:val="(%1)"/>
      <w:numFmt w:val="lowerLetter"/>
      <w:start w:val="1"/>
    </w:lvl>
  </w:abstractNum>
  <w:abstractNum w:abstractNumId="87">
    <w:nsid w:val="19A52566"/>
    <w:multiLevelType w:val="hybridMultilevel"/>
    <w:lvl w:ilvl="0">
      <w:lvlJc w:val="left"/>
      <w:lvlText w:val="(%1)"/>
      <w:numFmt w:val="lowerLetter"/>
      <w:start w:val="1"/>
    </w:lvl>
  </w:abstractNum>
  <w:abstractNum w:abstractNumId="88">
    <w:nsid w:val="335A1DF1"/>
    <w:multiLevelType w:val="hybridMultilevel"/>
    <w:lvl w:ilvl="0">
      <w:lvlJc w:val="left"/>
      <w:lvlText w:val="%1"/>
      <w:numFmt w:val="decimal"/>
      <w:start w:val="1"/>
    </w:lvl>
    <w:lvl w:ilvl="1">
      <w:lvlJc w:val="left"/>
      <w:lvlText w:val="(%2)"/>
      <w:numFmt w:val="lowerLetter"/>
      <w:start w:val="2"/>
    </w:lvl>
  </w:abstractNum>
  <w:abstractNum w:abstractNumId="89">
    <w:nsid w:val="28677B7C"/>
    <w:multiLevelType w:val="hybridMultilevel"/>
    <w:lvl w:ilvl="0">
      <w:lvlJc w:val="left"/>
      <w:lvlText w:val="(%1)"/>
      <w:numFmt w:val="decimal"/>
      <w:start w:val="4"/>
    </w:lvl>
    <w:lvl w:ilvl="1">
      <w:lvlJc w:val="left"/>
      <w:lvlText w:val="(%2)"/>
      <w:numFmt w:val="lowerLetter"/>
      <w:start w:val="5"/>
    </w:lvl>
  </w:abstractNum>
  <w:abstractNum w:abstractNumId="90">
    <w:nsid w:val="378D97C0"/>
    <w:multiLevelType w:val="hybridMultilevel"/>
    <w:lvl w:ilvl="0">
      <w:lvlJc w:val="left"/>
      <w:lvlText w:val="(%1)"/>
      <w:numFmt w:val="lowerLetter"/>
      <w:start w:val="6"/>
    </w:lvl>
  </w:abstractNum>
  <w:abstractNum w:abstractNumId="91">
    <w:nsid w:val="1D91467C"/>
    <w:multiLevelType w:val="hybridMultilevel"/>
    <w:lvl w:ilvl="0">
      <w:lvlJc w:val="left"/>
      <w:lvlText w:val="(%1)"/>
      <w:numFmt w:val="lowerLetter"/>
      <w:start w:val="1"/>
    </w:lvl>
    <w:lvl w:ilvl="1">
      <w:lvlJc w:val="left"/>
      <w:lvlText w:val="(%2)"/>
      <w:numFmt w:val="decimal"/>
      <w:start w:val="1"/>
    </w:lvl>
  </w:abstractNum>
  <w:abstractNum w:abstractNumId="92">
    <w:nsid w:val="316032BB"/>
    <w:multiLevelType w:val="hybridMultilevel"/>
    <w:lvl w:ilvl="0">
      <w:lvlJc w:val="left"/>
      <w:lvlText w:val="(%1)"/>
      <w:numFmt w:val="lowerLetter"/>
      <w:start w:val="1"/>
    </w:lvl>
  </w:abstractNum>
  <w:abstractNum w:abstractNumId="93">
    <w:nsid w:val="44344C22"/>
    <w:multiLevelType w:val="hybridMultilevel"/>
    <w:lvl w:ilvl="0">
      <w:lvlJc w:val="left"/>
      <w:lvlText w:val="(%1)"/>
      <w:numFmt w:val="lowerLetter"/>
      <w:start w:val="2"/>
    </w:lvl>
  </w:abstractNum>
  <w:abstractNum w:abstractNumId="94">
    <w:nsid w:val="13CDFCFC"/>
    <w:multiLevelType w:val="hybridMultilevel"/>
    <w:lvl w:ilvl="0">
      <w:lvlJc w:val="left"/>
      <w:lvlText w:val="(%1)"/>
      <w:numFmt w:val="lowerLetter"/>
      <w:start w:val="1"/>
    </w:lvl>
  </w:abstractNum>
  <w:abstractNum w:abstractNumId="95">
    <w:nsid w:val="471745E4"/>
    <w:multiLevelType w:val="hybridMultilevel"/>
    <w:lvl w:ilvl="0">
      <w:lvlJc w:val="left"/>
      <w:lvlText w:val="%1"/>
      <w:numFmt w:val="decimal"/>
      <w:start w:val="1"/>
    </w:lvl>
    <w:lvl w:ilvl="1">
      <w:lvlJc w:val="left"/>
      <w:lvlText w:val="(%2)"/>
      <w:numFmt w:val="lowerLetter"/>
      <w:start w:val="1"/>
    </w:lvl>
  </w:abstractNum>
  <w:abstractNum w:abstractNumId="96">
    <w:nsid w:val="1DDBC66"/>
    <w:multiLevelType w:val="hybridMultilevel"/>
    <w:lvl w:ilvl="0">
      <w:lvlJc w:val="left"/>
      <w:lvlText w:val="(%1)"/>
      <w:numFmt w:val="decimal"/>
      <w:start w:val="8"/>
    </w:lvl>
    <w:lvl w:ilvl="1">
      <w:lvlJc w:val="left"/>
      <w:lvlText w:val="(%2)"/>
      <w:numFmt w:val="lowerLetter"/>
      <w:start w:val="2"/>
    </w:lvl>
  </w:abstractNum>
  <w:abstractNum w:abstractNumId="97">
    <w:nsid w:val="30AADFDA"/>
    <w:multiLevelType w:val="hybridMultilevel"/>
    <w:lvl w:ilvl="0">
      <w:lvlJc w:val="left"/>
      <w:lvlText w:val="(%1)"/>
      <w:numFmt w:val="lowerLetter"/>
      <w:start w:val="3"/>
    </w:lvl>
  </w:abstractNum>
  <w:abstractNum w:abstractNumId="98">
    <w:nsid w:val="30EADA61"/>
    <w:multiLevelType w:val="hybridMultilevel"/>
    <w:lvl w:ilvl="0">
      <w:lvlJc w:val="left"/>
      <w:lvlText w:val="(%1)"/>
      <w:numFmt w:val="lowerLetter"/>
      <w:start w:val="1"/>
    </w:lvl>
  </w:abstractNum>
  <w:abstractNum w:abstractNumId="99">
    <w:nsid w:val="27179C0B"/>
    <w:multiLevelType w:val="hybridMultilevel"/>
    <w:lvl w:ilvl="0">
      <w:lvlJc w:val="left"/>
      <w:lvlText w:val="(%1)"/>
      <w:numFmt w:val="decimal"/>
      <w:start w:val="1"/>
    </w:lvl>
  </w:abstractNum>
  <w:abstractNum w:abstractNumId="100">
    <w:nsid w:val="5E636063"/>
    <w:multiLevelType w:val="hybridMultilevel"/>
    <w:lvl w:ilvl="0">
      <w:lvlJc w:val="left"/>
      <w:lvlText w:val="(%1)"/>
      <w:numFmt w:val="decimal"/>
      <w:start w:val="7"/>
    </w:lvl>
  </w:abstractNum>
  <w:abstractNum w:abstractNumId="101">
    <w:nsid w:val="215641AF"/>
    <w:multiLevelType w:val="hybridMultilevel"/>
    <w:lvl w:ilvl="0">
      <w:lvlJc w:val="left"/>
      <w:lvlText w:val="(%1)"/>
      <w:numFmt w:val="decimal"/>
      <w:start w:val="14"/>
    </w:lvl>
  </w:abstractNum>
  <w:abstractNum w:abstractNumId="102">
    <w:nsid w:val="53280662"/>
    <w:multiLevelType w:val="hybridMultilevel"/>
    <w:lvl w:ilvl="0">
      <w:lvlJc w:val="left"/>
      <w:lvlText w:val="%1"/>
      <w:numFmt w:val="lowerLetter"/>
      <w:start w:val="1"/>
    </w:lvl>
    <w:lvl w:ilvl="1">
      <w:lvlJc w:val="left"/>
      <w:lvlText w:val="(%2)"/>
      <w:numFmt w:val="decimal"/>
      <w:start w:val="20"/>
    </w:lvl>
  </w:abstractNum>
  <w:abstractNum w:abstractNumId="103">
    <w:nsid w:val="46B24DBC"/>
    <w:multiLevelType w:val="hybridMultilevel"/>
    <w:lvl w:ilvl="0">
      <w:lvlJc w:val="left"/>
      <w:lvlText w:val="(%1)"/>
      <w:numFmt w:val="lowerLetter"/>
      <w:start w:val="3"/>
    </w:lvl>
    <w:lvl w:ilvl="1">
      <w:lvlJc w:val="left"/>
      <w:lvlText w:val="%2"/>
      <w:numFmt w:val="decimal"/>
      <w:start w:val="1"/>
    </w:lvl>
  </w:abstractNum>
  <w:abstractNum w:abstractNumId="104">
    <w:nsid w:val="75B52783"/>
    <w:multiLevelType w:val="hybridMultilevel"/>
    <w:lvl w:ilvl="0">
      <w:lvlJc w:val="left"/>
      <w:lvlText w:val="(%1)"/>
      <w:numFmt w:val="lowerLetter"/>
      <w:start w:val="1"/>
    </w:lvl>
  </w:abstractNum>
  <w:abstractNum w:abstractNumId="105">
    <w:nsid w:val="57CE66B4"/>
    <w:multiLevelType w:val="hybridMultilevel"/>
    <w:lvl w:ilvl="0">
      <w:lvlJc w:val="left"/>
      <w:lvlText w:val="(%1)"/>
      <w:numFmt w:val="decimal"/>
      <w:start w:val="1"/>
    </w:lvl>
    <w:lvl w:ilvl="1">
      <w:lvlJc w:val="left"/>
      <w:lvlText w:val="(%2)"/>
      <w:numFmt w:val="lowerRoman"/>
      <w:start w:val="1"/>
    </w:lvl>
  </w:abstractNum>
  <w:abstractNum w:abstractNumId="106">
    <w:nsid w:val="67A70B69"/>
    <w:multiLevelType w:val="hybridMultilevel"/>
    <w:lvl w:ilvl="0">
      <w:lvlJc w:val="left"/>
      <w:lvlText w:val="%1"/>
      <w:numFmt w:val="lowerLetter"/>
      <w:start w:val="1"/>
    </w:lvl>
    <w:lvl w:ilvl="1">
      <w:lvlJc w:val="left"/>
      <w:lvlText w:val="(%2)"/>
      <w:numFmt w:val="decimal"/>
      <w:start w:val="2"/>
    </w:lvl>
  </w:abstractNum>
  <w:abstractNum w:abstractNumId="107">
    <w:nsid w:val="5953172F"/>
    <w:multiLevelType w:val="hybridMultilevel"/>
    <w:lvl w:ilvl="0">
      <w:lvlJc w:val="left"/>
      <w:lvlText w:val="(%1)"/>
      <w:numFmt w:val="lowerLetter"/>
      <w:start w:val="4"/>
    </w:lvl>
    <w:lvl w:ilvl="1">
      <w:lvlJc w:val="left"/>
      <w:lvlText w:val="%2"/>
      <w:numFmt w:val="decimal"/>
      <w:start w:val="1"/>
    </w:lvl>
  </w:abstractNum>
  <w:abstractNum w:abstractNumId="108">
    <w:nsid w:val="27EDFE3A"/>
    <w:multiLevelType w:val="hybridMultilevel"/>
    <w:lvl w:ilvl="0">
      <w:lvlJc w:val="left"/>
      <w:lvlText w:val="(%1)"/>
      <w:numFmt w:val="lowerLetter"/>
      <w:start w:val="6"/>
    </w:lvl>
  </w:abstractNum>
  <w:abstractNum w:abstractNumId="109">
    <w:nsid w:val="52AC7DFF"/>
    <w:multiLevelType w:val="hybridMultilevel"/>
    <w:lvl w:ilvl="0">
      <w:lvlJc w:val="left"/>
      <w:lvlText w:val="(%1)"/>
      <w:numFmt w:val="lowerLetter"/>
      <w:start w:val="1"/>
    </w:lvl>
  </w:abstractNum>
  <w:abstractNum w:abstractNumId="110">
    <w:nsid w:val="C4C3AF"/>
    <w:multiLevelType w:val="hybridMultilevel"/>
    <w:lvl w:ilvl="0">
      <w:lvlJc w:val="left"/>
      <w:lvlText w:val="(%1)"/>
      <w:numFmt w:val="lowerLetter"/>
      <w:start w:val="3"/>
    </w:lvl>
    <w:lvl w:ilvl="1">
      <w:lvlJc w:val="left"/>
      <w:lvlText w:val="(%2)"/>
      <w:numFmt w:val="decimal"/>
      <w:start w:val="2"/>
    </w:lvl>
  </w:abstractNum>
  <w:abstractNum w:abstractNumId="111">
    <w:nsid w:val="44380727"/>
    <w:multiLevelType w:val="hybridMultilevel"/>
    <w:lvl w:ilvl="0">
      <w:lvlJc w:val="left"/>
      <w:lvlText w:val="%1"/>
      <w:numFmt w:val="decimal"/>
      <w:start w:val="1"/>
    </w:lvl>
    <w:lvl w:ilvl="1">
      <w:lvlJc w:val="left"/>
      <w:lvlText w:val="(%2)"/>
      <w:numFmt w:val="decimal"/>
      <w:start w:val="5"/>
    </w:lvl>
  </w:abstractNum>
  <w:abstractNum w:abstractNumId="112">
    <w:nsid w:val="6C053B16"/>
    <w:multiLevelType w:val="hybridMultilevel"/>
    <w:lvl w:ilvl="0">
      <w:lvlJc w:val="left"/>
      <w:lvlText w:val="(%1)"/>
      <w:numFmt w:val="decimal"/>
      <w:start w:val="3"/>
    </w:lvl>
    <w:lvl w:ilvl="1">
      <w:lvlJc w:val="left"/>
      <w:lvlText w:val="%2"/>
      <w:numFmt w:val="decimal"/>
      <w:start w:val="1"/>
    </w:lvl>
  </w:abstractNum>
  <w:abstractNum w:abstractNumId="113">
    <w:nsid w:val="4F294393"/>
    <w:multiLevelType w:val="hybridMultilevel"/>
    <w:lvl w:ilvl="0">
      <w:lvlJc w:val="left"/>
      <w:lvlText w:val="(%1)"/>
      <w:numFmt w:val="decimal"/>
      <w:start w:val="5"/>
    </w:lvl>
    <w:lvl w:ilvl="1">
      <w:lvlJc w:val="left"/>
      <w:lvlText w:val="%2"/>
      <w:numFmt w:val="decimal"/>
      <w:start w:val="1"/>
    </w:lvl>
  </w:abstractNum>
  <w:abstractNum w:abstractNumId="114">
    <w:nsid w:val="5243BFAC"/>
    <w:multiLevelType w:val="hybridMultilevel"/>
    <w:lvl w:ilvl="0">
      <w:lvlJc w:val="left"/>
      <w:lvlText w:val="(%1)"/>
      <w:numFmt w:val="lowerLetter"/>
      <w:start w:val="1"/>
    </w:lvl>
  </w:abstractNum>
  <w:abstractNum w:abstractNumId="115">
    <w:nsid w:val="425EB207"/>
    <w:multiLevelType w:val="hybridMultilevel"/>
    <w:lvl w:ilvl="0">
      <w:lvlJc w:val="left"/>
      <w:lvlText w:val="(%1)"/>
      <w:numFmt w:val="lowerLetter"/>
      <w:start w:val="5"/>
    </w:lvl>
  </w:abstractNum>
  <w:abstractNum w:abstractNumId="116">
    <w:nsid w:val="334A6F1F"/>
    <w:multiLevelType w:val="hybridMultilevel"/>
    <w:lvl w:ilvl="0">
      <w:lvlJc w:val="left"/>
      <w:lvlText w:val="%1"/>
      <w:numFmt w:val="decimal"/>
      <w:start w:val="1"/>
    </w:lvl>
    <w:lvl w:ilvl="1">
      <w:lvlJc w:val="left"/>
      <w:lvlText w:val="(%2)"/>
      <w:numFmt w:val="lowerLetter"/>
      <w:start w:val="7"/>
    </w:lvl>
  </w:abstractNum>
  <w:abstractNum w:abstractNumId="117">
    <w:nsid w:val="2E5B12B8"/>
    <w:multiLevelType w:val="hybridMultilevel"/>
    <w:lvl w:ilvl="0">
      <w:lvlJc w:val="left"/>
      <w:lvlText w:val="(%1)"/>
      <w:numFmt w:val="decimal"/>
      <w:start w:val="2"/>
    </w:lvl>
    <w:lvl w:ilvl="1">
      <w:lvlJc w:val="left"/>
      <w:lvlText w:val="(%2)"/>
      <w:numFmt w:val="lowerLetter"/>
      <w:start w:val="11"/>
    </w:lvl>
  </w:abstractNum>
  <w:abstractNum w:abstractNumId="118">
    <w:nsid w:val="5C03D76D"/>
    <w:multiLevelType w:val="hybridMultilevel"/>
    <w:lvl w:ilvl="0">
      <w:lvlJc w:val="left"/>
      <w:lvlText w:val="(%1)"/>
      <w:numFmt w:val="lowerLetter"/>
      <w:start w:val="12"/>
    </w:lvl>
  </w:abstractNum>
  <w:abstractNum w:abstractNumId="119">
    <w:nsid w:val="66A48D11"/>
    <w:multiLevelType w:val="hybridMultilevel"/>
    <w:lvl w:ilvl="0">
      <w:lvlJc w:val="left"/>
      <w:lvlText w:val="%1"/>
      <w:numFmt w:val="decimal"/>
      <w:start w:val="1"/>
    </w:lvl>
    <w:lvl w:ilvl="1">
      <w:lvlJc w:val="left"/>
      <w:lvlText w:val="(%2)"/>
      <w:numFmt w:val="lowerLetter"/>
      <w:start w:val="1"/>
    </w:lvl>
  </w:abstractNum>
  <w:abstractNum w:abstractNumId="120">
    <w:nsid w:val="56C28E34"/>
    <w:multiLevelType w:val="hybridMultilevel"/>
    <w:lvl w:ilvl="0">
      <w:lvlJc w:val="left"/>
      <w:lvlText w:val="(%1)"/>
      <w:numFmt w:val="decimal"/>
      <w:start w:val="1"/>
    </w:lvl>
    <w:lvl w:ilvl="1">
      <w:lvlJc w:val="left"/>
      <w:lvlText w:val="(%2)"/>
      <w:numFmt w:val="lowerLetter"/>
      <w:start w:val="3"/>
    </w:lvl>
  </w:abstractNum>
  <w:abstractNum w:abstractNumId="121">
    <w:nsid w:val="13916F2D"/>
    <w:multiLevelType w:val="hybridMultilevel"/>
    <w:lvl w:ilvl="0">
      <w:lvlJc w:val="left"/>
      <w:lvlText w:val="(%1)"/>
      <w:numFmt w:val="lowerLetter"/>
      <w:start w:val="5"/>
    </w:lvl>
  </w:abstractNum>
  <w:abstractNum w:abstractNumId="122">
    <w:nsid w:val="435D38D"/>
    <w:multiLevelType w:val="hybridMultilevel"/>
    <w:lvl w:ilvl="0">
      <w:lvlJc w:val="left"/>
      <w:lvlText w:val="(%1)"/>
      <w:numFmt w:val="lowerLetter"/>
      <w:start w:val="1"/>
    </w:lvl>
  </w:abstractNum>
  <w:abstractNum w:abstractNumId="123">
    <w:nsid w:val="822C0EF"/>
    <w:multiLevelType w:val="hybridMultilevel"/>
    <w:lvl w:ilvl="0">
      <w:lvlJc w:val="left"/>
      <w:lvlText w:val="(%1)"/>
      <w:numFmt w:val="lowerLetter"/>
      <w:start w:val="5"/>
    </w:lvl>
    <w:lvl w:ilvl="1">
      <w:lvlJc w:val="left"/>
      <w:lvlText w:val="(%2)"/>
      <w:numFmt w:val="decimal"/>
      <w:start w:val="1"/>
    </w:lvl>
  </w:abstractNum>
  <w:abstractNum w:abstractNumId="124">
    <w:nsid w:val="57C5BB4F"/>
    <w:multiLevelType w:val="hybridMultilevel"/>
    <w:lvl w:ilvl="0">
      <w:lvlJc w:val="left"/>
      <w:lvlText w:val="%1"/>
      <w:numFmt w:val="lowerLetter"/>
      <w:start w:val="1"/>
    </w:lvl>
    <w:lvl w:ilvl="1">
      <w:lvlJc w:val="left"/>
      <w:lvlText w:val="(%2)"/>
      <w:numFmt w:val="decimal"/>
      <w:start w:val="2"/>
    </w:lvl>
  </w:abstractNum>
  <w:abstractNum w:abstractNumId="125">
    <w:nsid w:val="1803D089"/>
    <w:multiLevelType w:val="hybridMultilevel"/>
    <w:lvl w:ilvl="0">
      <w:lvlJc w:val="left"/>
      <w:lvlText w:val="(%1)"/>
      <w:numFmt w:val="lowerLetter"/>
      <w:start w:val="6"/>
    </w:lvl>
    <w:lvl w:ilvl="1">
      <w:lvlJc w:val="left"/>
      <w:lvlText w:val="%2"/>
      <w:numFmt w:val="decimal"/>
      <w:start w:val="1"/>
    </w:lvl>
  </w:abstractNum>
  <w:abstractNum w:abstractNumId="126">
    <w:nsid w:val="4F3A06D4"/>
    <w:multiLevelType w:val="hybridMultilevel"/>
    <w:lvl w:ilvl="0">
      <w:lvlJc w:val="left"/>
      <w:lvlText w:val="(%1)"/>
      <w:numFmt w:val="lowerRoman"/>
      <w:start w:val="1"/>
    </w:lvl>
  </w:abstractNum>
  <w:abstractNum w:abstractNumId="127">
    <w:nsid w:val="59A377B6"/>
    <w:multiLevelType w:val="hybridMultilevel"/>
    <w:lvl w:ilvl="0">
      <w:lvlJc w:val="left"/>
      <w:lvlText w:val="(%1)"/>
      <w:numFmt w:val="lowerLetter"/>
      <w:start w:val="1"/>
    </w:lvl>
  </w:abstractNum>
  <w:abstractNum w:abstractNumId="128">
    <w:nsid w:val="48AEB063"/>
    <w:multiLevelType w:val="hybridMultilevel"/>
    <w:lvl w:ilvl="0">
      <w:lvlJc w:val="left"/>
      <w:lvlText w:val="%1"/>
      <w:numFmt w:val="decimal"/>
      <w:start w:val="1"/>
    </w:lvl>
    <w:lvl w:ilvl="1">
      <w:lvlJc w:val="left"/>
      <w:lvlText w:val="(%2)"/>
      <w:numFmt w:val="lowerLetter"/>
      <w:start w:val="1"/>
    </w:lvl>
  </w:abstractNum>
  <w:abstractNum w:abstractNumId="129">
    <w:nsid w:val="24E135"/>
    <w:multiLevelType w:val="hybridMultilevel"/>
    <w:lvl w:ilvl="0">
      <w:lvlJc w:val="left"/>
      <w:lvlText w:val="%1)"/>
      <w:numFmt w:val="decimal"/>
      <w:start w:val="307"/>
    </w:lvl>
    <w:lvl w:ilvl="1">
      <w:lvlJc w:val="left"/>
      <w:lvlText w:val="(%2)"/>
      <w:numFmt w:val="lowerLetter"/>
      <w:start w:val="2"/>
    </w:lvl>
  </w:abstractNum>
  <w:abstractNum w:abstractNumId="130">
    <w:nsid w:val="BB13C1"/>
    <w:multiLevelType w:val="hybridMultilevel"/>
    <w:lvl w:ilvl="0">
      <w:lvlJc w:val="left"/>
      <w:lvlText w:val="(%1)"/>
      <w:numFmt w:val="lowerLetter"/>
      <w:start w:val="1"/>
    </w:lvl>
  </w:abstractNum>
  <w:abstractNum w:abstractNumId="131">
    <w:nsid w:val="271210C7"/>
    <w:multiLevelType w:val="hybridMultilevel"/>
    <w:lvl w:ilvl="0">
      <w:lvlJc w:val="left"/>
      <w:lvlText w:val="(%1)"/>
      <w:numFmt w:val="lowerLetter"/>
      <w:start w:val="1"/>
    </w:lvl>
  </w:abstractNum>
  <w:abstractNum w:abstractNumId="132">
    <w:nsid w:val="217B22E4"/>
    <w:multiLevelType w:val="hybridMultilevel"/>
    <w:lvl w:ilvl="0">
      <w:lvlJc w:val="left"/>
      <w:lvlText w:val="%1"/>
      <w:numFmt w:val="lowerLetter"/>
      <w:start w:val="1"/>
    </w:lvl>
    <w:lvl w:ilvl="1">
      <w:lvlJc w:val="left"/>
      <w:lvlText w:val="(%2)"/>
      <w:numFmt w:val="lowerLetter"/>
      <w:start w:val="3"/>
    </w:lvl>
  </w:abstractNum>
  <w:abstractNum w:abstractNumId="133">
    <w:nsid w:val="53E31A24"/>
    <w:multiLevelType w:val="hybridMultilevel"/>
    <w:lvl w:ilvl="0">
      <w:lvlJc w:val="left"/>
      <w:lvlText w:val="(%1)"/>
      <w:numFmt w:val="lowerLetter"/>
      <w:start w:val="4"/>
    </w:lvl>
    <w:lvl w:ilvl="1">
      <w:lvlJc w:val="left"/>
      <w:lvlText w:val="%2"/>
      <w:numFmt w:val="lowerLetter"/>
      <w:start w:val="1"/>
    </w:lvl>
  </w:abstractNum>
  <w:abstractNum w:abstractNumId="134">
    <w:nsid w:val="6DC45E83"/>
    <w:multiLevelType w:val="hybridMultilevel"/>
    <w:lvl w:ilvl="0">
      <w:lvlJc w:val="left"/>
      <w:lvlText w:val="(%1)"/>
      <w:numFmt w:val="lowerLetter"/>
      <w:start w:val="6"/>
    </w:lvl>
  </w:abstractNum>
  <w:abstractNum w:abstractNumId="135">
    <w:nsid w:val="17304A67"/>
    <w:multiLevelType w:val="hybridMultilevel"/>
    <w:lvl w:ilvl="0">
      <w:lvlJc w:val="left"/>
      <w:lvlText w:val="(%1)"/>
      <w:numFmt w:val="lowerLetter"/>
      <w:start w:val="9"/>
    </w:lvl>
  </w:abstractNum>
  <w:abstractNum w:abstractNumId="136">
    <w:nsid w:val="2BB180D8"/>
    <w:multiLevelType w:val="hybridMultilevel"/>
    <w:lvl w:ilvl="0">
      <w:lvlJc w:val="left"/>
      <w:lvlText w:val="(%1)"/>
      <w:numFmt w:val="lowerLetter"/>
      <w:start w:val="1"/>
    </w:lvl>
  </w:abstractNum>
  <w:abstractNum w:abstractNumId="137">
    <w:nsid w:val="556B69E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138">
    <w:nsid w:val="70836196"/>
    <w:multiLevelType w:val="hybridMultilevel"/>
    <w:lvl w:ilvl="0">
      <w:lvlJc w:val="left"/>
      <w:lvlText w:val="(%1)"/>
      <w:numFmt w:val="lowerRoman"/>
      <w:start w:val="2"/>
    </w:lvl>
  </w:abstractNum>
  <w:abstractNum w:abstractNumId="139">
    <w:nsid w:val="539F7F12"/>
    <w:multiLevelType w:val="hybridMultilevel"/>
    <w:lvl w:ilvl="0">
      <w:lvlJc w:val="left"/>
      <w:lvlText w:val="(%1)"/>
      <w:numFmt w:val="upperLetter"/>
      <w:start w:val="1"/>
    </w:lvl>
  </w:abstractNum>
  <w:abstractNum w:abstractNumId="140">
    <w:nsid w:val="2817E7EC"/>
    <w:multiLevelType w:val="hybridMultilevel"/>
    <w:lvl w:ilvl="0">
      <w:lvlJc w:val="left"/>
      <w:lvlText w:val="%1"/>
      <w:numFmt w:val="lowerLetter"/>
      <w:start w:val="1"/>
    </w:lvl>
    <w:lvl w:ilvl="1">
      <w:lvlJc w:val="left"/>
      <w:lvlText w:val="(%2)"/>
      <w:numFmt w:val="decimal"/>
      <w:start w:val="2"/>
    </w:lvl>
  </w:abstractNum>
  <w:abstractNum w:abstractNumId="141">
    <w:nsid w:val="71482545"/>
    <w:multiLevelType w:val="hybridMultilevel"/>
    <w:lvl w:ilvl="0">
      <w:lvlJc w:val="left"/>
      <w:lvlText w:val="(%1)"/>
      <w:numFmt w:val="lowerLetter"/>
      <w:start w:val="2"/>
    </w:lvl>
    <w:lvl w:ilvl="1">
      <w:lvlJc w:val="left"/>
      <w:lvlText w:val="%2"/>
      <w:numFmt w:val="decimal"/>
      <w:start w:val="1"/>
    </w:lvl>
  </w:abstractNum>
  <w:abstractNum w:abstractNumId="142">
    <w:nsid w:val="17D78639"/>
    <w:multiLevelType w:val="hybridMultilevel"/>
    <w:lvl w:ilvl="0">
      <w:lvlJc w:val="left"/>
      <w:lvlText w:val="(%1)"/>
      <w:numFmt w:val="lowerLetter"/>
      <w:start w:val="1"/>
    </w:lvl>
    <w:lvl w:ilvl="1">
      <w:lvlJc w:val="left"/>
      <w:lvlText w:val="(%2)"/>
      <w:numFmt w:val="decimal"/>
      <w:start w:val="1"/>
    </w:lvl>
  </w:abstractNum>
  <w:abstractNum w:abstractNumId="143">
    <w:nsid w:val="141D230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44">
    <w:nsid w:val="407168D8"/>
    <w:multiLevelType w:val="hybridMultilevel"/>
    <w:lvl w:ilvl="0">
      <w:lvlJc w:val="left"/>
      <w:lvlText w:val="%1"/>
      <w:numFmt w:val="lowerLetter"/>
      <w:start w:val="1"/>
    </w:lvl>
    <w:lvl w:ilvl="1">
      <w:lvlJc w:val="left"/>
      <w:lvlText w:val="(%2)"/>
      <w:numFmt w:val="decimal"/>
      <w:start w:val="6"/>
    </w:lvl>
    <w:lvl w:ilvl="2">
      <w:lvlJc w:val="left"/>
      <w:lvlText w:val="(%3)"/>
      <w:numFmt w:val="lowerRoman"/>
      <w:start w:val="1"/>
    </w:lvl>
  </w:abstractNum>
  <w:abstractNum w:abstractNumId="145">
    <w:nsid w:val="6A1B45E5"/>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146">
    <w:nsid w:val="567BD50A"/>
    <w:multiLevelType w:val="hybridMultilevel"/>
    <w:lvl w:ilvl="0">
      <w:lvlJc w:val="left"/>
      <w:lvlText w:val="(%1)"/>
      <w:numFmt w:val="lowerLetter"/>
      <w:start w:val="1"/>
    </w:lvl>
  </w:abstractNum>
  <w:abstractNum w:abstractNumId="147">
    <w:nsid w:val="73BBD7F8"/>
    <w:multiLevelType w:val="hybridMultilevel"/>
    <w:lvl w:ilvl="0">
      <w:lvlJc w:val="left"/>
      <w:lvlText w:val="(%1)"/>
      <w:numFmt w:val="lowerLetter"/>
      <w:start w:val="2"/>
    </w:lvl>
    <w:lvl w:ilvl="1">
      <w:lvlJc w:val="left"/>
      <w:lvlText w:val="(%2)"/>
      <w:numFmt w:val="decimal"/>
      <w:start w:val="1"/>
    </w:lvl>
  </w:abstractNum>
  <w:abstractNum w:abstractNumId="148">
    <w:nsid w:val="1876589D"/>
    <w:multiLevelType w:val="hybridMultilevel"/>
    <w:lvl w:ilvl="0">
      <w:lvlJc w:val="left"/>
      <w:lvlText w:val="(%1)"/>
      <w:numFmt w:val="lowerLetter"/>
      <w:start w:val="1"/>
    </w:lvl>
    <w:lvl w:ilvl="1">
      <w:lvlJc w:val="left"/>
      <w:lvlText w:val="(%2)"/>
      <w:numFmt w:val="decimal"/>
      <w:start w:val="1"/>
    </w:lvl>
  </w:abstractNum>
  <w:abstractNum w:abstractNumId="149">
    <w:nsid w:val="327FAC77"/>
    <w:multiLevelType w:val="hybridMultilevel"/>
    <w:lvl w:ilvl="0">
      <w:lvlJc w:val="left"/>
      <w:lvlText w:val="(%1)"/>
      <w:numFmt w:val="lowerLetter"/>
      <w:start w:val="2"/>
    </w:lvl>
  </w:abstractNum>
  <w:abstractNum w:abstractNumId="150">
    <w:nsid w:val="5A606509"/>
    <w:multiLevelType w:val="hybridMultilevel"/>
    <w:lvl w:ilvl="0">
      <w:lvlJc w:val="left"/>
      <w:lvlText w:val="(%1)"/>
      <w:numFmt w:val="lowerLetter"/>
      <w:start w:val="1"/>
    </w:lvl>
    <w:lvl w:ilvl="1">
      <w:lvlJc w:val="left"/>
      <w:lvlText w:val="(%2)"/>
      <w:numFmt w:val="decimal"/>
      <w:start w:val="1"/>
    </w:lvl>
  </w:abstractNum>
  <w:abstractNum w:abstractNumId="151">
    <w:nsid w:val="6F38E6D1"/>
    <w:multiLevelType w:val="hybridMultilevel"/>
    <w:lvl w:ilvl="0">
      <w:lvlJc w:val="left"/>
      <w:lvlText w:val="(%1)"/>
      <w:numFmt w:val="lowerLetter"/>
      <w:start w:val="2"/>
    </w:lvl>
  </w:abstractNum>
  <w:abstractNum w:abstractNumId="152">
    <w:nsid w:val="46111BA5"/>
    <w:multiLevelType w:val="hybridMultilevel"/>
    <w:lvl w:ilvl="0">
      <w:lvlJc w:val="left"/>
      <w:lvlText w:val="(%1)"/>
      <w:numFmt w:val="lowerLetter"/>
      <w:start w:val="1"/>
    </w:lvl>
  </w:abstractNum>
  <w:abstractNum w:abstractNumId="153">
    <w:nsid w:val="5E963896"/>
    <w:multiLevelType w:val="hybridMultilevel"/>
    <w:lvl w:ilvl="0">
      <w:lvlJc w:val="left"/>
      <w:lvlText w:val="(%1)"/>
      <w:numFmt w:val="lowerLetter"/>
      <w:start w:val="2"/>
    </w:lvl>
  </w:abstractNum>
  <w:abstractNum w:abstractNumId="154">
    <w:nsid w:val="775BA7C1"/>
    <w:multiLevelType w:val="hybridMultilevel"/>
    <w:lvl w:ilvl="0">
      <w:lvlJc w:val="left"/>
      <w:lvlText w:val="(%1)"/>
      <w:numFmt w:val="lowerLetter"/>
      <w:start w:val="1"/>
    </w:lvl>
  </w:abstractNum>
  <w:abstractNum w:abstractNumId="155">
    <w:nsid w:val="1DD6D6F4"/>
    <w:multiLevelType w:val="hybridMultilevel"/>
    <w:lvl w:ilvl="0">
      <w:lvlJc w:val="left"/>
      <w:lvlText w:val="(%1)"/>
      <w:numFmt w:val="lowerLetter"/>
      <w:start w:val="1"/>
    </w:lvl>
  </w:abstractNum>
  <w:abstractNum w:abstractNumId="156">
    <w:nsid w:val="769A091F"/>
    <w:multiLevelType w:val="hybridMultilevel"/>
    <w:lvl w:ilvl="0">
      <w:lvlJc w:val="left"/>
      <w:lvlText w:val="%1"/>
      <w:numFmt w:val="lowerLetter"/>
      <w:start w:val="1"/>
    </w:lvl>
    <w:lvl w:ilvl="1">
      <w:lvlJc w:val="left"/>
      <w:lvlText w:val="(%2)"/>
      <w:numFmt w:val="decimal"/>
      <w:start w:val="1"/>
    </w:lvl>
  </w:abstractNum>
  <w:abstractNum w:abstractNumId="157">
    <w:nsid w:val="4695AE95"/>
    <w:multiLevelType w:val="hybridMultilevel"/>
    <w:lvl w:ilvl="0">
      <w:lvlJc w:val="left"/>
      <w:lvlText w:val="(%1)"/>
      <w:numFmt w:val="lowerLetter"/>
      <w:start w:val="2"/>
    </w:lvl>
    <w:lvl w:ilvl="1">
      <w:lvlJc w:val="left"/>
      <w:lvlText w:val="%2"/>
      <w:numFmt w:val="decimal"/>
      <w:start w:val="1"/>
    </w:lvl>
  </w:abstractNum>
  <w:abstractNum w:abstractNumId="158">
    <w:nsid w:val="777A4EAA"/>
    <w:multiLevelType w:val="hybridMultilevel"/>
    <w:lvl w:ilvl="0">
      <w:lvlJc w:val="left"/>
      <w:lvlText w:val="(%1)"/>
      <w:numFmt w:val="decimal"/>
      <w:start w:val="1"/>
    </w:lvl>
  </w:abstractNum>
  <w:abstractNum w:abstractNumId="159">
    <w:nsid w:val="3F48B982"/>
    <w:multiLevelType w:val="hybridMultilevel"/>
    <w:lvl w:ilvl="0">
      <w:lvlJc w:val="left"/>
      <w:lvlText w:val="%1"/>
      <w:numFmt w:val="lowerLetter"/>
      <w:start w:val="1"/>
    </w:lvl>
    <w:lvl w:ilvl="1">
      <w:lvlJc w:val="left"/>
      <w:lvlText w:val="(%2)"/>
      <w:numFmt w:val="decimal"/>
      <w:start w:val="9"/>
    </w:lvl>
  </w:abstractNum>
  <w:abstractNum w:abstractNumId="160">
    <w:nsid w:val="46BA8FCA"/>
    <w:multiLevelType w:val="hybridMultilevel"/>
    <w:lvl w:ilvl="0">
      <w:lvlJc w:val="left"/>
      <w:lvlText w:val="(%1)"/>
      <w:numFmt w:val="lowerLetter"/>
      <w:start w:val="2"/>
    </w:lvl>
    <w:lvl w:ilvl="1">
      <w:lvlJc w:val="left"/>
      <w:lvlText w:val="%2"/>
      <w:numFmt w:val="decimal"/>
      <w:start w:val="1"/>
    </w:lvl>
  </w:abstractNum>
  <w:abstractNum w:abstractNumId="161">
    <w:nsid w:val="7835626C"/>
    <w:multiLevelType w:val="hybridMultilevel"/>
    <w:lvl w:ilvl="0">
      <w:lvlJc w:val="left"/>
      <w:lvlText w:val="(%1)"/>
      <w:numFmt w:val="lowerLetter"/>
      <w:start w:val="1"/>
    </w:lvl>
    <w:lvl w:ilvl="1">
      <w:lvlJc w:val="left"/>
      <w:lvlText w:val="(%2)"/>
      <w:numFmt w:val="decimal"/>
      <w:start w:val="1"/>
    </w:lvl>
  </w:abstractNum>
  <w:abstractNum w:abstractNumId="162">
    <w:nsid w:val="665ACA49"/>
    <w:multiLevelType w:val="hybridMultilevel"/>
    <w:lvl w:ilvl="0">
      <w:lvlJc w:val="left"/>
      <w:lvlText w:val="(%1)"/>
      <w:numFmt w:val="lowerLetter"/>
      <w:start w:val="2"/>
    </w:lvl>
  </w:abstractNum>
  <w:abstractNum w:abstractNumId="163">
    <w:nsid w:val="6835B2AE"/>
    <w:multiLevelType w:val="hybridMultilevel"/>
    <w:lvl w:ilvl="0">
      <w:lvlJc w:val="left"/>
      <w:lvlText w:val="(%1)"/>
      <w:numFmt w:val="lowerLetter"/>
      <w:start w:val="1"/>
    </w:lvl>
    <w:lvl w:ilvl="1">
      <w:lvlJc w:val="left"/>
      <w:lvlText w:val="(%2)"/>
      <w:numFmt w:val="decimal"/>
      <w:start w:val="1"/>
    </w:lvl>
  </w:abstractNum>
  <w:abstractNum w:abstractNumId="164">
    <w:nsid w:val="4C187C90"/>
    <w:multiLevelType w:val="hybridMultilevel"/>
    <w:lvl w:ilvl="0">
      <w:lvlJc w:val="left"/>
      <w:lvlText w:val="(%1)"/>
      <w:numFmt w:val="lowerLetter"/>
      <w:start w:val="5"/>
    </w:lvl>
  </w:abstractNum>
  <w:abstractNum w:abstractNumId="165">
    <w:nsid w:val="541F28CD"/>
    <w:multiLevelType w:val="hybridMultilevel"/>
    <w:lvl w:ilvl="0">
      <w:lvlJc w:val="left"/>
      <w:lvlText w:val="(%1)"/>
      <w:numFmt w:val="lowerLetter"/>
      <w:start w:val="1"/>
    </w:lvl>
  </w:abstractNum>
  <w:abstractNum w:abstractNumId="166">
    <w:nsid w:val="7F65FD16"/>
    <w:multiLevelType w:val="hybridMultilevel"/>
    <w:lvl w:ilvl="0">
      <w:lvlJc w:val="left"/>
      <w:lvlText w:val="(%1)"/>
      <w:numFmt w:val="lowerLetter"/>
      <w:start w:val="2"/>
    </w:lvl>
    <w:lvl w:ilvl="1">
      <w:lvlJc w:val="left"/>
      <w:lvlText w:val="(%2)"/>
      <w:numFmt w:val="decimal"/>
      <w:start w:val="1"/>
    </w:lvl>
  </w:abstractNum>
  <w:abstractNum w:abstractNumId="167">
    <w:nsid w:val="77C9FD68"/>
    <w:multiLevelType w:val="hybridMultilevel"/>
    <w:lvl w:ilvl="0">
      <w:lvlJc w:val="left"/>
      <w:lvlText w:val="(%1)"/>
      <w:numFmt w:val="lowerLetter"/>
      <w:start w:val="1"/>
    </w:lvl>
  </w:abstractNum>
  <w:abstractNum w:abstractNumId="168">
    <w:nsid w:val="298A92BA"/>
    <w:multiLevelType w:val="hybridMultilevel"/>
    <w:lvl w:ilvl="0">
      <w:lvlJc w:val="left"/>
      <w:lvlText w:val="(%1)"/>
      <w:numFmt w:val="lowerLetter"/>
      <w:start w:val="3"/>
    </w:lvl>
  </w:abstractNum>
  <w:abstractNum w:abstractNumId="169">
    <w:nsid w:val="6FE95EAC"/>
    <w:multiLevelType w:val="hybridMultilevel"/>
    <w:lvl w:ilvl="0">
      <w:lvlJc w:val="left"/>
      <w:lvlText w:val="(%1)"/>
      <w:numFmt w:val="lowerLetter"/>
      <w:start w:val="1"/>
    </w:lvl>
    <w:lvl w:ilvl="1">
      <w:lvlJc w:val="left"/>
      <w:lvlText w:val="(%2)"/>
      <w:numFmt w:val="decimal"/>
      <w:start w:val="1"/>
    </w:lvl>
  </w:abstractNum>
  <w:abstractNum w:abstractNumId="170">
    <w:nsid w:val="4B697C7A"/>
    <w:multiLevelType w:val="hybridMultilevel"/>
    <w:lvl w:ilvl="0">
      <w:lvlJc w:val="left"/>
      <w:lvlText w:val="(%1)"/>
      <w:numFmt w:val="lowerLetter"/>
      <w:start w:val="1"/>
    </w:lvl>
  </w:abstractNum>
  <w:abstractNum w:abstractNumId="171">
    <w:nsid w:val="51A27AA6"/>
    <w:multiLevelType w:val="hybridMultilevel"/>
    <w:lvl w:ilvl="0">
      <w:lvlJc w:val="left"/>
      <w:lvlText w:val="(%1)"/>
      <w:numFmt w:val="lowerLetter"/>
      <w:start w:val="3"/>
    </w:lvl>
  </w:abstractNum>
  <w:abstractNum w:abstractNumId="172">
    <w:nsid w:val="613183F2"/>
    <w:multiLevelType w:val="hybridMultilevel"/>
    <w:lvl w:ilvl="0">
      <w:lvlJc w:val="left"/>
      <w:lvlText w:val="(%1)"/>
      <w:numFmt w:val="lowerLetter"/>
      <w:start w:val="5"/>
    </w:lvl>
  </w:abstractNum>
  <w:abstractNum w:abstractNumId="173">
    <w:nsid w:val="634102B4"/>
    <w:multiLevelType w:val="hybridMultilevel"/>
    <w:lvl w:ilvl="0">
      <w:lvlJc w:val="left"/>
      <w:lvlText w:val="(%1)"/>
      <w:numFmt w:val="lowerLetter"/>
      <w:start w:val="1"/>
    </w:lvl>
  </w:abstractNum>
  <w:abstractNum w:abstractNumId="174">
    <w:nsid w:val="65BF9DA8"/>
    <w:multiLevelType w:val="hybridMultilevel"/>
    <w:lvl w:ilvl="0">
      <w:lvlJc w:val="left"/>
      <w:lvlText w:val="(%1)"/>
      <w:numFmt w:val="lowerLetter"/>
      <w:start w:val="4"/>
    </w:lvl>
  </w:abstractNum>
  <w:abstractNum w:abstractNumId="175">
    <w:nsid w:val="21A2ECCA"/>
    <w:multiLevelType w:val="hybridMultilevel"/>
    <w:lvl w:ilvl="0">
      <w:lvlJc w:val="left"/>
      <w:lvlText w:val="(%1)"/>
      <w:numFmt w:val="lowerLetter"/>
      <w:start w:val="1"/>
    </w:lvl>
  </w:abstractNum>
  <w:abstractNum w:abstractNumId="176">
    <w:nsid w:val="4D5C4899"/>
    <w:multiLevelType w:val="hybridMultilevel"/>
    <w:lvl w:ilvl="0">
      <w:lvlJc w:val="left"/>
      <w:lvlText w:val="(%1)"/>
      <w:numFmt w:val="lowerLetter"/>
      <w:start w:val="1"/>
    </w:lvl>
  </w:abstractNum>
  <w:abstractNum w:abstractNumId="177">
    <w:nsid w:val="3C3B72B2"/>
    <w:multiLevelType w:val="hybridMultilevel"/>
    <w:lvl w:ilvl="0">
      <w:lvlJc w:val="left"/>
      <w:lvlText w:val="(%1)"/>
      <w:numFmt w:val="lowerLetter"/>
      <w:start w:val="1"/>
    </w:lvl>
  </w:abstractNum>
  <w:abstractNum w:abstractNumId="178">
    <w:nsid w:val="155EC4C2"/>
    <w:multiLevelType w:val="hybridMultilevel"/>
    <w:lvl w:ilvl="0">
      <w:lvlJc w:val="left"/>
      <w:lvlText w:val="(%1)"/>
      <w:numFmt w:val="lowerLetter"/>
      <w:start w:val="2"/>
    </w:lvl>
  </w:abstractNum>
  <w:abstractNum w:abstractNumId="179">
    <w:nsid w:val="65D2A137"/>
    <w:multiLevelType w:val="hybridMultilevel"/>
    <w:lvl w:ilvl="0">
      <w:lvlJc w:val="left"/>
      <w:lvlText w:val="(%1)"/>
      <w:numFmt w:val="lowerLetter"/>
      <w:start w:val="1"/>
    </w:lvl>
  </w:abstractNum>
  <w:abstractNum w:abstractNumId="180">
    <w:nsid w:val="6EBB1F2A"/>
    <w:multiLevelType w:val="hybridMultilevel"/>
    <w:lvl w:ilvl="0">
      <w:lvlJc w:val="left"/>
      <w:lvlText w:val="(%1)"/>
      <w:numFmt w:val="lowerLetter"/>
      <w:start w:val="2"/>
    </w:lvl>
  </w:abstractNum>
  <w:abstractNum w:abstractNumId="181">
    <w:nsid w:val="6FBF29CB"/>
    <w:multiLevelType w:val="hybridMultilevel"/>
    <w:lvl w:ilvl="0">
      <w:lvlJc w:val="left"/>
      <w:lvlText w:val="(%1)"/>
      <w:numFmt w:val="lowerLetter"/>
      <w:start w:val="10"/>
    </w:lvl>
  </w:abstractNum>
  <w:abstractNum w:abstractNumId="182">
    <w:nsid w:val="550B8808"/>
    <w:multiLevelType w:val="hybridMultilevel"/>
    <w:lvl w:ilvl="0">
      <w:lvlJc w:val="left"/>
      <w:lvlText w:val="(%1)"/>
      <w:numFmt w:val="lowerLetter"/>
      <w:start w:val="1"/>
    </w:lvl>
    <w:lvl w:ilvl="1">
      <w:lvlJc w:val="left"/>
      <w:lvlText w:val="(%2)"/>
      <w:numFmt w:val="decimal"/>
      <w:start w:val="1"/>
    </w:lvl>
  </w:abstractNum>
  <w:abstractNum w:abstractNumId="183">
    <w:nsid w:val="34CC3ACF"/>
    <w:multiLevelType w:val="hybridMultilevel"/>
    <w:lvl w:ilvl="0">
      <w:lvlJc w:val="left"/>
      <w:lvlText w:val="%1"/>
      <w:numFmt w:val="lowerLetter"/>
      <w:start w:val="1"/>
    </w:lvl>
    <w:lvl w:ilvl="1">
      <w:lvlJc w:val="left"/>
      <w:lvlText w:val="(%2)"/>
      <w:numFmt w:val="decimal"/>
      <w:start w:val="3"/>
    </w:lvl>
  </w:abstractNum>
  <w:abstractNum w:abstractNumId="184">
    <w:nsid w:val="4E556261"/>
    <w:multiLevelType w:val="hybridMultilevel"/>
    <w:lvl w:ilvl="0">
      <w:lvlJc w:val="left"/>
      <w:lvlText w:val="(%1)"/>
      <w:numFmt w:val="lowerLetter"/>
      <w:start w:val="2"/>
    </w:lvl>
    <w:lvl w:ilvl="1">
      <w:lvlJc w:val="left"/>
      <w:lvlText w:val="%2"/>
      <w:numFmt w:val="decimal"/>
      <w:start w:val="1"/>
    </w:lvl>
  </w:abstractNum>
  <w:abstractNum w:abstractNumId="185">
    <w:nsid w:val="4C672FC9"/>
    <w:multiLevelType w:val="hybridMultilevel"/>
    <w:lvl w:ilvl="0">
      <w:lvlJc w:val="left"/>
      <w:lvlText w:val="(%1)"/>
      <w:numFmt w:val="lowerLetter"/>
      <w:start w:val="1"/>
    </w:lvl>
  </w:abstractNum>
  <w:abstractNum w:abstractNumId="186">
    <w:nsid w:val="52A311C3"/>
    <w:multiLevelType w:val="hybridMultilevel"/>
    <w:lvl w:ilvl="0">
      <w:lvlJc w:val="left"/>
      <w:lvlText w:val="%1"/>
      <w:numFmt w:val="lowerLetter"/>
      <w:start w:val="1"/>
    </w:lvl>
    <w:lvl w:ilvl="1">
      <w:lvlJc w:val="left"/>
      <w:lvlText w:val="(%2)"/>
      <w:numFmt w:val="decimal"/>
      <w:start w:val="1"/>
    </w:lvl>
  </w:abstractNum>
  <w:abstractNum w:abstractNumId="187">
    <w:nsid w:val="44EF6B80"/>
    <w:multiLevelType w:val="hybridMultilevel"/>
    <w:lvl w:ilvl="0">
      <w:lvlJc w:val="left"/>
      <w:lvlText w:val="(%1)"/>
      <w:numFmt w:val="lowerLetter"/>
      <w:start w:val="2"/>
    </w:lvl>
    <w:lvl w:ilvl="1">
      <w:lvlJc w:val="left"/>
      <w:lvlText w:val="%2"/>
      <w:numFmt w:val="decimal"/>
      <w:start w:val="1"/>
    </w:lvl>
  </w:abstractNum>
  <w:abstractNum w:abstractNumId="188">
    <w:nsid w:val="12FCDE5E"/>
    <w:multiLevelType w:val="hybridMultilevel"/>
    <w:lvl w:ilvl="0">
      <w:lvlJc w:val="left"/>
      <w:lvlText w:val="(%1)"/>
      <w:numFmt w:val="lowerLetter"/>
      <w:start w:val="4"/>
    </w:lvl>
    <w:lvl w:ilvl="1">
      <w:lvlJc w:val="left"/>
      <w:lvlText w:val="(%2)"/>
      <w:numFmt w:val="decimal"/>
      <w:start w:val="1"/>
    </w:lvl>
  </w:abstractNum>
  <w:abstractNum w:abstractNumId="189">
    <w:nsid w:val="4A1D606E"/>
    <w:multiLevelType w:val="hybridMultilevel"/>
    <w:lvl w:ilvl="0">
      <w:lvlJc w:val="left"/>
      <w:lvlText w:val="(%1)"/>
      <w:numFmt w:val="lowerLetter"/>
      <w:start w:val="1"/>
    </w:lvl>
  </w:abstractNum>
  <w:abstractNum w:abstractNumId="190">
    <w:nsid w:val="4382503"/>
    <w:multiLevelType w:val="hybridMultilevel"/>
    <w:lvl w:ilvl="0">
      <w:lvlJc w:val="left"/>
      <w:lvlText w:val="(%1)"/>
      <w:numFmt w:val="lowerLetter"/>
      <w:start w:val="3"/>
    </w:lvl>
  </w:abstractNum>
  <w:abstractNum w:abstractNumId="191">
    <w:nsid w:val="59B76E28"/>
    <w:multiLevelType w:val="hybridMultilevel"/>
    <w:lvl w:ilvl="0">
      <w:lvlJc w:val="left"/>
      <w:lvlText w:val="(%1)"/>
      <w:numFmt w:val="lowerLetter"/>
      <w:start w:val="1"/>
    </w:lvl>
  </w:abstractNum>
  <w:abstractNum w:abstractNumId="192">
    <w:nsid w:val="4252C2DA"/>
    <w:multiLevelType w:val="hybridMultilevel"/>
    <w:lvl w:ilvl="0">
      <w:lvlJc w:val="left"/>
      <w:lvlText w:val="(%1)"/>
      <w:numFmt w:val="lowerLetter"/>
      <w:start w:val="2"/>
    </w:lvl>
  </w:abstractNum>
  <w:abstractNum w:abstractNumId="193">
    <w:nsid w:val="6A92EF4C"/>
    <w:multiLevelType w:val="hybridMultilevel"/>
    <w:lvl w:ilvl="0">
      <w:lvlJc w:val="left"/>
      <w:lvlText w:val="(%1)"/>
      <w:numFmt w:val="lowerLetter"/>
      <w:start w:val="1"/>
    </w:lvl>
    <w:lvl w:ilvl="1">
      <w:lvlJc w:val="left"/>
      <w:lvlText w:val="(%2)"/>
      <w:numFmt w:val="decimal"/>
      <w:start w:val="1"/>
    </w:lvl>
  </w:abstractNum>
  <w:abstractNum w:abstractNumId="194">
    <w:nsid w:val="41ED20D7"/>
    <w:multiLevelType w:val="hybridMultilevel"/>
    <w:lvl w:ilvl="0">
      <w:lvlJc w:val="left"/>
      <w:lvlText w:val="(%1)"/>
      <w:numFmt w:val="decimal"/>
      <w:start w:val="7"/>
    </w:lvl>
  </w:abstractNum>
  <w:abstractNum w:abstractNumId="195">
    <w:nsid w:val="E6B3F6A"/>
    <w:multiLevelType w:val="hybridMultilevel"/>
    <w:lvl w:ilvl="0">
      <w:lvlJc w:val="left"/>
      <w:lvlText w:val="(%1)"/>
      <w:numFmt w:val="lowerLetter"/>
      <w:start w:val="3"/>
    </w:lvl>
  </w:abstractNum>
  <w:abstractNum w:abstractNumId="196">
    <w:nsid w:val="3EB21819"/>
    <w:multiLevelType w:val="hybridMultilevel"/>
    <w:lvl w:ilvl="0">
      <w:lvlJc w:val="left"/>
      <w:lvlText w:val="(%1)"/>
      <w:numFmt w:val="lowerLetter"/>
      <w:start w:val="1"/>
    </w:lvl>
  </w:abstractNum>
  <w:abstractNum w:abstractNumId="197">
    <w:nsid w:val="41531DED"/>
    <w:multiLevelType w:val="hybridMultilevel"/>
    <w:lvl w:ilvl="0">
      <w:lvlJc w:val="left"/>
      <w:lvlText w:val="(%1)"/>
      <w:numFmt w:val="lowerLetter"/>
      <w:start w:val="2"/>
    </w:lvl>
  </w:abstractNum>
  <w:abstractNum w:abstractNumId="198">
    <w:nsid w:val="6353CD2"/>
    <w:multiLevelType w:val="hybridMultilevel"/>
    <w:lvl w:ilvl="0">
      <w:lvlJc w:val="left"/>
      <w:lvlText w:val="(%1)"/>
      <w:numFmt w:val="lowerLetter"/>
      <w:start w:val="1"/>
    </w:lvl>
  </w:abstractNum>
  <w:abstractNum w:abstractNumId="199">
    <w:nsid w:val="683CAAD3"/>
    <w:multiLevelType w:val="hybridMultilevel"/>
    <w:lvl w:ilvl="0">
      <w:lvlJc w:val="left"/>
      <w:lvlText w:val="(%1)"/>
      <w:numFmt w:val="lowerLetter"/>
      <w:start w:val="1"/>
    </w:lvl>
  </w:abstractNum>
  <w:abstractNum w:abstractNumId="200">
    <w:nsid w:val="313C7C99"/>
    <w:multiLevelType w:val="hybridMultilevel"/>
    <w:lvl w:ilvl="0">
      <w:lvlJc w:val="left"/>
      <w:lvlText w:val="(%1)"/>
      <w:numFmt w:val="lowerLetter"/>
      <w:start w:val="2"/>
    </w:lvl>
  </w:abstractNum>
  <w:abstractNum w:abstractNumId="201">
    <w:nsid w:val="519EB94C"/>
    <w:multiLevelType w:val="hybridMultilevel"/>
    <w:lvl w:ilvl="0">
      <w:lvlJc w:val="left"/>
      <w:lvlText w:val="(%1)"/>
      <w:numFmt w:val="lowerLetter"/>
      <w:start w:val="1"/>
    </w:lvl>
  </w:abstractNum>
  <w:abstractNum w:abstractNumId="202">
    <w:nsid w:val="39DF2579"/>
    <w:multiLevelType w:val="hybridMultilevel"/>
    <w:lvl w:ilvl="0">
      <w:lvlJc w:val="left"/>
      <w:lvlText w:val="(%1)"/>
      <w:numFmt w:val="lowerLetter"/>
      <w:start w:val="2"/>
    </w:lvl>
  </w:abstractNum>
  <w:abstractNum w:abstractNumId="203">
    <w:nsid w:val="126E008B"/>
    <w:multiLevelType w:val="hybridMultilevel"/>
    <w:lvl w:ilvl="0">
      <w:lvlJc w:val="left"/>
      <w:lvlText w:val="(%1)"/>
      <w:numFmt w:val="lowerLetter"/>
      <w:start w:val="1"/>
    </w:lvl>
  </w:abstractNum>
  <w:abstractNum w:abstractNumId="204">
    <w:nsid w:val="34DFBC00"/>
    <w:multiLevelType w:val="hybridMultilevel"/>
    <w:lvl w:ilvl="0">
      <w:lvlJc w:val="left"/>
      <w:lvlText w:val="(%1)"/>
      <w:numFmt w:val="lowerLetter"/>
      <w:start w:val="2"/>
    </w:lvl>
  </w:abstractNum>
  <w:abstractNum w:abstractNumId="205">
    <w:nsid w:val="1F9EC322"/>
    <w:multiLevelType w:val="hybridMultilevel"/>
    <w:lvl w:ilvl="0">
      <w:lvlJc w:val="left"/>
      <w:lvlText w:val="(%1)"/>
      <w:numFmt w:val="lowerLetter"/>
      <w:start w:val="6"/>
    </w:lvl>
  </w:abstractNum>
  <w:abstractNum w:abstractNumId="206">
    <w:nsid w:val="3410ED56"/>
    <w:multiLevelType w:val="hybridMultilevel"/>
    <w:lvl w:ilvl="0">
      <w:lvlJc w:val="left"/>
      <w:lvlText w:val="(%1)"/>
      <w:numFmt w:val="lowerLetter"/>
      <w:start w:val="1"/>
    </w:lvl>
  </w:abstractNum>
  <w:abstractNum w:abstractNumId="207">
    <w:nsid w:val="23C049A"/>
    <w:multiLevelType w:val="hybridMultilevel"/>
    <w:lvl w:ilvl="0">
      <w:lvlJc w:val="left"/>
      <w:lvlText w:val="(%1)"/>
      <w:numFmt w:val="lowerLetter"/>
      <w:start w:val="3"/>
    </w:lvl>
  </w:abstractNum>
  <w:abstractNum w:abstractNumId="208">
    <w:nsid w:val="5BDA35D4"/>
    <w:multiLevelType w:val="hybridMultilevel"/>
    <w:lvl w:ilvl="0">
      <w:lvlJc w:val="left"/>
      <w:lvlText w:val="(%1)"/>
      <w:numFmt w:val="lowerLetter"/>
      <w:start w:val="1"/>
    </w:lvl>
  </w:abstractNum>
  <w:abstractNum w:abstractNumId="209">
    <w:nsid w:val="496FB218"/>
    <w:multiLevelType w:val="hybridMultilevel"/>
    <w:lvl w:ilvl="0">
      <w:lvlJc w:val="left"/>
      <w:lvlText w:val="(%1)"/>
      <w:numFmt w:val="lowerLetter"/>
      <w:start w:val="2"/>
    </w:lvl>
  </w:abstractNum>
  <w:abstractNum w:abstractNumId="210">
    <w:nsid w:val="680EA5D1"/>
    <w:multiLevelType w:val="hybridMultilevel"/>
    <w:lvl w:ilvl="0">
      <w:lvlJc w:val="left"/>
      <w:lvlText w:val="(%1)"/>
      <w:numFmt w:val="lowerLetter"/>
      <w:start w:val="1"/>
    </w:lvl>
  </w:abstractNum>
  <w:abstractNum w:abstractNumId="211">
    <w:nsid w:val="4A9554FE"/>
    <w:multiLevelType w:val="hybridMultilevel"/>
    <w:lvl w:ilvl="0">
      <w:lvlJc w:val="left"/>
      <w:lvlText w:val="(%1)"/>
      <w:numFmt w:val="lowerLetter"/>
      <w:start w:val="2"/>
    </w:lvl>
    <w:lvl w:ilvl="1">
      <w:lvlJc w:val="left"/>
      <w:lvlText w:val="(%2)"/>
      <w:numFmt w:val="decimal"/>
      <w:start w:val="1"/>
    </w:lvl>
  </w:abstractNum>
  <w:abstractNum w:abstractNumId="212">
    <w:nsid w:val="392EDBE4"/>
    <w:multiLevelType w:val="hybridMultilevel"/>
    <w:lvl w:ilvl="0">
      <w:lvlJc w:val="left"/>
      <w:lvlText w:val="(%1)"/>
      <w:numFmt w:val="lowerLetter"/>
      <w:start w:val="1"/>
    </w:lvl>
  </w:abstractNum>
  <w:abstractNum w:abstractNumId="213">
    <w:nsid w:val="3D1A2DD9"/>
    <w:multiLevelType w:val="hybridMultilevel"/>
    <w:lvl w:ilvl="0">
      <w:lvlJc w:val="left"/>
      <w:lvlText w:val="(%1)"/>
      <w:numFmt w:val="lowerLetter"/>
      <w:start w:val="2"/>
    </w:lvl>
  </w:abstractNum>
  <w:abstractNum w:abstractNumId="214">
    <w:nsid w:val="7F618FCD"/>
    <w:multiLevelType w:val="hybridMultilevel"/>
    <w:lvl w:ilvl="0">
      <w:lvlJc w:val="left"/>
      <w:lvlText w:val="(%1)"/>
      <w:numFmt w:val="upperLetter"/>
      <w:start w:val="2"/>
    </w:lvl>
  </w:abstractNum>
  <w:abstractNum w:abstractNumId="215">
    <w:nsid w:val="7843E45"/>
    <w:multiLevelType w:val="hybridMultilevel"/>
    <w:lvl w:ilvl="0">
      <w:lvlJc w:val="left"/>
      <w:lvlText w:val="(%1)"/>
      <w:numFmt w:val="lowerLetter"/>
      <w:start w:val="1"/>
    </w:lvl>
    <w:lvl w:ilvl="1">
      <w:lvlJc w:val="left"/>
      <w:lvlText w:val="(%2)"/>
      <w:numFmt w:val="decimal"/>
      <w:start w:val="1"/>
    </w:lvl>
  </w:abstractNum>
  <w:abstractNum w:abstractNumId="216">
    <w:nsid w:val="9815DA3"/>
    <w:multiLevelType w:val="hybridMultilevel"/>
    <w:lvl w:ilvl="0">
      <w:lvlJc w:val="left"/>
      <w:lvlText w:val="%1"/>
      <w:numFmt w:val="lowerLetter"/>
      <w:start w:val="1"/>
    </w:lvl>
    <w:lvl w:ilvl="1">
      <w:lvlJc w:val="left"/>
      <w:lvlText w:val="(%2)"/>
      <w:numFmt w:val="decimal"/>
      <w:start w:val="4"/>
    </w:lvl>
  </w:abstractNum>
  <w:abstractNum w:abstractNumId="217">
    <w:nsid w:val="5204A191"/>
    <w:multiLevelType w:val="hybridMultilevel"/>
    <w:lvl w:ilvl="0">
      <w:lvlJc w:val="left"/>
      <w:lvlText w:val="(%1)"/>
      <w:numFmt w:val="lowerLetter"/>
      <w:start w:val="2"/>
    </w:lvl>
    <w:lvl w:ilvl="1">
      <w:lvlJc w:val="left"/>
      <w:lvlText w:val="%2"/>
      <w:numFmt w:val="decimal"/>
      <w:start w:val="1"/>
    </w:lvl>
  </w:abstractNum>
  <w:abstractNum w:abstractNumId="218">
    <w:nsid w:val="4C73A9C6"/>
    <w:multiLevelType w:val="hybridMultilevel"/>
    <w:lvl w:ilvl="0">
      <w:lvlJc w:val="left"/>
      <w:lvlText w:val="(%1)"/>
      <w:numFmt w:val="decimal"/>
      <w:start w:val="1"/>
    </w:lvl>
  </w:abstractNum>
  <w:abstractNum w:abstractNumId="219">
    <w:nsid w:val="1C7E3C01"/>
    <w:multiLevelType w:val="hybridMultilevel"/>
    <w:lvl w:ilvl="0">
      <w:lvlJc w:val="left"/>
      <w:lvlText w:val="(%1)"/>
      <w:numFmt w:val="decimal"/>
      <w:start w:val="1"/>
    </w:lvl>
  </w:abstractNum>
  <w:abstractNum w:abstractNumId="220">
    <w:nsid w:val="1C2201FF"/>
    <w:multiLevelType w:val="hybridMultilevel"/>
    <w:lvl w:ilvl="0">
      <w:lvlJc w:val="left"/>
      <w:lvlText w:val="(%1)"/>
      <w:numFmt w:val="lowerRoman"/>
      <w:start w:val="1"/>
    </w:lvl>
  </w:abstractNum>
  <w:abstractNum w:abstractNumId="221">
    <w:nsid w:val="50ABCEC9"/>
    <w:multiLevelType w:val="hybridMultilevel"/>
    <w:lvl w:ilvl="0">
      <w:lvlJc w:val="left"/>
      <w:lvlText w:val="(%1)"/>
      <w:numFmt w:val="lowerLetter"/>
      <w:start w:val="1"/>
    </w:lvl>
    <w:lvl w:ilvl="1">
      <w:lvlJc w:val="left"/>
      <w:lvlText w:val="(%2)"/>
      <w:numFmt w:val="decimal"/>
      <w:start w:val="1"/>
    </w:lvl>
  </w:abstractNum>
  <w:abstractNum w:abstractNumId="222">
    <w:nsid w:val="7635AA2A"/>
    <w:multiLevelType w:val="hybridMultilevel"/>
    <w:lvl w:ilvl="0">
      <w:lvlJc w:val="left"/>
      <w:lvlText w:val="(%1)"/>
      <w:numFmt w:val="lowerLetter"/>
      <w:start w:val="1"/>
    </w:lvl>
  </w:abstractNum>
  <w:abstractNum w:abstractNumId="223">
    <w:nsid w:val="5E74C4D9"/>
    <w:multiLevelType w:val="hybridMultilevel"/>
    <w:lvl w:ilvl="0">
      <w:lvlJc w:val="left"/>
      <w:lvlText w:val="(%1)"/>
      <w:numFmt w:val="lowerLetter"/>
      <w:start w:val="3"/>
    </w:lvl>
  </w:abstractNum>
  <w:abstractNum w:abstractNumId="224">
    <w:nsid w:val="3B3EBE15"/>
    <w:multiLevelType w:val="hybridMultilevel"/>
    <w:lvl w:ilvl="0">
      <w:lvlJc w:val="left"/>
      <w:lvlText w:val="(%1)"/>
      <w:numFmt w:val="lowerLetter"/>
      <w:start w:val="1"/>
    </w:lvl>
  </w:abstractNum>
  <w:abstractNum w:abstractNumId="225">
    <w:nsid w:val="3822CB01"/>
    <w:multiLevelType w:val="hybridMultilevel"/>
    <w:lvl w:ilvl="0">
      <w:lvlJc w:val="left"/>
      <w:lvlText w:val="%1"/>
      <w:numFmt w:val="decimal"/>
      <w:start w:val="1"/>
    </w:lvl>
    <w:lvl w:ilvl="1">
      <w:lvlJc w:val="left"/>
      <w:lvlText w:val="(%2)"/>
      <w:numFmt w:val="lowerLetter"/>
      <w:start w:val="3"/>
    </w:lvl>
  </w:abstractNum>
  <w:abstractNum w:abstractNumId="226">
    <w:nsid w:val="6CE00443"/>
    <w:multiLevelType w:val="hybridMultilevel"/>
    <w:lvl w:ilvl="0">
      <w:lvlJc w:val="left"/>
      <w:lvlText w:val="(%1)"/>
      <w:numFmt w:val="decimal"/>
      <w:start w:val="4"/>
    </w:lvl>
    <w:lvl w:ilvl="1">
      <w:lvlJc w:val="left"/>
      <w:lvlText w:val="(%2)"/>
      <w:numFmt w:val="lowerLetter"/>
      <w:start w:val="5"/>
    </w:lvl>
  </w:abstractNum>
  <w:abstractNum w:abstractNumId="227">
    <w:nsid w:val="79F0D62F"/>
    <w:multiLevelType w:val="hybridMultilevel"/>
    <w:lvl w:ilvl="0">
      <w:lvlJc w:val="left"/>
      <w:lvlText w:val="(%1)"/>
      <w:numFmt w:val="lowerLetter"/>
      <w:start w:val="1"/>
    </w:lvl>
    <w:lvl w:ilvl="1">
      <w:lvlJc w:val="left"/>
      <w:lvlText w:val="(%2)"/>
      <w:numFmt w:val="decimal"/>
      <w:start w:val="1"/>
    </w:lvl>
  </w:abstractNum>
  <w:abstractNum w:abstractNumId="228">
    <w:nsid w:val="7975E8EE"/>
    <w:multiLevelType w:val="hybridMultilevel"/>
    <w:lvl w:ilvl="0">
      <w:lvlJc w:val="left"/>
      <w:lvlText w:val="(%1)"/>
      <w:numFmt w:val="lowerLetter"/>
      <w:start w:val="1"/>
    </w:lvl>
  </w:abstractNum>
  <w:abstractNum w:abstractNumId="229">
    <w:nsid w:val="73154115"/>
    <w:multiLevelType w:val="hybridMultilevel"/>
    <w:lvl w:ilvl="0">
      <w:lvlJc w:val="left"/>
      <w:lvlText w:val="(%1)"/>
      <w:numFmt w:val="lowerLetter"/>
      <w:start w:val="3"/>
    </w:lvl>
  </w:abstractNum>
  <w:abstractNum w:abstractNumId="230">
    <w:nsid w:val="622D8102"/>
    <w:multiLevelType w:val="hybridMultilevel"/>
    <w:lvl w:ilvl="0">
      <w:lvlJc w:val="left"/>
      <w:lvlText w:val="(%1)"/>
      <w:numFmt w:val="lowerLetter"/>
      <w:start w:val="1"/>
    </w:lvl>
  </w:abstractNum>
  <w:abstractNum w:abstractNumId="231">
    <w:nsid w:val="2AB26587"/>
    <w:multiLevelType w:val="hybridMultilevel"/>
    <w:lvl w:ilvl="0">
      <w:lvlJc w:val="left"/>
      <w:lvlText w:val="(%1)"/>
      <w:numFmt w:val="lowerLetter"/>
      <w:start w:val="1"/>
    </w:lvl>
  </w:abstractNum>
  <w:abstractNum w:abstractNumId="232">
    <w:nsid w:val="44B3FA61"/>
    <w:multiLevelType w:val="hybridMultilevel"/>
    <w:lvl w:ilvl="0">
      <w:lvlJc w:val="left"/>
      <w:lvlText w:val="(%1)"/>
      <w:numFmt w:val="lowerLetter"/>
      <w:start w:val="1"/>
    </w:lvl>
  </w:abstractNum>
  <w:abstractNum w:abstractNumId="233">
    <w:nsid w:val="1C0CA67C"/>
    <w:multiLevelType w:val="hybridMultilevel"/>
    <w:lvl w:ilvl="0">
      <w:lvlJc w:val="left"/>
      <w:lvlText w:val="(%1)"/>
      <w:numFmt w:val="decimal"/>
      <w:start w:val="1"/>
    </w:lvl>
  </w:abstractNum>
  <w:abstractNum w:abstractNumId="234">
    <w:nsid w:val="3D206613"/>
    <w:multiLevelType w:val="hybridMultilevel"/>
    <w:lvl w:ilvl="0">
      <w:lvlJc w:val="left"/>
      <w:lvlText w:val="(%1)"/>
      <w:numFmt w:val="decimal"/>
      <w:start w:val="6"/>
    </w:lvl>
  </w:abstractNum>
  <w:abstractNum w:abstractNumId="235">
    <w:nsid w:val="7993B662"/>
    <w:multiLevelType w:val="hybridMultilevel"/>
    <w:lvl w:ilvl="0">
      <w:lvlJc w:val="left"/>
      <w:lvlText w:val="(%1)"/>
      <w:numFmt w:val="decimal"/>
      <w:start w:val="14"/>
    </w:lvl>
  </w:abstractNum>
  <w:abstractNum w:abstractNumId="236">
    <w:nsid w:val="3BAB699E"/>
    <w:multiLevelType w:val="hybridMultilevel"/>
    <w:lvl w:ilvl="0">
      <w:lvlJc w:val="left"/>
      <w:lvlText w:val="%1"/>
      <w:numFmt w:val="lowerLetter"/>
      <w:start w:val="1"/>
    </w:lvl>
    <w:lvl w:ilvl="1">
      <w:lvlJc w:val="left"/>
      <w:lvlText w:val="(%2)"/>
      <w:numFmt w:val="decimal"/>
      <w:start w:val="19"/>
    </w:lvl>
  </w:abstractNum>
  <w:abstractNum w:abstractNumId="237">
    <w:nsid w:val="71315369"/>
    <w:multiLevelType w:val="hybridMultilevel"/>
    <w:lvl w:ilvl="0">
      <w:lvlJc w:val="left"/>
      <w:lvlText w:val="(%1)"/>
      <w:numFmt w:val="lowerLetter"/>
      <w:start w:val="3"/>
    </w:lvl>
    <w:lvl w:ilvl="1">
      <w:lvlJc w:val="left"/>
      <w:lvlText w:val="%2"/>
      <w:numFmt w:val="decimal"/>
      <w:start w:val="1"/>
    </w:lvl>
  </w:abstractNum>
  <w:abstractNum w:abstractNumId="238">
    <w:nsid w:val="7BCFBAFC"/>
    <w:multiLevelType w:val="hybridMultilevel"/>
    <w:lvl w:ilvl="0">
      <w:lvlJc w:val="left"/>
      <w:lvlText w:val="(%1)"/>
      <w:numFmt w:val="lowerLetter"/>
      <w:start w:val="4"/>
    </w:lvl>
  </w:abstractNum>
  <w:abstractNum w:abstractNumId="239">
    <w:nsid w:val="17859F72"/>
    <w:multiLevelType w:val="hybridMultilevel"/>
    <w:lvl w:ilvl="0">
      <w:lvlJc w:val="left"/>
      <w:lvlText w:val="(%1)"/>
      <w:numFmt w:val="lowerLetter"/>
      <w:start w:val="1"/>
    </w:lvl>
  </w:abstractNum>
  <w:abstractNum w:abstractNumId="240">
    <w:nsid w:val="3AA10581"/>
    <w:multiLevelType w:val="hybridMultilevel"/>
    <w:lvl w:ilvl="0">
      <w:lvlJc w:val="left"/>
      <w:lvlText w:val="(%1)"/>
      <w:numFmt w:val="decimal"/>
      <w:start w:val="1"/>
    </w:lvl>
    <w:lvl w:ilvl="1">
      <w:lvlJc w:val="left"/>
      <w:lvlText w:val="(%2)"/>
      <w:numFmt w:val="lowerRoman"/>
      <w:start w:val="1"/>
    </w:lvl>
  </w:abstractNum>
  <w:abstractNum w:abstractNumId="241">
    <w:nsid w:val="63DE60CD"/>
    <w:multiLevelType w:val="hybridMultilevel"/>
    <w:lvl w:ilvl="0">
      <w:lvlJc w:val="left"/>
      <w:lvlText w:val="%1"/>
      <w:numFmt w:val="lowerLetter"/>
      <w:start w:val="1"/>
    </w:lvl>
    <w:lvl w:ilvl="1">
      <w:lvlJc w:val="left"/>
      <w:lvlText w:val="(%2)"/>
      <w:numFmt w:val="decimal"/>
      <w:start w:val="2"/>
    </w:lvl>
  </w:abstractNum>
  <w:abstractNum w:abstractNumId="242">
    <w:nsid w:val="621AF471"/>
    <w:multiLevelType w:val="hybridMultilevel"/>
    <w:lvl w:ilvl="0">
      <w:lvlJc w:val="left"/>
      <w:lvlText w:val="(%1)"/>
      <w:numFmt w:val="lowerLetter"/>
      <w:start w:val="4"/>
    </w:lvl>
    <w:lvl w:ilvl="1">
      <w:lvlJc w:val="left"/>
      <w:lvlText w:val="%2"/>
      <w:numFmt w:val="decimal"/>
      <w:start w:val="1"/>
    </w:lvl>
  </w:abstractNum>
  <w:abstractNum w:abstractNumId="243">
    <w:nsid w:val="73CFE165"/>
    <w:multiLevelType w:val="hybridMultilevel"/>
    <w:lvl w:ilvl="0">
      <w:lvlJc w:val="left"/>
      <w:lvlText w:val="(%1)"/>
      <w:numFmt w:val="lowerLetter"/>
      <w:start w:val="1"/>
    </w:lvl>
    <w:lvl w:ilvl="1">
      <w:lvlJc w:val="left"/>
      <w:lvlText w:val="(%2)"/>
      <w:numFmt w:val="decimal"/>
      <w:start w:val="2"/>
    </w:lvl>
  </w:abstractNum>
  <w:abstractNum w:abstractNumId="244">
    <w:nsid w:val="20F88EA6"/>
    <w:multiLevelType w:val="hybridMultilevel"/>
    <w:lvl w:ilvl="0">
      <w:lvlJc w:val="left"/>
      <w:lvlText w:val="(%1)"/>
      <w:numFmt w:val="decimal"/>
      <w:start w:val="4"/>
    </w:lvl>
  </w:abstractNum>
  <w:abstractNum w:abstractNumId="245">
    <w:nsid w:val="617C843E"/>
    <w:multiLevelType w:val="hybridMultilevel"/>
    <w:lvl w:ilvl="0">
      <w:lvlJc w:val="left"/>
      <w:lvlText w:val="(%1)"/>
      <w:numFmt w:val="decimal"/>
      <w:start w:val="5"/>
    </w:lvl>
  </w:abstractNum>
  <w:abstractNum w:abstractNumId="246">
    <w:nsid w:val="7B541FAB"/>
    <w:multiLevelType w:val="hybridMultilevel"/>
    <w:lvl w:ilvl="0">
      <w:lvlJc w:val="left"/>
      <w:lvlText w:val="(%1)"/>
      <w:numFmt w:val="lowerLetter"/>
      <w:start w:val="1"/>
    </w:lvl>
  </w:abstractNum>
  <w:abstractNum w:abstractNumId="247">
    <w:nsid w:val="2A79EC49"/>
    <w:multiLevelType w:val="hybridMultilevel"/>
    <w:lvl w:ilvl="0">
      <w:lvlJc w:val="left"/>
      <w:lvlText w:val="(%1)"/>
      <w:numFmt w:val="lowerLetter"/>
      <w:start w:val="2"/>
    </w:lvl>
  </w:abstractNum>
  <w:abstractNum w:abstractNumId="248">
    <w:nsid w:val="338125CF"/>
    <w:multiLevelType w:val="hybridMultilevel"/>
    <w:lvl w:ilvl="0">
      <w:lvlJc w:val="left"/>
      <w:lvlText w:val="(%1)"/>
      <w:numFmt w:val="lowerLetter"/>
      <w:start w:val="5"/>
    </w:lvl>
  </w:abstractNum>
  <w:abstractNum w:abstractNumId="249">
    <w:nsid w:val="47C7C971"/>
    <w:multiLevelType w:val="hybridMultilevel"/>
    <w:lvl w:ilvl="0">
      <w:lvlJc w:val="left"/>
      <w:lvlText w:val="%1"/>
      <w:numFmt w:val="decimal"/>
      <w:start w:val="1"/>
    </w:lvl>
    <w:lvl w:ilvl="1">
      <w:lvlJc w:val="left"/>
      <w:lvlText w:val="(%2)"/>
      <w:numFmt w:val="lowerLetter"/>
      <w:start w:val="7"/>
    </w:lvl>
  </w:abstractNum>
  <w:abstractNum w:abstractNumId="250">
    <w:nsid w:val="46F8284B"/>
    <w:multiLevelType w:val="hybridMultilevel"/>
    <w:lvl w:ilvl="0">
      <w:lvlJc w:val="left"/>
      <w:lvlText w:val="(%1)"/>
      <w:numFmt w:val="decimal"/>
      <w:start w:val="2"/>
    </w:lvl>
    <w:lvl w:ilvl="1">
      <w:lvlJc w:val="left"/>
      <w:lvlText w:val="(%2)"/>
      <w:numFmt w:val="lowerLetter"/>
      <w:start w:val="11"/>
    </w:lvl>
  </w:abstractNum>
  <w:abstractNum w:abstractNumId="251">
    <w:nsid w:val="4FA327CE"/>
    <w:multiLevelType w:val="hybridMultilevel"/>
    <w:lvl w:ilvl="0">
      <w:lvlJc w:val="left"/>
      <w:lvlText w:val="(%1)"/>
      <w:numFmt w:val="lowerLetter"/>
      <w:start w:val="12"/>
    </w:lvl>
  </w:abstractNum>
  <w:abstractNum w:abstractNumId="252">
    <w:nsid w:val="1873983A"/>
    <w:multiLevelType w:val="hybridMultilevel"/>
    <w:lvl w:ilvl="0">
      <w:lvlJc w:val="left"/>
      <w:lvlText w:val="(%1)"/>
      <w:numFmt w:val="lowerLetter"/>
      <w:start w:val="1"/>
    </w:lvl>
  </w:abstractNum>
  <w:abstractNum w:abstractNumId="253">
    <w:nsid w:val="3D2DD275"/>
    <w:multiLevelType w:val="hybridMultilevel"/>
    <w:lvl w:ilvl="0">
      <w:lvlJc w:val="left"/>
      <w:lvlText w:val="(%1)"/>
      <w:numFmt w:val="lowerLetter"/>
      <w:start w:val="4"/>
    </w:lvl>
  </w:abstractNum>
  <w:abstractNum w:abstractNumId="254">
    <w:nsid w:val="2E17ECA7"/>
    <w:multiLevelType w:val="hybridMultilevel"/>
    <w:lvl w:ilvl="0">
      <w:lvlJc w:val="left"/>
      <w:lvlText w:val="(%1)"/>
      <w:numFmt w:val="lowerLetter"/>
      <w:start w:val="1"/>
    </w:lvl>
  </w:abstractNum>
  <w:abstractNum w:abstractNumId="255">
    <w:nsid w:val="53B2564F"/>
    <w:multiLevelType w:val="hybridMultilevel"/>
    <w:lvl w:ilvl="0">
      <w:lvlJc w:val="left"/>
      <w:lvlText w:val="(%1)"/>
      <w:numFmt w:val="lowerLetter"/>
      <w:start w:val="4"/>
    </w:lvl>
    <w:lvl w:ilvl="1">
      <w:lvlJc w:val="left"/>
      <w:lvlText w:val="(%2)"/>
      <w:numFmt w:val="decimal"/>
      <w:start w:val="1"/>
    </w:lvl>
  </w:abstractNum>
  <w:abstractNum w:abstractNumId="256">
    <w:nsid w:val="75509D76"/>
    <w:multiLevelType w:val="hybridMultilevel"/>
    <w:lvl w:ilvl="0">
      <w:lvlJc w:val="left"/>
      <w:lvlText w:val="%1"/>
      <w:numFmt w:val="lowerLetter"/>
      <w:start w:val="1"/>
    </w:lvl>
    <w:lvl w:ilvl="1">
      <w:lvlJc w:val="left"/>
      <w:lvlText w:val="(%2)"/>
      <w:numFmt w:val="decimal"/>
      <w:start w:val="2"/>
    </w:lvl>
  </w:abstractNum>
  <w:abstractNum w:abstractNumId="257">
    <w:nsid w:val="1AF7F0EA"/>
    <w:multiLevelType w:val="hybridMultilevel"/>
    <w:lvl w:ilvl="0">
      <w:lvlJc w:val="left"/>
      <w:lvlText w:val="(%1)"/>
      <w:numFmt w:val="lowerLetter"/>
      <w:start w:val="6"/>
    </w:lvl>
    <w:lvl w:ilvl="1">
      <w:lvlJc w:val="left"/>
      <w:lvlText w:val="%2"/>
      <w:numFmt w:val="decimal"/>
      <w:start w:val="1"/>
    </w:lvl>
  </w:abstractNum>
  <w:abstractNum w:abstractNumId="258">
    <w:nsid w:val="4DA32C7E"/>
    <w:multiLevelType w:val="hybridMultilevel"/>
    <w:lvl w:ilvl="0">
      <w:lvlJc w:val="left"/>
      <w:lvlText w:val="(%1)"/>
      <w:numFmt w:val="lowerLetter"/>
      <w:start w:val="7"/>
    </w:lvl>
  </w:abstractNum>
  <w:abstractNum w:abstractNumId="259">
    <w:nsid w:val="6EC68664"/>
    <w:multiLevelType w:val="hybridMultilevel"/>
    <w:lvl w:ilvl="0">
      <w:lvlJc w:val="left"/>
      <w:lvlText w:val="(%1)"/>
      <w:numFmt w:val="lowerLetter"/>
      <w:start w:val="1"/>
    </w:lvl>
  </w:abstractNum>
  <w:abstractNum w:abstractNumId="260">
    <w:nsid w:val="E0D31FF"/>
    <w:multiLevelType w:val="hybridMultilevel"/>
    <w:lvl w:ilvl="0">
      <w:lvlJc w:val="left"/>
      <w:lvlText w:val="(%1)"/>
      <w:numFmt w:val="lowerLetter"/>
      <w:start w:val="2"/>
    </w:lvl>
  </w:abstractNum>
  <w:abstractNum w:abstractNumId="261">
    <w:nsid w:val="2FD0AD81"/>
    <w:multiLevelType w:val="hybridMultilevel"/>
    <w:lvl w:ilvl="0">
      <w:lvlJc w:val="left"/>
      <w:lvlText w:val="%1"/>
      <w:numFmt w:val="decimal"/>
      <w:start w:val="1"/>
    </w:lvl>
    <w:lvl w:ilvl="1">
      <w:lvlJc w:val="left"/>
      <w:lvlText w:val="(%2)"/>
      <w:numFmt w:val="lowerLetter"/>
      <w:start w:val="1"/>
    </w:lvl>
  </w:abstractNum>
  <w:abstractNum w:abstractNumId="262">
    <w:nsid w:val="1978EBEB"/>
    <w:multiLevelType w:val="hybridMultilevel"/>
    <w:lvl w:ilvl="0">
      <w:lvlJc w:val="left"/>
      <w:lvlText w:val="%1)"/>
      <w:numFmt w:val="decimal"/>
      <w:start w:val="307"/>
    </w:lvl>
    <w:lvl w:ilvl="1">
      <w:lvlJc w:val="left"/>
      <w:lvlText w:val="(%2)"/>
      <w:numFmt w:val="lowerLetter"/>
      <w:start w:val="2"/>
    </w:lvl>
  </w:abstractNum>
  <w:abstractNum w:abstractNumId="263">
    <w:nsid w:val="52C12C61"/>
    <w:multiLevelType w:val="hybridMultilevel"/>
    <w:lvl w:ilvl="0">
      <w:lvlJc w:val="left"/>
      <w:lvlText w:val="(%1)"/>
      <w:numFmt w:val="lowerLetter"/>
      <w:start w:val="3"/>
    </w:lvl>
  </w:abstractNum>
  <w:abstractNum w:abstractNumId="264">
    <w:nsid w:val="4BDD53FD"/>
    <w:multiLevelType w:val="hybridMultilevel"/>
    <w:lvl w:ilvl="0">
      <w:lvlJc w:val="left"/>
      <w:lvlText w:val="(%1)"/>
      <w:numFmt w:val="lowerLetter"/>
      <w:start w:val="1"/>
    </w:lvl>
  </w:abstractNum>
  <w:abstractNum w:abstractNumId="265">
    <w:nsid w:val="569951FE"/>
    <w:multiLevelType w:val="hybridMultilevel"/>
    <w:lvl w:ilvl="0">
      <w:lvlJc w:val="left"/>
      <w:lvlText w:val="(%1)"/>
      <w:numFmt w:val="lowerLetter"/>
      <w:start w:val="1"/>
    </w:lvl>
  </w:abstractNum>
  <w:abstractNum w:abstractNumId="266">
    <w:nsid w:val="4C54E2C3"/>
    <w:multiLevelType w:val="hybridMultilevel"/>
    <w:lvl w:ilvl="0">
      <w:lvlJc w:val="left"/>
      <w:lvlText w:val="(%1)"/>
      <w:numFmt w:val="lowerLetter"/>
      <w:start w:val="2"/>
    </w:lvl>
  </w:abstractNum>
  <w:abstractNum w:abstractNumId="267">
    <w:nsid w:val="788BD9B"/>
    <w:multiLevelType w:val="hybridMultilevel"/>
    <w:lvl w:ilvl="0">
      <w:lvlJc w:val="left"/>
      <w:lvlText w:val="(%1)"/>
      <w:numFmt w:val="lowerLetter"/>
      <w:start w:val="4"/>
    </w:lvl>
  </w:abstractNum>
  <w:abstractNum w:abstractNumId="268">
    <w:nsid w:val="47CAA567"/>
    <w:multiLevelType w:val="hybridMultilevel"/>
    <w:lvl w:ilvl="0">
      <w:lvlJc w:val="left"/>
      <w:lvlText w:val="(%1)"/>
      <w:numFmt w:val="lowerLetter"/>
      <w:start w:val="9"/>
    </w:lvl>
  </w:abstractNum>
  <w:abstractNum w:abstractNumId="269">
    <w:nsid w:val="48249DBF"/>
    <w:multiLevelType w:val="hybridMultilevel"/>
    <w:lvl w:ilvl="0">
      <w:lvlJc w:val="left"/>
      <w:lvlText w:val="(%1)"/>
      <w:numFmt w:val="lowerLetter"/>
      <w:start w:val="11"/>
    </w:lvl>
  </w:abstractNum>
  <w:abstractNum w:abstractNumId="270">
    <w:nsid w:val="1F0E5D0D"/>
    <w:multiLevelType w:val="hybridMultilevel"/>
    <w:lvl w:ilvl="0">
      <w:lvlJc w:val="left"/>
      <w:lvlText w:val="(%1)"/>
      <w:numFmt w:val="lowerLetter"/>
      <w:start w:val="1"/>
    </w:lvl>
  </w:abstractNum>
  <w:abstractNum w:abstractNumId="271">
    <w:nsid w:val="26BAAE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272">
    <w:nsid w:val="2C02FE8C"/>
    <w:multiLevelType w:val="hybridMultilevel"/>
    <w:lvl w:ilvl="0">
      <w:lvlJc w:val="left"/>
      <w:lvlText w:val="%1"/>
      <w:numFmt w:val="upperLetter"/>
      <w:start w:val="1"/>
    </w:lvl>
    <w:lvl w:ilvl="1">
      <w:lvlJc w:val="left"/>
      <w:lvlText w:val="%2"/>
      <w:numFmt w:val="upperLetter"/>
      <w:start w:val="1"/>
    </w:lvl>
    <w:lvl w:ilvl="2">
      <w:lvlJc w:val="left"/>
      <w:lvlText w:val="(%3)"/>
      <w:numFmt w:val="lowerRoman"/>
      <w:start w:val="2"/>
    </w:lvl>
  </w:abstractNum>
  <w:abstractNum w:abstractNumId="273">
    <w:nsid w:val="129517E"/>
    <w:multiLevelType w:val="hybridMultilevel"/>
    <w:lvl w:ilvl="0">
      <w:lvlJc w:val="left"/>
      <w:lvlText w:val="(%1)"/>
      <w:numFmt w:val="upperLetter"/>
      <w:start w:val="1"/>
    </w:lvl>
    <w:lvl w:ilvl="1">
      <w:lvlJc w:val="left"/>
      <w:lvlText w:val="(%2)"/>
      <w:numFmt w:val="upperLetter"/>
      <w:start w:val="3"/>
    </w:lvl>
    <w:lvl w:ilvl="2">
      <w:lvlJc w:val="left"/>
      <w:lvlText w:val="%3"/>
      <w:numFmt w:val="lowerRoman"/>
      <w:start w:val="1"/>
    </w:lvl>
  </w:abstractNum>
  <w:abstractNum w:abstractNumId="274">
    <w:nsid w:val="763B8C4E"/>
    <w:multiLevelType w:val="hybridMultilevel"/>
    <w:lvl w:ilvl="0">
      <w:lvlJc w:val="left"/>
      <w:lvlText w:val="%1"/>
      <w:numFmt w:val="lowerLetter"/>
      <w:start w:val="1"/>
    </w:lvl>
    <w:lvl w:ilvl="1">
      <w:lvlJc w:val="left"/>
      <w:lvlText w:val="(%2)"/>
      <w:numFmt w:val="decimal"/>
      <w:start w:val="2"/>
    </w:lvl>
  </w:abstractNum>
  <w:abstractNum w:abstractNumId="275">
    <w:nsid w:val="4CFB8D32"/>
    <w:multiLevelType w:val="hybridMultilevel"/>
    <w:lvl w:ilvl="0">
      <w:lvlJc w:val="left"/>
      <w:lvlText w:val="(%1)"/>
      <w:numFmt w:val="lowerLetter"/>
      <w:start w:val="2"/>
    </w:lvl>
    <w:lvl w:ilvl="1">
      <w:lvlJc w:val="left"/>
      <w:lvlText w:val="%2"/>
      <w:numFmt w:val="decimal"/>
      <w:start w:val="1"/>
    </w:lvl>
  </w:abstractNum>
  <w:abstractNum w:abstractNumId="276">
    <w:nsid w:val="62A5D5BD"/>
    <w:multiLevelType w:val="hybridMultilevel"/>
    <w:lvl w:ilvl="0">
      <w:lvlJc w:val="left"/>
      <w:lvlText w:val="(%1)"/>
      <w:numFmt w:val="lowerLetter"/>
      <w:start w:val="1"/>
    </w:lvl>
    <w:lvl w:ilvl="1">
      <w:lvlJc w:val="left"/>
      <w:lvlText w:val="(%2)"/>
      <w:numFmt w:val="decimal"/>
      <w:start w:val="1"/>
    </w:lvl>
  </w:abstractNum>
  <w:abstractNum w:abstractNumId="277">
    <w:nsid w:val="718FABF9"/>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278">
    <w:nsid w:val="7775797C"/>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279">
    <w:nsid w:val="1626FB8C"/>
    <w:multiLevelType w:val="hybridMultilevel"/>
    <w:lvl w:ilvl="0">
      <w:lvlJc w:val="left"/>
      <w:lvlText w:val="(%1)"/>
      <w:numFmt w:val="lowerLetter"/>
      <w:start w:val="1"/>
    </w:lvl>
  </w:abstractNum>
  <w:abstractNum w:abstractNumId="280">
    <w:nsid w:val="3957756A"/>
    <w:multiLevelType w:val="hybridMultilevel"/>
    <w:lvl w:ilvl="0">
      <w:lvlJc w:val="left"/>
      <w:lvlText w:val="(%1)"/>
      <w:numFmt w:val="lowerLetter"/>
      <w:start w:val="2"/>
    </w:lvl>
    <w:lvl w:ilvl="1">
      <w:lvlJc w:val="left"/>
      <w:lvlText w:val="(%2)"/>
      <w:numFmt w:val="decimal"/>
      <w:start w:val="1"/>
    </w:lvl>
  </w:abstractNum>
  <w:abstractNum w:abstractNumId="281">
    <w:nsid w:val="3E6DA1C7"/>
    <w:multiLevelType w:val="hybridMultilevel"/>
    <w:lvl w:ilvl="0">
      <w:lvlJc w:val="left"/>
      <w:lvlText w:val="(%1)"/>
      <w:numFmt w:val="lowerLetter"/>
      <w:start w:val="1"/>
    </w:lvl>
    <w:lvl w:ilvl="1">
      <w:lvlJc w:val="left"/>
      <w:lvlText w:val="(%2)"/>
      <w:numFmt w:val="decimal"/>
      <w:start w:val="1"/>
    </w:lvl>
  </w:abstractNum>
  <w:abstractNum w:abstractNumId="282">
    <w:nsid w:val="65CA235B"/>
    <w:multiLevelType w:val="hybridMultilevel"/>
    <w:lvl w:ilvl="0">
      <w:lvlJc w:val="left"/>
      <w:lvlText w:val="(%1)"/>
      <w:numFmt w:val="decimal"/>
      <w:start w:val="2"/>
    </w:lvl>
  </w:abstractNum>
  <w:abstractNum w:abstractNumId="283">
    <w:nsid w:val="51CB0DA4"/>
    <w:multiLevelType w:val="hybridMultilevel"/>
    <w:lvl w:ilvl="0">
      <w:lvlJc w:val="left"/>
      <w:lvlText w:val="(%1)"/>
      <w:numFmt w:val="lowerLetter"/>
      <w:start w:val="2"/>
    </w:lvl>
  </w:abstractNum>
  <w:abstractNum w:abstractNumId="284">
    <w:nsid w:val="7B9B743C"/>
    <w:multiLevelType w:val="hybridMultilevel"/>
    <w:lvl w:ilvl="0">
      <w:lvlJc w:val="left"/>
      <w:lvlText w:val="(%1)"/>
      <w:numFmt w:val="lowerLetter"/>
      <w:start w:val="1"/>
    </w:lvl>
    <w:lvl w:ilvl="1">
      <w:lvlJc w:val="left"/>
      <w:lvlText w:val="(%2)"/>
      <w:numFmt w:val="decimal"/>
      <w:start w:val="1"/>
    </w:lvl>
  </w:abstractNum>
  <w:abstractNum w:abstractNumId="285">
    <w:nsid w:val="13E21002"/>
    <w:multiLevelType w:val="hybridMultilevel"/>
    <w:lvl w:ilvl="0">
      <w:lvlJc w:val="left"/>
      <w:lvlText w:val="(%1)"/>
      <w:numFmt w:val="decimal"/>
      <w:start w:val="2"/>
    </w:lvl>
  </w:abstractNum>
  <w:abstractNum w:abstractNumId="286">
    <w:nsid w:val="257D63F4"/>
    <w:multiLevelType w:val="hybridMultilevel"/>
    <w:lvl w:ilvl="0">
      <w:lvlJc w:val="left"/>
      <w:lvlText w:val="(%1)"/>
      <w:numFmt w:val="lowerLetter"/>
      <w:start w:val="2"/>
    </w:lvl>
  </w:abstractNum>
  <w:abstractNum w:abstractNumId="287">
    <w:nsid w:val="70EC11B2"/>
    <w:multiLevelType w:val="hybridMultilevel"/>
    <w:lvl w:ilvl="0">
      <w:lvlJc w:val="left"/>
      <w:lvlText w:val="(%1)"/>
      <w:numFmt w:val="lowerLetter"/>
      <w:start w:val="1"/>
    </w:lvl>
  </w:abstractNum>
  <w:abstractNum w:abstractNumId="288">
    <w:nsid w:val="2EDA00ED"/>
    <w:multiLevelType w:val="hybridMultilevel"/>
    <w:lvl w:ilvl="0">
      <w:lvlJc w:val="left"/>
      <w:lvlText w:val="(%1)"/>
      <w:numFmt w:val="lowerLetter"/>
      <w:start w:val="1"/>
    </w:lvl>
  </w:abstractNum>
  <w:abstractNum w:abstractNumId="289">
    <w:nsid w:val="73209072"/>
    <w:multiLevelType w:val="hybridMultilevel"/>
    <w:lvl w:ilvl="0">
      <w:lvlJc w:val="left"/>
      <w:lvlText w:val="(%1)"/>
      <w:numFmt w:val="lowerLetter"/>
      <w:start w:val="3"/>
    </w:lvl>
  </w:abstractNum>
  <w:abstractNum w:abstractNumId="290">
    <w:nsid w:val="5FB29816"/>
    <w:multiLevelType w:val="hybridMultilevel"/>
    <w:lvl w:ilvl="0">
      <w:lvlJc w:val="left"/>
      <w:lvlText w:val="(%1)"/>
      <w:numFmt w:val="lowerLetter"/>
      <w:start w:val="1"/>
    </w:lvl>
    <w:lvl w:ilvl="1">
      <w:lvlJc w:val="left"/>
      <w:lvlText w:val="(%2)"/>
      <w:numFmt w:val="decimal"/>
      <w:start w:val="1"/>
    </w:lvl>
  </w:abstractNum>
  <w:abstractNum w:abstractNumId="291">
    <w:nsid w:val="3CE732EC"/>
    <w:multiLevelType w:val="hybridMultilevel"/>
    <w:lvl w:ilvl="0">
      <w:lvlJc w:val="left"/>
      <w:lvlText w:val="(%1)"/>
      <w:numFmt w:val="lowerLetter"/>
      <w:start w:val="1"/>
    </w:lvl>
    <w:lvl w:ilvl="1">
      <w:lvlJc w:val="left"/>
      <w:lvlText w:val="(%2)"/>
      <w:numFmt w:val="decimal"/>
      <w:start w:val="1"/>
    </w:lvl>
  </w:abstractNum>
  <w:abstractNum w:abstractNumId="292">
    <w:nsid w:val="22F13DF3"/>
    <w:multiLevelType w:val="hybridMultilevel"/>
    <w:lvl w:ilvl="0">
      <w:lvlJc w:val="left"/>
      <w:lvlText w:val="(%1)"/>
      <w:numFmt w:val="decimal"/>
      <w:start w:val="4"/>
    </w:lvl>
  </w:abstractNum>
  <w:abstractNum w:abstractNumId="293">
    <w:nsid w:val="792B8401"/>
    <w:multiLevelType w:val="hybridMultilevel"/>
    <w:lvl w:ilvl="0">
      <w:lvlJc w:val="left"/>
      <w:lvlText w:val="%1"/>
      <w:numFmt w:val="lowerLetter"/>
      <w:start w:val="1"/>
    </w:lvl>
    <w:lvl w:ilvl="1">
      <w:lvlJc w:val="left"/>
      <w:lvlText w:val="(%2)"/>
      <w:numFmt w:val="decimal"/>
      <w:start w:val="11"/>
    </w:lvl>
  </w:abstractNum>
  <w:abstractNum w:abstractNumId="294">
    <w:nsid w:val="FA85F4D"/>
    <w:multiLevelType w:val="hybridMultilevel"/>
    <w:lvl w:ilvl="0">
      <w:lvlJc w:val="left"/>
      <w:lvlText w:val="(%1)"/>
      <w:numFmt w:val="lowerLetter"/>
      <w:start w:val="2"/>
    </w:lvl>
    <w:lvl w:ilvl="1">
      <w:lvlJc w:val="left"/>
      <w:lvlText w:val="%2"/>
      <w:numFmt w:val="decimal"/>
      <w:start w:val="1"/>
    </w:lvl>
  </w:abstractNum>
  <w:abstractNum w:abstractNumId="295">
    <w:nsid w:val="6ECE91F0"/>
    <w:multiLevelType w:val="hybridMultilevel"/>
    <w:lvl w:ilvl="0">
      <w:lvlJc w:val="left"/>
      <w:lvlText w:val="(%1)"/>
      <w:numFmt w:val="lowerLetter"/>
      <w:start w:val="1"/>
    </w:lvl>
    <w:lvl w:ilvl="1">
      <w:lvlJc w:val="left"/>
      <w:lvlText w:val="(%2)"/>
      <w:numFmt w:val="decimal"/>
      <w:start w:val="1"/>
    </w:lvl>
  </w:abstractNum>
  <w:abstractNum w:abstractNumId="296">
    <w:nsid w:val="4FC4D600"/>
    <w:multiLevelType w:val="hybridMultilevel"/>
    <w:lvl w:ilvl="0">
      <w:lvlJc w:val="left"/>
      <w:lvlText w:val="(%1)"/>
      <w:numFmt w:val="lowerLetter"/>
      <w:start w:val="1"/>
    </w:lvl>
    <w:lvl w:ilvl="1">
      <w:lvlJc w:val="left"/>
      <w:lvlText w:val="(%2)"/>
      <w:numFmt w:val="decimal"/>
      <w:start w:val="1"/>
    </w:lvl>
  </w:abstractNum>
  <w:abstractNum w:abstractNumId="297">
    <w:nsid w:val="5BFD4210"/>
    <w:multiLevelType w:val="hybridMultilevel"/>
    <w:lvl w:ilvl="0">
      <w:lvlJc w:val="left"/>
      <w:lvlText w:val="(%1)"/>
      <w:numFmt w:val="lowerLetter"/>
      <w:start w:val="5"/>
    </w:lvl>
  </w:abstractNum>
  <w:abstractNum w:abstractNumId="298">
    <w:nsid w:val="76574F8B"/>
    <w:multiLevelType w:val="hybridMultilevel"/>
    <w:lvl w:ilvl="0">
      <w:lvlJc w:val="left"/>
      <w:lvlText w:val="(%1)"/>
      <w:numFmt w:val="lowerLetter"/>
      <w:start w:val="1"/>
    </w:lvl>
  </w:abstractNum>
  <w:abstractNum w:abstractNumId="299">
    <w:nsid w:val="178F7B67"/>
    <w:multiLevelType w:val="hybridMultilevel"/>
    <w:lvl w:ilvl="0">
      <w:lvlJc w:val="left"/>
      <w:lvlText w:val="(%1)"/>
      <w:numFmt w:val="lowerLetter"/>
      <w:start w:val="2"/>
    </w:lvl>
    <w:lvl w:ilvl="1">
      <w:lvlJc w:val="left"/>
      <w:lvlText w:val="(%2)"/>
      <w:numFmt w:val="decimal"/>
      <w:start w:val="1"/>
    </w:lvl>
  </w:abstractNum>
  <w:abstractNum w:abstractNumId="300">
    <w:nsid w:val="2421DFCF"/>
    <w:multiLevelType w:val="hybridMultilevel"/>
    <w:lvl w:ilvl="0">
      <w:lvlJc w:val="left"/>
      <w:lvlText w:val="(%1)"/>
      <w:numFmt w:val="lowerLetter"/>
      <w:start w:val="4"/>
    </w:lvl>
  </w:abstractNum>
  <w:abstractNum w:abstractNumId="301">
    <w:nsid w:val="1565AC99"/>
    <w:multiLevelType w:val="hybridMultilevel"/>
    <w:lvl w:ilvl="0">
      <w:lvlJc w:val="left"/>
      <w:lvlText w:val="(%1)"/>
      <w:numFmt w:val="lowerLetter"/>
      <w:start w:val="1"/>
    </w:lvl>
  </w:abstractNum>
  <w:abstractNum w:abstractNumId="302">
    <w:nsid w:val="19FB2650"/>
    <w:multiLevelType w:val="hybridMultilevel"/>
    <w:lvl w:ilvl="0">
      <w:lvlJc w:val="left"/>
      <w:lvlText w:val="(%1)"/>
      <w:numFmt w:val="lowerLetter"/>
      <w:start w:val="2"/>
    </w:lvl>
  </w:abstractNum>
  <w:abstractNum w:abstractNumId="303">
    <w:nsid w:val="5024DE5B"/>
    <w:multiLevelType w:val="hybridMultilevel"/>
    <w:lvl w:ilvl="0">
      <w:lvlJc w:val="left"/>
      <w:lvlText w:val="(%1)"/>
      <w:numFmt w:val="lowerLetter"/>
      <w:start w:val="1"/>
    </w:lvl>
    <w:lvl w:ilvl="1">
      <w:lvlJc w:val="left"/>
      <w:lvlText w:val="(%2)"/>
      <w:numFmt w:val="decimal"/>
      <w:start w:val="1"/>
    </w:lvl>
  </w:abstractNum>
  <w:abstractNum w:abstractNumId="304">
    <w:nsid w:val="168EFE17"/>
    <w:multiLevelType w:val="hybridMultilevel"/>
    <w:lvl w:ilvl="0">
      <w:lvlJc w:val="left"/>
      <w:lvlText w:val="(%1)"/>
      <w:numFmt w:val="decimal"/>
      <w:start w:val="4"/>
    </w:lvl>
  </w:abstractNum>
  <w:abstractNum w:abstractNumId="305">
    <w:nsid w:val="1036B29F"/>
    <w:multiLevelType w:val="hybridMultilevel"/>
    <w:lvl w:ilvl="0">
      <w:lvlJc w:val="left"/>
      <w:lvlText w:val="(%1)"/>
      <w:numFmt w:val="lowerLetter"/>
      <w:start w:val="1"/>
    </w:lvl>
    <w:lvl w:ilvl="1">
      <w:lvlJc w:val="left"/>
      <w:lvlText w:val="(%2)"/>
      <w:numFmt w:val="decimal"/>
      <w:start w:val="1"/>
    </w:lvl>
  </w:abstractNum>
  <w:abstractNum w:abstractNumId="306">
    <w:nsid w:val="1D206B8E"/>
    <w:multiLevelType w:val="hybridMultilevel"/>
    <w:lvl w:ilvl="0">
      <w:lvlJc w:val="left"/>
      <w:lvlText w:val="(%1)"/>
      <w:numFmt w:val="decimal"/>
      <w:start w:val="2"/>
    </w:lvl>
  </w:abstractNum>
  <w:abstractNum w:abstractNumId="307">
    <w:nsid w:val="7934D3D4"/>
    <w:multiLevelType w:val="hybridMultilevel"/>
    <w:lvl w:ilvl="0">
      <w:lvlJc w:val="left"/>
      <w:lvlText w:val="(%1)"/>
      <w:numFmt w:val="lowerLetter"/>
      <w:start w:val="2"/>
    </w:lvl>
  </w:abstractNum>
  <w:abstractNum w:abstractNumId="308">
    <w:nsid w:val="1C65E98"/>
    <w:multiLevelType w:val="hybridMultilevel"/>
    <w:lvl w:ilvl="0">
      <w:lvlJc w:val="left"/>
      <w:lvlText w:val="(%1)"/>
      <w:numFmt w:val="lowerLetter"/>
      <w:start w:val="1"/>
    </w:lvl>
    <w:lvl w:ilvl="1">
      <w:lvlJc w:val="left"/>
      <w:lvlText w:val="(%2)"/>
      <w:numFmt w:val="decimal"/>
      <w:start w:val="1"/>
    </w:lvl>
  </w:abstractNum>
  <w:abstractNum w:abstractNumId="309">
    <w:nsid w:val="1495E50A"/>
    <w:multiLevelType w:val="hybridMultilevel"/>
    <w:lvl w:ilvl="0">
      <w:lvlJc w:val="left"/>
      <w:lvlText w:val="(%1)"/>
      <w:numFmt w:val="lowerLetter"/>
      <w:start w:val="1"/>
    </w:lvl>
  </w:abstractNum>
  <w:abstractNum w:abstractNumId="310">
    <w:nsid w:val="F5BCF61"/>
    <w:multiLevelType w:val="hybridMultilevel"/>
    <w:lvl w:ilvl="0">
      <w:lvlJc w:val="left"/>
      <w:lvlText w:val="(%1)"/>
      <w:numFmt w:val="lowerLetter"/>
      <w:start w:val="1"/>
    </w:lvl>
  </w:abstractNum>
  <w:abstractNum w:abstractNumId="311">
    <w:nsid w:val="3B1DD403"/>
    <w:multiLevelType w:val="hybridMultilevel"/>
    <w:lvl w:ilvl="0">
      <w:lvlJc w:val="left"/>
      <w:lvlText w:val="(%1)"/>
      <w:numFmt w:val="lowerLetter"/>
      <w:start w:val="1"/>
    </w:lvl>
  </w:abstractNum>
  <w:abstractNum w:abstractNumId="312">
    <w:nsid w:val="530386D1"/>
    <w:multiLevelType w:val="hybridMultilevel"/>
    <w:lvl w:ilvl="0">
      <w:lvlJc w:val="left"/>
      <w:lvlText w:val="(%1)"/>
      <w:numFmt w:val="lowerLetter"/>
      <w:start w:val="2"/>
    </w:lvl>
  </w:abstractNum>
  <w:abstractNum w:abstractNumId="313">
    <w:nsid w:val="7525F2BC"/>
    <w:multiLevelType w:val="hybridMultilevel"/>
    <w:lvl w:ilvl="0">
      <w:lvlJc w:val="left"/>
      <w:lvlText w:val="(%1)"/>
      <w:numFmt w:val="lowerLetter"/>
      <w:start w:val="1"/>
    </w:lvl>
  </w:abstractNum>
  <w:abstractNum w:abstractNumId="314">
    <w:nsid w:val="CE8E1A7"/>
    <w:multiLevelType w:val="hybridMultilevel"/>
    <w:lvl w:ilvl="0">
      <w:lvlJc w:val="left"/>
      <w:lvlText w:val="(%1)"/>
      <w:numFmt w:val="lowerLetter"/>
      <w:start w:val="2"/>
    </w:lvl>
  </w:abstractNum>
  <w:abstractNum w:abstractNumId="315">
    <w:nsid w:val="4E9EFB0D"/>
    <w:multiLevelType w:val="hybridMultilevel"/>
    <w:lvl w:ilvl="0">
      <w:lvlJc w:val="left"/>
      <w:lvlText w:val="(%1)"/>
      <w:numFmt w:val="lowerLetter"/>
      <w:start w:val="9"/>
    </w:lvl>
  </w:abstractNum>
  <w:abstractNum w:abstractNumId="316">
    <w:nsid w:val="90802BE"/>
    <w:multiLevelType w:val="hybridMultilevel"/>
    <w:lvl w:ilvl="0">
      <w:lvlJc w:val="left"/>
      <w:lvlText w:val="(%1)"/>
      <w:numFmt w:val="lowerLetter"/>
      <w:start w:val="1"/>
    </w:lvl>
    <w:lvl w:ilvl="1">
      <w:lvlJc w:val="left"/>
      <w:lvlText w:val="(%2)"/>
      <w:numFmt w:val="decimal"/>
      <w:start w:val="1"/>
    </w:lvl>
  </w:abstractNum>
  <w:abstractNum w:abstractNumId="317">
    <w:nsid w:val="3266459B"/>
    <w:multiLevelType w:val="hybridMultilevel"/>
    <w:lvl w:ilvl="0">
      <w:lvlJc w:val="left"/>
      <w:lvlText w:val="%1"/>
      <w:numFmt w:val="lowerLetter"/>
      <w:start w:val="1"/>
    </w:lvl>
    <w:lvl w:ilvl="1">
      <w:lvlJc w:val="left"/>
      <w:lvlText w:val="(%2)"/>
      <w:numFmt w:val="decimal"/>
      <w:start w:val="2"/>
    </w:lvl>
  </w:abstractNum>
  <w:abstractNum w:abstractNumId="318">
    <w:nsid w:val="3F8B0CBF"/>
    <w:multiLevelType w:val="hybridMultilevel"/>
    <w:lvl w:ilvl="0">
      <w:lvlJc w:val="left"/>
      <w:lvlText w:val="(%1)"/>
      <w:numFmt w:val="lowerLetter"/>
      <w:start w:val="2"/>
    </w:lvl>
    <w:lvl w:ilvl="1">
      <w:lvlJc w:val="left"/>
      <w:lvlText w:val="%2"/>
      <w:numFmt w:val="decimal"/>
      <w:start w:val="1"/>
    </w:lvl>
  </w:abstractNum>
  <w:abstractNum w:abstractNumId="319">
    <w:nsid w:val="37E203AB"/>
    <w:multiLevelType w:val="hybridMultilevel"/>
    <w:lvl w:ilvl="0">
      <w:lvlJc w:val="left"/>
      <w:lvlText w:val="(%1)"/>
      <w:numFmt w:val="lowerLetter"/>
      <w:start w:val="1"/>
    </w:lvl>
    <w:lvl w:ilvl="1">
      <w:lvlJc w:val="left"/>
      <w:lvlText w:val="(%2)"/>
      <w:numFmt w:val="decimal"/>
      <w:start w:val="1"/>
    </w:lvl>
  </w:abstractNum>
  <w:abstractNum w:abstractNumId="320">
    <w:nsid w:val="2586D60E"/>
    <w:multiLevelType w:val="hybridMultilevel"/>
    <w:lvl w:ilvl="0">
      <w:lvlJc w:val="left"/>
      <w:lvlText w:val="%1"/>
      <w:numFmt w:val="lowerLetter"/>
      <w:start w:val="1"/>
    </w:lvl>
    <w:lvl w:ilvl="1">
      <w:lvlJc w:val="left"/>
      <w:lvlText w:val="(%2)"/>
      <w:numFmt w:val="decimal"/>
      <w:start w:val="3"/>
    </w:lvl>
  </w:abstractNum>
  <w:abstractNum w:abstractNumId="321">
    <w:nsid w:val="1F3DA4D5"/>
    <w:multiLevelType w:val="hybridMultilevel"/>
    <w:lvl w:ilvl="0">
      <w:lvlJc w:val="left"/>
      <w:lvlText w:val="(%1)"/>
      <w:numFmt w:val="lowerLetter"/>
      <w:start w:val="2"/>
    </w:lvl>
    <w:lvl w:ilvl="1">
      <w:lvlJc w:val="left"/>
      <w:lvlText w:val="%2"/>
      <w:numFmt w:val="decimal"/>
      <w:start w:val="1"/>
    </w:lvl>
  </w:abstractNum>
  <w:abstractNum w:abstractNumId="322">
    <w:nsid w:val="74C93698"/>
    <w:multiLevelType w:val="hybridMultilevel"/>
    <w:lvl w:ilvl="0">
      <w:lvlJc w:val="left"/>
      <w:lvlText w:val="(%1)"/>
      <w:numFmt w:val="lowerLetter"/>
      <w:start w:val="5"/>
    </w:lvl>
    <w:lvl w:ilvl="1">
      <w:lvlJc w:val="left"/>
      <w:lvlText w:val="(%2)"/>
      <w:numFmt w:val="decimal"/>
      <w:start w:val="1"/>
    </w:lvl>
  </w:abstractNum>
  <w:abstractNum w:abstractNumId="323">
    <w:nsid w:val="48781401"/>
    <w:multiLevelType w:val="hybridMultilevel"/>
    <w:lvl w:ilvl="0">
      <w:lvlJc w:val="left"/>
      <w:lvlText w:val="(%1)"/>
      <w:numFmt w:val="lowerLetter"/>
      <w:start w:val="1"/>
    </w:lvl>
  </w:abstractNum>
  <w:abstractNum w:abstractNumId="324">
    <w:nsid w:val="186928D6"/>
    <w:multiLevelType w:val="hybridMultilevel"/>
    <w:lvl w:ilvl="0">
      <w:lvlJc w:val="left"/>
      <w:lvlText w:val="(%1)"/>
      <w:numFmt w:val="lowerLetter"/>
      <w:start w:val="4"/>
    </w:lvl>
  </w:abstractNum>
  <w:abstractNum w:abstractNumId="325">
    <w:nsid w:val="47195E5"/>
    <w:multiLevelType w:val="hybridMultilevel"/>
    <w:lvl w:ilvl="0">
      <w:lvlJc w:val="left"/>
      <w:lvlText w:val="(%1)"/>
      <w:numFmt w:val="lowerLetter"/>
      <w:start w:val="1"/>
    </w:lvl>
  </w:abstractNum>
  <w:abstractNum w:abstractNumId="326">
    <w:nsid w:val="3746A5F2"/>
    <w:multiLevelType w:val="hybridMultilevel"/>
    <w:lvl w:ilvl="0">
      <w:lvlJc w:val="left"/>
      <w:lvlText w:val="(%1)"/>
      <w:numFmt w:val="lowerLetter"/>
      <w:start w:val="1"/>
    </w:lvl>
  </w:abstractNum>
  <w:abstractNum w:abstractNumId="327">
    <w:nsid w:val="682DFED6"/>
    <w:multiLevelType w:val="hybridMultilevel"/>
    <w:lvl w:ilvl="0">
      <w:lvlJc w:val="left"/>
      <w:lvlText w:val="(%1)"/>
      <w:numFmt w:val="lowerLetter"/>
      <w:start w:val="1"/>
    </w:lvl>
  </w:abstractNum>
  <w:abstractNum w:abstractNumId="328">
    <w:nsid w:val="606ED7F6"/>
    <w:multiLevelType w:val="hybridMultilevel"/>
    <w:lvl w:ilvl="0">
      <w:lvlJc w:val="left"/>
      <w:lvlText w:val="(%1)"/>
      <w:numFmt w:val="lowerLetter"/>
      <w:start w:val="2"/>
    </w:lvl>
  </w:abstractNum>
  <w:abstractNum w:abstractNumId="329">
    <w:nsid w:val="2D9DF57D"/>
    <w:multiLevelType w:val="hybridMultilevel"/>
    <w:lvl w:ilvl="0">
      <w:lvlJc w:val="left"/>
      <w:lvlText w:val="(%1)"/>
      <w:numFmt w:val="lowerLetter"/>
      <w:start w:val="1"/>
    </w:lvl>
    <w:lvl w:ilvl="1">
      <w:lvlJc w:val="left"/>
      <w:lvlText w:val="(%2)"/>
      <w:numFmt w:val="decimal"/>
      <w:start w:val="1"/>
    </w:lvl>
  </w:abstractNum>
  <w:abstractNum w:abstractNumId="330">
    <w:nsid w:val="7FBD7A3E"/>
    <w:multiLevelType w:val="hybridMultilevel"/>
    <w:lvl w:ilvl="0">
      <w:lvlJc w:val="left"/>
      <w:lvlText w:val="(%1)"/>
      <w:numFmt w:val="decimal"/>
      <w:start w:val="8"/>
    </w:lvl>
  </w:abstractNum>
  <w:abstractNum w:abstractNumId="331">
    <w:nsid w:val="490B7C5"/>
    <w:multiLevelType w:val="hybridMultilevel"/>
    <w:lvl w:ilvl="0">
      <w:lvlJc w:val="left"/>
      <w:lvlText w:val="(%1)"/>
      <w:numFmt w:val="lowerLetter"/>
      <w:start w:val="3"/>
    </w:lvl>
  </w:abstractNum>
  <w:abstractNum w:abstractNumId="332">
    <w:nsid w:val="4303A216"/>
    <w:multiLevelType w:val="hybridMultilevel"/>
    <w:lvl w:ilvl="0">
      <w:lvlJc w:val="left"/>
      <w:lvlText w:val="(%1)"/>
      <w:numFmt w:val="lowerLetter"/>
      <w:start w:val="1"/>
    </w:lvl>
  </w:abstractNum>
  <w:abstractNum w:abstractNumId="333">
    <w:nsid w:val="19B8A08E"/>
    <w:multiLevelType w:val="hybridMultilevel"/>
    <w:lvl w:ilvl="0">
      <w:lvlJc w:val="left"/>
      <w:lvlText w:val="(%1)"/>
      <w:numFmt w:val="lowerLetter"/>
      <w:start w:val="2"/>
    </w:lvl>
  </w:abstractNum>
  <w:abstractNum w:abstractNumId="334">
    <w:nsid w:val="54B59621"/>
    <w:multiLevelType w:val="hybridMultilevel"/>
    <w:lvl w:ilvl="0">
      <w:lvlJc w:val="left"/>
      <w:lvlText w:val="(%1)"/>
      <w:numFmt w:val="lowerLetter"/>
      <w:start w:val="1"/>
    </w:lvl>
  </w:abstractNum>
  <w:abstractNum w:abstractNumId="335">
    <w:nsid w:val="5992A02E"/>
    <w:multiLevelType w:val="hybridMultilevel"/>
    <w:lvl w:ilvl="0">
      <w:lvlJc w:val="left"/>
      <w:lvlText w:val="(%1)"/>
      <w:numFmt w:val="lowerLetter"/>
      <w:start w:val="1"/>
    </w:lvl>
  </w:abstractNum>
  <w:abstractNum w:abstractNumId="336">
    <w:nsid w:val="29EF532D"/>
    <w:multiLevelType w:val="hybridMultilevel"/>
    <w:lvl w:ilvl="0">
      <w:lvlJc w:val="left"/>
      <w:lvlText w:val="(%1)"/>
      <w:numFmt w:val="lowerLetter"/>
      <w:start w:val="3"/>
    </w:lvl>
  </w:abstractNum>
  <w:abstractNum w:abstractNumId="337">
    <w:nsid w:val="71D601AF"/>
    <w:multiLevelType w:val="hybridMultilevel"/>
    <w:lvl w:ilvl="0">
      <w:lvlJc w:val="left"/>
      <w:lvlText w:val="(%1)"/>
      <w:numFmt w:val="lowerLetter"/>
      <w:start w:val="1"/>
    </w:lvl>
  </w:abstractNum>
  <w:abstractNum w:abstractNumId="338">
    <w:nsid w:val="52C77402"/>
    <w:multiLevelType w:val="hybridMultilevel"/>
    <w:lvl w:ilvl="0">
      <w:lvlJc w:val="left"/>
      <w:lvlText w:val="(%1)"/>
      <w:numFmt w:val="lowerLetter"/>
      <w:start w:val="1"/>
    </w:lvl>
  </w:abstractNum>
  <w:abstractNum w:abstractNumId="339">
    <w:nsid w:val="2BB5B1C6"/>
    <w:multiLevelType w:val="hybridMultilevel"/>
    <w:lvl w:ilvl="0">
      <w:lvlJc w:val="left"/>
      <w:lvlText w:val="(%1)"/>
      <w:numFmt w:val="lowerLetter"/>
      <w:start w:val="4"/>
    </w:lvl>
  </w:abstractNum>
  <w:abstractNum w:abstractNumId="340">
    <w:nsid w:val="66BE6B9"/>
    <w:multiLevelType w:val="hybridMultilevel"/>
    <w:lvl w:ilvl="0">
      <w:lvlJc w:val="left"/>
      <w:lvlText w:val="%1"/>
      <w:numFmt w:val="decimal"/>
      <w:start w:val="1"/>
    </w:lvl>
    <w:lvl w:ilvl="1">
      <w:lvlJc w:val="left"/>
      <w:lvlText w:val="(%2)"/>
      <w:numFmt w:val="lowerLetter"/>
      <w:start w:val="1"/>
    </w:lvl>
  </w:abstractNum>
  <w:abstractNum w:abstractNumId="341">
    <w:nsid w:val="62234363"/>
    <w:multiLevelType w:val="hybridMultilevel"/>
    <w:lvl w:ilvl="0">
      <w:lvlJc w:val="left"/>
      <w:lvlText w:val="%1)"/>
      <w:numFmt w:val="decimal"/>
      <w:start w:val="301"/>
    </w:lvl>
    <w:lvl w:ilvl="1">
      <w:lvlJc w:val="left"/>
      <w:lvlText w:val="%2"/>
      <w:numFmt w:val="lowerLetter"/>
      <w:start w:val="1"/>
    </w:lvl>
  </w:abstractNum>
  <w:abstractNum w:abstractNumId="342">
    <w:nsid w:val="66D385C9"/>
    <w:multiLevelType w:val="hybridMultilevel"/>
    <w:lvl w:ilvl="0">
      <w:lvlJc w:val="left"/>
      <w:lvlText w:val="(%1)"/>
      <w:numFmt w:val="lowerLetter"/>
      <w:start w:val="2"/>
    </w:lvl>
  </w:abstractNum>
  <w:abstractNum w:abstractNumId="343">
    <w:nsid w:val="596F6D8A"/>
    <w:multiLevelType w:val="hybridMultilevel"/>
    <w:lvl w:ilvl="0">
      <w:lvlJc w:val="left"/>
      <w:lvlText w:val="(%1)"/>
      <w:numFmt w:val="lowerLetter"/>
      <w:start w:val="1"/>
    </w:lvl>
  </w:abstractNum>
  <w:abstractNum w:abstractNumId="344">
    <w:nsid w:val="5749361F"/>
    <w:multiLevelType w:val="hybridMultilevel"/>
    <w:lvl w:ilvl="0">
      <w:lvlJc w:val="left"/>
      <w:lvlText w:val="(%1)"/>
      <w:numFmt w:val="lowerLetter"/>
      <w:start w:val="1"/>
    </w:lvl>
  </w:abstractNum>
  <w:abstractNum w:abstractNumId="345">
    <w:nsid w:val="73BC6770"/>
    <w:multiLevelType w:val="hybridMultilevel"/>
    <w:lvl w:ilvl="0">
      <w:lvlJc w:val="left"/>
      <w:lvlText w:val="(%1)"/>
      <w:numFmt w:val="lowerLetter"/>
      <w:start w:val="4"/>
    </w:lvl>
    <w:lvl w:ilvl="1">
      <w:lvlJc w:val="left"/>
      <w:lvlText w:val="(%2)"/>
      <w:numFmt w:val="decimal"/>
      <w:start w:val="1"/>
    </w:lvl>
  </w:abstractNum>
  <w:abstractNum w:abstractNumId="346">
    <w:nsid w:val="280E6897"/>
    <w:multiLevelType w:val="hybridMultilevel"/>
    <w:lvl w:ilvl="0">
      <w:lvlJc w:val="left"/>
      <w:lvlText w:val="(%1)"/>
      <w:numFmt w:val="lowerLetter"/>
      <w:start w:val="1"/>
    </w:lvl>
  </w:abstractNum>
  <w:abstractNum w:abstractNumId="347">
    <w:nsid w:val="605138DE"/>
    <w:multiLevelType w:val="hybridMultilevel"/>
    <w:lvl w:ilvl="0">
      <w:lvlJc w:val="left"/>
      <w:lvlText w:val="(%1)"/>
      <w:numFmt w:val="lowerLetter"/>
      <w:start w:val="3"/>
    </w:lvl>
  </w:abstractNum>
  <w:abstractNum w:abstractNumId="348">
    <w:nsid w:val="2622AD0C"/>
    <w:multiLevelType w:val="hybridMultilevel"/>
    <w:lvl w:ilvl="0">
      <w:lvlJc w:val="left"/>
      <w:lvlText w:val="(%1)"/>
      <w:numFmt w:val="lowerLetter"/>
      <w:start w:val="1"/>
    </w:lvl>
    <w:lvl w:ilvl="1">
      <w:lvlJc w:val="left"/>
      <w:lvlText w:val="(%2)"/>
      <w:numFmt w:val="decimal"/>
      <w:start w:val="1"/>
    </w:lvl>
  </w:abstractNum>
  <w:abstractNum w:abstractNumId="349">
    <w:nsid w:val="67997556"/>
    <w:multiLevelType w:val="hybridMultilevel"/>
    <w:lvl w:ilvl="0">
      <w:lvlJc w:val="left"/>
      <w:lvlText w:val="(%1)"/>
      <w:numFmt w:val="lowerLetter"/>
      <w:start w:val="2"/>
    </w:lvl>
  </w:abstractNum>
  <w:abstractNum w:abstractNumId="350">
    <w:nsid w:val="18333C89"/>
    <w:multiLevelType w:val="hybridMultilevel"/>
    <w:lvl w:ilvl="0">
      <w:lvlJc w:val="left"/>
      <w:lvlText w:val="(%1)"/>
      <w:numFmt w:val="lowerLetter"/>
      <w:start w:val="1"/>
    </w:lvl>
  </w:abstractNum>
  <w:abstractNum w:abstractNumId="351">
    <w:nsid w:val="4BA9831A"/>
    <w:multiLevelType w:val="hybridMultilevel"/>
    <w:lvl w:ilvl="0">
      <w:lvlJc w:val="left"/>
      <w:lvlText w:val="(%1)"/>
      <w:numFmt w:val="decimal"/>
      <w:start w:val="1"/>
    </w:lvl>
  </w:abstractNum>
  <w:abstractNum w:abstractNumId="352">
    <w:nsid w:val="6D71A2B"/>
    <w:multiLevelType w:val="hybridMultilevel"/>
    <w:lvl w:ilvl="0">
      <w:lvlJc w:val="left"/>
      <w:lvlText w:val="(%1)"/>
      <w:numFmt w:val="decimal"/>
      <w:start w:val="1"/>
    </w:lvl>
  </w:abstractNum>
  <w:abstractNum w:abstractNumId="353">
    <w:nsid w:val="CFC7321"/>
    <w:multiLevelType w:val="hybridMultilevel"/>
    <w:lvl w:ilvl="0">
      <w:lvlJc w:val="left"/>
      <w:lvlText w:val="(%1)"/>
      <w:numFmt w:val="lowerLetter"/>
      <w:start w:val="1"/>
    </w:lvl>
  </w:abstractNum>
  <w:abstractNum w:abstractNumId="354">
    <w:nsid w:val="1421971B"/>
    <w:multiLevelType w:val="hybridMultilevel"/>
    <w:lvl w:ilvl="0">
      <w:lvlJc w:val="left"/>
      <w:lvlText w:val="(%1)"/>
      <w:numFmt w:val="upp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2019-12-13T17:46:12Z</dcterms:created>
  <dcterms:modified xsi:type="dcterms:W3CDTF">2019-12-13T17:46:12Z</dcterms:modified>
</cp:coreProperties>
</file>