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200" w:before="0" w:after="0"/>
        <w:ind w:left="0" w:right="0" w:hanging="0"/>
        <w:jc w:val="left"/>
        <w:rPr/>
      </w:pPr>
      <w:r>
        <w:rPr/>
        <w:t> </w:t>
      </w:r>
    </w:p>
    <w:p>
      <w:pPr>
        <w:pStyle w:val="TextBody"/>
        <w:pBdr/>
        <w:bidi w:val="0"/>
        <w:spacing w:lineRule="atLeast" w:line="142"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8"/>
        </w:rPr>
        <w:t>UNITED STATES</w:t>
      </w:r>
      <w:r>
        <w:rPr>
          <w:rFonts w:ascii="times new roman;times" w:hAnsi="times new roman;times"/>
          <w:sz w:val="20"/>
        </w:rPr>
        <w:t> </w:t>
      </w:r>
      <w:r>
        <w:rPr>
          <w:rFonts w:ascii="Times New Roman" w:hAnsi="Times New Roman"/>
          <w:b/>
          <w:sz w:val="28"/>
        </w:rPr>
        <w:t>SECURITIES AND EXCHANGE COMMISSION</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8"/>
        </w:rPr>
      </w:pPr>
      <w:r>
        <w:rPr>
          <w:rFonts w:ascii="Times New Roman" w:hAnsi="Times New Roman"/>
          <w:b/>
          <w:sz w:val="28"/>
        </w:rPr>
        <w:t>FORM 8-K</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CURRENT REPORT</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sz w:val="20"/>
        </w:rPr>
        <w:t xml:space="preserve">Date of report (Date of earliest event reported): </w:t>
      </w:r>
      <w:r>
        <w:rPr>
          <w:rFonts w:ascii="Times New Roman" w:hAnsi="Times New Roman"/>
          <w:b/>
          <w:sz w:val="20"/>
        </w:rPr>
        <w:t>October 8, 2026</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8"/>
          <w:u w:val="single"/>
        </w:rPr>
      </w:pPr>
      <w:r>
        <w:rPr>
          <w:rFonts w:ascii="Times New Roman" w:hAnsi="Times New Roman"/>
          <w:b/>
          <w:sz w:val="28"/>
          <w:u w:val="single"/>
        </w:rPr>
        <w:t>ClearOne, Inc.</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4162"/>
        <w:gridCol w:w="67"/>
        <w:gridCol w:w="2557"/>
        <w:gridCol w:w="67"/>
        <w:gridCol w:w="3352"/>
      </w:tblGrid>
      <w:tr>
        <w:trPr/>
        <w:tc>
          <w:tcPr>
            <w:tcW w:w="4162" w:type="dxa"/>
            <w:tcBorders/>
            <w:vAlign w:val="center"/>
          </w:tcPr>
          <w:p>
            <w:pPr>
              <w:pStyle w:val="TableContents"/>
              <w:bidi w:val="0"/>
              <w:spacing w:before="0" w:after="0"/>
              <w:ind w:left="0" w:right="0" w:hanging="0"/>
              <w:jc w:val="center"/>
              <w:rPr/>
            </w:pPr>
            <w:r>
              <w:rPr>
                <w:rFonts w:ascii="Times New Roman" w:hAnsi="Times New Roman"/>
                <w:b/>
                <w:sz w:val="20"/>
              </w:rPr>
              <w:t>Nevada</w:t>
            </w:r>
            <w:r>
              <w:rPr/>
              <w:t xml:space="preserve"> </w:t>
            </w:r>
          </w:p>
        </w:tc>
        <w:tc>
          <w:tcPr>
            <w:tcW w:w="67" w:type="dxa"/>
            <w:tcBorders/>
            <w:vAlign w:val="center"/>
          </w:tcPr>
          <w:p>
            <w:pPr>
              <w:pStyle w:val="TableContents"/>
              <w:bidi w:val="0"/>
              <w:spacing w:before="0" w:after="0"/>
              <w:ind w:left="0" w:right="0" w:hanging="0"/>
              <w:jc w:val="left"/>
              <w:rPr/>
            </w:pPr>
            <w:r>
              <w:rPr/>
              <w:t> </w:t>
            </w:r>
          </w:p>
        </w:tc>
        <w:tc>
          <w:tcPr>
            <w:tcW w:w="2557"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001-33660 </w:t>
            </w:r>
          </w:p>
        </w:tc>
        <w:tc>
          <w:tcPr>
            <w:tcW w:w="67" w:type="dxa"/>
            <w:tcBorders/>
            <w:vAlign w:val="center"/>
          </w:tcPr>
          <w:p>
            <w:pPr>
              <w:pStyle w:val="TableContents"/>
              <w:bidi w:val="0"/>
              <w:spacing w:before="0" w:after="0"/>
              <w:ind w:left="0" w:right="0" w:hanging="0"/>
              <w:jc w:val="left"/>
              <w:rPr/>
            </w:pPr>
            <w:r>
              <w:rPr/>
              <w:t> </w:t>
            </w:r>
          </w:p>
        </w:tc>
        <w:tc>
          <w:tcPr>
            <w:tcW w:w="335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87-0398877 </w:t>
            </w:r>
          </w:p>
        </w:tc>
      </w:tr>
      <w:tr>
        <w:trPr/>
        <w:tc>
          <w:tcPr>
            <w:tcW w:w="4162" w:type="dxa"/>
            <w:tcBorders/>
            <w:vAlign w:val="center"/>
          </w:tcPr>
          <w:p>
            <w:pPr>
              <w:pStyle w:val="TableContents"/>
              <w:bidi w:val="0"/>
              <w:spacing w:before="0" w:after="0"/>
              <w:ind w:left="45" w:right="0" w:hanging="0"/>
              <w:jc w:val="center"/>
              <w:rPr/>
            </w:pPr>
            <w:r>
              <w:rPr>
                <w:rFonts w:ascii="Times New Roman" w:hAnsi="Times New Roman"/>
                <w:sz w:val="20"/>
              </w:rPr>
              <w:t>(State or Other Jurisdiction</w:t>
            </w:r>
            <w:r>
              <w:rPr/>
              <w:t> </w:t>
            </w:r>
            <w:r>
              <w:rPr>
                <w:rFonts w:ascii="Times New Roman" w:hAnsi="Times New Roman"/>
                <w:sz w:val="20"/>
              </w:rPr>
              <w:t xml:space="preserve">of Incorporation) </w:t>
            </w:r>
          </w:p>
        </w:tc>
        <w:tc>
          <w:tcPr>
            <w:tcW w:w="67" w:type="dxa"/>
            <w:tcBorders/>
            <w:vAlign w:val="center"/>
          </w:tcPr>
          <w:p>
            <w:pPr>
              <w:pStyle w:val="TableContents"/>
              <w:bidi w:val="0"/>
              <w:spacing w:before="0" w:after="0"/>
              <w:ind w:left="0" w:right="0" w:hanging="0"/>
              <w:jc w:val="left"/>
              <w:rPr/>
            </w:pPr>
            <w:r>
              <w:rPr/>
              <w:t> </w:t>
            </w:r>
          </w:p>
        </w:tc>
        <w:tc>
          <w:tcPr>
            <w:tcW w:w="2557" w:type="dxa"/>
            <w:tcBorders/>
            <w:vAlign w:val="center"/>
          </w:tcPr>
          <w:p>
            <w:pPr>
              <w:pStyle w:val="TableContents"/>
              <w:bidi w:val="0"/>
              <w:spacing w:before="0" w:after="0"/>
              <w:ind w:left="45" w:right="0" w:hanging="0"/>
              <w:jc w:val="center"/>
              <w:rPr/>
            </w:pPr>
            <w:r>
              <w:rPr>
                <w:rFonts w:ascii="Times New Roman" w:hAnsi="Times New Roman"/>
                <w:sz w:val="20"/>
              </w:rPr>
              <w:t>(Commission</w:t>
            </w:r>
            <w:r>
              <w:rPr/>
              <w:t> </w:t>
            </w:r>
            <w:r>
              <w:rPr>
                <w:rFonts w:ascii="Times New Roman" w:hAnsi="Times New Roman"/>
                <w:sz w:val="20"/>
              </w:rPr>
              <w:t xml:space="preserve">File Number) </w:t>
            </w:r>
          </w:p>
        </w:tc>
        <w:tc>
          <w:tcPr>
            <w:tcW w:w="67" w:type="dxa"/>
            <w:tcBorders/>
            <w:vAlign w:val="center"/>
          </w:tcPr>
          <w:p>
            <w:pPr>
              <w:pStyle w:val="TableContents"/>
              <w:bidi w:val="0"/>
              <w:spacing w:before="0" w:after="0"/>
              <w:ind w:left="0" w:right="0" w:hanging="0"/>
              <w:jc w:val="left"/>
              <w:rPr/>
            </w:pPr>
            <w:r>
              <w:rPr/>
              <w:t> </w:t>
            </w:r>
          </w:p>
        </w:tc>
        <w:tc>
          <w:tcPr>
            <w:tcW w:w="3352" w:type="dxa"/>
            <w:tcBorders/>
            <w:vAlign w:val="center"/>
          </w:tcPr>
          <w:p>
            <w:pPr>
              <w:pStyle w:val="TableContents"/>
              <w:bidi w:val="0"/>
              <w:spacing w:before="0" w:after="0"/>
              <w:ind w:left="30" w:right="0" w:hanging="0"/>
              <w:jc w:val="center"/>
              <w:rPr/>
            </w:pPr>
            <w:r>
              <w:rPr>
                <w:rFonts w:ascii="Times New Roman" w:hAnsi="Times New Roman"/>
                <w:sz w:val="20"/>
              </w:rPr>
              <w:t>(I.R.S. Employer</w:t>
            </w:r>
            <w:r>
              <w:rPr/>
              <w:t> </w:t>
            </w:r>
            <w:r>
              <w:rPr>
                <w:rFonts w:ascii="Times New Roman" w:hAnsi="Times New Roman"/>
                <w:sz w:val="20"/>
              </w:rPr>
              <w:t xml:space="preserve">Identification No.) </w:t>
            </w:r>
          </w:p>
        </w:tc>
      </w:tr>
    </w:tbl>
    <w:p>
      <w:pPr>
        <w:pStyle w:val="TextBody"/>
        <w:bidi w:val="0"/>
        <w:spacing w:lineRule="auto" w:line="288" w:before="0" w:after="0"/>
        <w:ind w:left="0" w:right="0" w:hanging="0"/>
        <w:jc w:val="center"/>
        <w:rPr/>
      </w:pPr>
      <w:r>
        <w:rPr/>
        <w:t> </w:t>
      </w:r>
    </w:p>
    <w:tbl>
      <w:tblPr>
        <w:tblW w:w="5000" w:type="pct"/>
        <w:jc w:val="left"/>
        <w:tblInd w:w="0" w:type="dxa"/>
        <w:tblLayout w:type="fixed"/>
        <w:tblCellMar>
          <w:top w:w="0" w:type="dxa"/>
          <w:left w:w="0" w:type="dxa"/>
          <w:bottom w:w="0" w:type="dxa"/>
          <w:right w:w="0" w:type="dxa"/>
        </w:tblCellMar>
      </w:tblPr>
      <w:tblGrid>
        <w:gridCol w:w="8227"/>
        <w:gridCol w:w="116"/>
        <w:gridCol w:w="1862"/>
      </w:tblGrid>
      <w:tr>
        <w:trPr/>
        <w:tc>
          <w:tcPr>
            <w:tcW w:w="8227" w:type="dxa"/>
            <w:tcBorders/>
            <w:vAlign w:val="center"/>
          </w:tcPr>
          <w:p>
            <w:pPr>
              <w:pStyle w:val="TableContents"/>
              <w:bidi w:val="0"/>
              <w:spacing w:before="0" w:after="0"/>
              <w:ind w:left="0" w:right="0" w:hanging="0"/>
              <w:jc w:val="center"/>
              <w:rPr/>
            </w:pPr>
            <w:r>
              <w:rPr>
                <w:rFonts w:ascii="Times New Roman" w:hAnsi="Times New Roman"/>
                <w:b/>
                <w:sz w:val="20"/>
              </w:rPr>
              <w:t>7533 S Center View Ct. # 5311, West Jordan,</w:t>
            </w:r>
            <w:r>
              <w:rPr/>
              <w:t> </w:t>
            </w:r>
            <w:r>
              <w:rPr>
                <w:rFonts w:ascii="Times New Roman" w:hAnsi="Times New Roman"/>
                <w:b/>
                <w:sz w:val="20"/>
              </w:rPr>
              <w:t>Utah</w:t>
            </w:r>
          </w:p>
        </w:tc>
        <w:tc>
          <w:tcPr>
            <w:tcW w:w="116" w:type="dxa"/>
            <w:tcBorders/>
            <w:vAlign w:val="center"/>
          </w:tcPr>
          <w:p>
            <w:pPr>
              <w:pStyle w:val="TableContents"/>
              <w:bidi w:val="0"/>
              <w:spacing w:before="0" w:after="0"/>
              <w:ind w:left="0" w:right="0" w:hanging="0"/>
              <w:jc w:val="left"/>
              <w:rPr/>
            </w:pPr>
            <w:r>
              <w:rPr/>
              <w:t> </w:t>
            </w:r>
          </w:p>
        </w:tc>
        <w:tc>
          <w:tcPr>
            <w:tcW w:w="186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84084</w:t>
            </w:r>
          </w:p>
        </w:tc>
      </w:tr>
      <w:tr>
        <w:trPr/>
        <w:tc>
          <w:tcPr>
            <w:tcW w:w="8227"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(Address of principal executive offices) </w:t>
            </w:r>
          </w:p>
        </w:tc>
        <w:tc>
          <w:tcPr>
            <w:tcW w:w="116" w:type="dxa"/>
            <w:tcBorders/>
            <w:vAlign w:val="center"/>
          </w:tcPr>
          <w:p>
            <w:pPr>
              <w:pStyle w:val="TableContents"/>
              <w:bidi w:val="0"/>
              <w:spacing w:before="0" w:after="0"/>
              <w:ind w:left="0" w:right="0" w:hanging="0"/>
              <w:jc w:val="left"/>
              <w:rPr/>
            </w:pPr>
            <w:r>
              <w:rPr/>
              <w:t> </w:t>
            </w:r>
          </w:p>
        </w:tc>
        <w:tc>
          <w:tcPr>
            <w:tcW w:w="186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(Zip Code) </w:t>
            </w:r>
          </w:p>
        </w:tc>
      </w:tr>
    </w:tbl>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+1 (801) 975-7200</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(Registrant’s telephone number, including area code)</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u w:val="single"/>
        </w:rPr>
      </w:pPr>
      <w:r>
        <w:rPr>
          <w:rFonts w:ascii="Times New Roman" w:hAnsi="Times New Roman"/>
          <w:b/>
          <w:sz w:val="20"/>
          <w:u w:val="single"/>
        </w:rPr>
        <w:t>Not applicable</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Written communications pursuant to Rule 425 under the Securities Act (17 CFR 230.425)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Soliciting material pursuant to Rule 14a-12 under the Exchange Act (17 CFR 240.14a-12) </w:t>
            </w:r>
          </w:p>
        </w:tc>
      </w:tr>
      <w:tr>
        <w:trPr/>
        <w:tc>
          <w:tcPr>
            <w:tcW w:w="267" w:type="dxa"/>
            <w:tcBorders/>
            <w:vAlign w:val="center"/>
          </w:tcPr>
          <w:p>
            <w:pPr>
              <w:pStyle w:val="TableContents"/>
              <w:bidi w:val="0"/>
              <w:spacing w:before="0" w:after="0"/>
              <w:ind w:left="0" w:right="0" w:hanging="0"/>
              <w:jc w:val="left"/>
              <w:rPr/>
            </w:pPr>
            <w:r>
              <w:rPr/>
              <w:t>☐</w:t>
            </w:r>
          </w:p>
        </w:tc>
        <w:tc>
          <w:tcPr>
            <w:tcW w:w="99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r>
        <w:trPr/>
        <w:tc>
          <w:tcPr>
            <w:tcW w:w="267" w:type="dxa"/>
            <w:tcBorders/>
            <w:vAlign w:val="center"/>
          </w:tcPr>
          <w:p>
            <w:pPr>
              <w:pStyle w:val="TableContents"/>
              <w:bidi w:val="0"/>
              <w:spacing w:before="0" w:after="0"/>
              <w:ind w:left="0" w:right="0" w:hanging="0"/>
              <w:jc w:val="both"/>
              <w:rPr/>
            </w:pPr>
            <w:r>
              <w:rPr/>
              <w:t>☐</w:t>
            </w:r>
          </w:p>
        </w:tc>
        <w:tc>
          <w:tcPr>
            <w:tcW w:w="9938" w:type="dxa"/>
            <w:tcBorders/>
            <w:vAlign w:val="center"/>
          </w:tcPr>
          <w:p>
            <w:pPr>
              <w:pStyle w:val="TableContents"/>
              <w:bidi w:val="0"/>
              <w:spacing w:before="0" w:after="0"/>
              <w:ind w:left="0" w:right="0" w:hanging="0"/>
              <w:jc w:val="both"/>
              <w:rPr/>
            </w:pPr>
            <w:r>
              <w:rPr>
                <w:rFonts w:ascii="Times New Roman" w:hAnsi="Times New Roman"/>
                <w:sz w:val="20"/>
              </w:rPr>
              <w:t>Pre-commencement communication pursuant to Rule 13e-4(c)</w:t>
            </w:r>
            <w:r>
              <w:rPr/>
              <w:t xml:space="preserve"> </w:t>
            </w:r>
            <w:r>
              <w:rPr>
                <w:rFonts w:ascii="Times New Roman" w:hAnsi="Times New Roman"/>
                <w:sz w:val="20"/>
              </w:rPr>
              <w:t xml:space="preserve">under the Exchange Act (17 CFR 240.13e-4(c))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Emerging growth company</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times" w:hAnsi="times new roman;times"/>
          <w:sz w:val="20"/>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Securities Registered Pursuant to Section 12(b) of the Act:</w:t>
      </w:r>
      <w:r>
        <w:rPr>
          <w:rFonts w:ascii="times new roman;times" w:hAnsi="times new roman;times"/>
          <w:sz w:val="20"/>
        </w:rPr>
        <w:t>  </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817"/>
        <w:gridCol w:w="2213"/>
        <w:gridCol w:w="5175"/>
      </w:tblGrid>
      <w:tr>
        <w:trPr/>
        <w:tc>
          <w:tcPr>
            <w:tcW w:w="2817"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Title of each class</w:t>
            </w:r>
          </w:p>
        </w:tc>
        <w:tc>
          <w:tcPr>
            <w:tcW w:w="2213"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Trading Symbol(s)</w:t>
            </w:r>
          </w:p>
        </w:tc>
        <w:tc>
          <w:tcPr>
            <w:tcW w:w="5175"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Name of each exchange on which registered</w:t>
            </w:r>
          </w:p>
        </w:tc>
      </w:tr>
      <w:tr>
        <w:trPr/>
        <w:tc>
          <w:tcPr>
            <w:tcW w:w="2817" w:type="dxa"/>
            <w:tcBorders/>
            <w:vAlign w:val="center"/>
          </w:tcPr>
          <w:p>
            <w:pPr>
              <w:pStyle w:val="TableContents"/>
              <w:bidi w:val="0"/>
              <w:spacing w:lineRule="atLeast" w:line="240" w:before="0" w:after="0"/>
              <w:ind w:left="0" w:right="0" w:hanging="0"/>
              <w:jc w:val="center"/>
              <w:rPr>
                <w:rFonts w:ascii="Times New Roman" w:hAnsi="Times New Roman"/>
                <w:sz w:val="20"/>
              </w:rPr>
            </w:pPr>
            <w:r>
              <w:rPr>
                <w:rFonts w:ascii="Times New Roman" w:hAnsi="Times New Roman"/>
                <w:sz w:val="20"/>
              </w:rPr>
              <w:t>Common Stock, $0.001</w:t>
            </w:r>
          </w:p>
        </w:tc>
        <w:tc>
          <w:tcPr>
            <w:tcW w:w="2213"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517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bidi w:val="0"/>
        <w:spacing w:lineRule="auto" w:line="288"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64" w:before="0" w:after="0"/>
        <w:ind w:left="1440" w:right="0" w:hanging="1440"/>
        <w:jc w:val="left"/>
        <w:rPr>
          <w:rFonts w:ascii="Times New Roman;serif" w:hAnsi="Times New Roman;serif"/>
          <w:b/>
          <w:sz w:val="20"/>
        </w:rPr>
      </w:pPr>
      <w:r>
        <w:rPr>
          <w:rFonts w:ascii="Times New Roman;serif" w:hAnsi="Times New Roman;serif"/>
          <w:b/>
          <w:sz w:val="20"/>
        </w:rPr>
        <w:t>Item 3.01             Notice of Delisting or Failure to Satisfy a Continued Listing Rule or Standard; Transfer of Listing</w:t>
      </w:r>
    </w:p>
    <w:p>
      <w:pPr>
        <w:pStyle w:val="TextBody"/>
        <w:bidi w:val="0"/>
        <w:spacing w:lineRule="auto" w:line="264" w:before="0" w:after="0"/>
        <w:ind w:left="0" w:right="0" w:hanging="0"/>
        <w:jc w:val="left"/>
        <w:rPr/>
      </w:pPr>
      <w:r>
        <w:rPr/>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t>As previously disclosed, on April 7, 2026, ClearOne, Inc. (the “Company”) received a notice from the Listing Qualifications Department (the “Staff”) of the Nasdaq Stock Market LLC (“Nasdaq”) notifying the Company that the Company no longer complied with the continued listing requirements set forth in Nasdaq Listing Rule 5550(b) (the “Continued Listing Requirements”).</w:t>
      </w:r>
    </w:p>
    <w:p>
      <w:pPr>
        <w:pStyle w:val="TextBody"/>
        <w:bidi w:val="0"/>
        <w:spacing w:lineRule="auto" w:line="264" w:before="0" w:after="0"/>
        <w:ind w:left="0" w:right="0" w:hanging="0"/>
        <w:jc w:val="both"/>
        <w:rPr>
          <w:rFonts w:ascii="Times New Roman;serif" w:hAnsi="Times New Roman;serif"/>
          <w:sz w:val="24"/>
        </w:rPr>
      </w:pPr>
      <w:r>
        <w:rPr>
          <w:rFonts w:ascii="Times New Roman;serif" w:hAnsi="Times New Roman;serif"/>
          <w:sz w:val="24"/>
        </w:rPr>
        <w:br/>
      </w:r>
      <w:r>
        <w:rPr>
          <w:rFonts w:ascii="times new roman;times" w:hAnsi="times new roman;times"/>
          <w:sz w:val="20"/>
        </w:rPr>
        <w:t>In accordance with Nasdaq Marketplace Rule 5810(c)(2)(A), the Company had a period of 45 calendar days from April 7, 2026, or until May 22, 2026, to submit to Nasdaq a plan to regain compliance with the Continued Listing Requirements. Nasdaq, in its discretion, granted an exception of up to 180 calendar days from April 7, 2026, or until October 5, 2026, for the Company to regain compliance with the Continued Listing Requirements.</w:t>
      </w:r>
    </w:p>
    <w:p>
      <w:pPr>
        <w:pStyle w:val="TextBody"/>
        <w:bidi w:val="0"/>
        <w:spacing w:lineRule="auto" w:line="264" w:before="0" w:after="0"/>
        <w:ind w:left="0" w:right="0" w:hanging="0"/>
        <w:jc w:val="both"/>
        <w:rPr/>
      </w:pPr>
      <w:r>
        <w:rPr/>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t>On October 8, 2026, the Company received a Staff determination letter notifying the Company that it had not demonstrated compliance with the $2,500,000 minimum stockholders’ equity requirement for continued listing set forth under Nasdaq Listing Rule 5550(b)(1) (the “Stockholders’ Equity Rule”) because the Company had not completed the remedial actions contemplated by the compliance plan submitted to Nasdaq on May 22, 2026. Accordingly, the Staff determined to delist the Company’s securities from The Nasdaq Capital Market. The Company intends to timely request a hearing before a Nasdaq Hearings Panel (the “Panel”) by October 15, 2026, to appeal the Staff’s determination. The hearing request will automatically stay any suspension or delisting action pending the hearing and the expiration of any additional extension period granted by the Panel following the hearing. At the hearing, the Company intends to present its plan to regain compliance with the Stockholders’ Equity Rule. Unless the Company timely requests a hearing, trading in the Company’s common stock will be suspended at the opening of business on October 19, 2026.</w:t>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lineRule="auto" w:line="264"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intends to take all reasonable measures available to regain compliance under the Stockholders’ Equity Rule and remain listed on Nasdaq. However, there can be no assurance that Nasdaq will grant the Company’s request for a hearing or that the Company will ultimately regain compliance with all applicable requirements for continued listing.</w:t>
      </w:r>
    </w:p>
    <w:p>
      <w:pPr>
        <w:pStyle w:val="TextBody"/>
        <w:widowControl/>
        <w:bidi w:val="0"/>
        <w:spacing w:lineRule="auto" w:line="264"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r>
    </w:p>
    <w:p>
      <w:pPr>
        <w:pStyle w:val="TextBody"/>
        <w:widowControl/>
        <w:bidi w:val="0"/>
        <w:spacing w:lineRule="auto" w:line="264" w:before="0" w:after="0"/>
        <w:ind w:left="0" w:right="0" w:hanging="0"/>
        <w:jc w:val="both"/>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Forward-Looking Statements</w:t>
      </w:r>
    </w:p>
    <w:p>
      <w:pPr>
        <w:pStyle w:val="TextBody"/>
        <w:widowControl/>
        <w:bidi w:val="0"/>
        <w:spacing w:lineRule="auto" w:line="264" w:before="0" w:after="0"/>
        <w:ind w:left="0" w:right="0" w:hanging="0"/>
        <w:jc w:val="both"/>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widowControl/>
        <w:bidi w:val="0"/>
        <w:spacing w:lineRule="auto" w:line="264"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This Current Report on Form 8-K contains “forward-looking statements” within the meaning of the Private Securities Litigation Reform Act of 1995. Forward-looking statements can be identified by words such as “projects,” “may,” “will,” “could,” “would,” “should,” “believes,” “expects,” “anticipates,” “estimates,” “intends,” “plans,” “potential,” or similar references to future periods. Examples of forward-looking statements in this Current Report on Form 8-K include, without limitation, statements regarding the Company’s intent or ability to regain compliance with the Stockholders’ Equity Rule, the outcome of the Nasdaq hearing and appeal process, and the continued listing of the Company’s common stock on The Nasdaq Capital Market. Any forward-looking statements in this Current Report on Form 8-K are based on management’s current expectations of future events and are subject to a number of risks and uncertainties that could cause actual results to differ materially and adversely from those set forth in or implied by such forward-looking statements. For a discussion of these and other risks and uncertainties, and other important factors, any of which could cause the Company’s actual results to differ from those contained in or implied by the forward-looking statements, see the section entitled “Risk Factors” in the Company’s Annual Report on Form 10-K for the year ended December 31, 2025 filed with the U.S. Securities and Exchange Commission (the “SEC”) on March 31, 2026, as well as discussions of potential risks, uncertainties and other important factors in any subsequent Company filings with the SEC. All information in this Current Report on Form 8-K is as of the date of the filing; the Company undertakes no duty to update this information unless required by law.</w:t>
      </w:r>
    </w:p>
    <w:p>
      <w:pPr>
        <w:pStyle w:val="TextBody"/>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64" w:before="0" w:after="0"/>
        <w:ind w:left="0" w:right="0" w:hanging="0"/>
        <w:jc w:val="both"/>
        <w:rPr>
          <w:rFonts w:ascii="Times New Roman;serif" w:hAnsi="Times New Roman;serif"/>
          <w:sz w:val="24"/>
        </w:rPr>
      </w:pPr>
      <w:r>
        <w:rPr>
          <w:rFonts w:ascii="Times New Roman" w:hAnsi="Times New Roman"/>
          <w:b/>
          <w:sz w:val="20"/>
        </w:rPr>
        <w:t>Item 9.01</w:t>
      </w:r>
      <w:r>
        <w:rPr>
          <w:rFonts w:ascii="Times New Roman;serif" w:hAnsi="Times New Roman;serif"/>
          <w:sz w:val="24"/>
        </w:rPr>
        <w:t>              </w:t>
      </w:r>
      <w:r>
        <w:rPr>
          <w:rFonts w:ascii="Times New Roman" w:hAnsi="Times New Roman"/>
          <w:b/>
          <w:sz w:val="20"/>
        </w:rPr>
        <w:t>Financial Statements and Exhibits</w:t>
      </w:r>
    </w:p>
    <w:p>
      <w:pPr>
        <w:pStyle w:val="TextBody"/>
        <w:bidi w:val="0"/>
        <w:spacing w:lineRule="auto" w:line="264"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160"/>
        <w:ind w:left="0" w:right="0" w:hanging="0"/>
        <w:jc w:val="left"/>
        <w:rPr>
          <w:rFonts w:ascii="times new roman;times" w:hAnsi="times new roman;times"/>
          <w:sz w:val="20"/>
        </w:rPr>
      </w:pPr>
      <w:r>
        <w:rPr>
          <w:rFonts w:ascii="Times New Roman" w:hAnsi="Times New Roman"/>
          <w:sz w:val="20"/>
        </w:rPr>
        <w:t>(d)</w:t>
      </w:r>
      <w:r>
        <w:rPr>
          <w:rFonts w:ascii="times new roman;times" w:hAnsi="times new roman;times"/>
          <w:sz w:val="20"/>
        </w:rPr>
        <w:t xml:space="preserve">  </w:t>
      </w:r>
      <w:r>
        <w:rPr>
          <w:rFonts w:ascii="Times New Roman" w:hAnsi="Times New Roman"/>
          <w:sz w:val="20"/>
        </w:rPr>
        <w:t>Exhibits</w:t>
      </w:r>
      <w:r>
        <w:rPr>
          <w:rFonts w:ascii="times new roman;times" w:hAnsi="times new roman;times"/>
          <w:sz w:val="20"/>
        </w:rPr>
        <w:t> </w:t>
      </w:r>
    </w:p>
    <w:tbl>
      <w:tblPr>
        <w:tblW w:w="5000" w:type="pct"/>
        <w:jc w:val="left"/>
        <w:tblInd w:w="0" w:type="dxa"/>
        <w:tblLayout w:type="fixed"/>
        <w:tblCellMar>
          <w:top w:w="0" w:type="dxa"/>
          <w:left w:w="0" w:type="dxa"/>
          <w:bottom w:w="28" w:type="dxa"/>
          <w:right w:w="0" w:type="dxa"/>
        </w:tblCellMar>
      </w:tblPr>
      <w:tblGrid>
        <w:gridCol w:w="1790"/>
        <w:gridCol w:w="76"/>
        <w:gridCol w:w="8339"/>
      </w:tblGrid>
      <w:tr>
        <w:trPr/>
        <w:tc>
          <w:tcPr>
            <w:tcW w:w="1790" w:type="dxa"/>
            <w:tcBorders>
              <w:bottom w:val="single" w:sz="6" w:space="0" w:color="000000"/>
            </w:tcBorders>
            <w:vAlign w:val="center"/>
          </w:tcPr>
          <w:p>
            <w:pPr>
              <w:pStyle w:val="TableContents"/>
              <w:bidi w:val="0"/>
              <w:spacing w:before="0" w:after="0"/>
              <w:ind w:left="0" w:right="0" w:hanging="0"/>
              <w:jc w:val="left"/>
              <w:rPr/>
            </w:pPr>
            <w:r>
              <w:rPr>
                <w:rFonts w:ascii="Times New Roman" w:hAnsi="Times New Roman"/>
                <w:b/>
                <w:sz w:val="20"/>
              </w:rPr>
              <w:t>Exhibit</w:t>
            </w:r>
            <w:r>
              <w:rPr/>
              <w:t> </w:t>
            </w:r>
            <w:r>
              <w:rPr>
                <w:rFonts w:ascii="Times New Roman" w:hAnsi="Times New Roman"/>
                <w:b/>
                <w:sz w:val="20"/>
              </w:rPr>
              <w:t>Number</w:t>
            </w:r>
          </w:p>
        </w:tc>
        <w:tc>
          <w:tcPr>
            <w:tcW w:w="76" w:type="dxa"/>
            <w:tcBorders/>
            <w:tcMar>
              <w:bottom w:w="0" w:type="dxa"/>
            </w:tcMar>
            <w:vAlign w:val="center"/>
          </w:tcPr>
          <w:p>
            <w:pPr>
              <w:pStyle w:val="TableContents"/>
              <w:bidi w:val="0"/>
              <w:spacing w:before="0" w:after="0"/>
              <w:ind w:left="0" w:right="0" w:hanging="0"/>
              <w:jc w:val="center"/>
              <w:rPr/>
            </w:pPr>
            <w:r>
              <w:rPr/>
              <w:t> </w:t>
            </w:r>
          </w:p>
        </w:tc>
        <w:tc>
          <w:tcPr>
            <w:tcW w:w="8339" w:type="dxa"/>
            <w:tcBorders>
              <w:bottom w:val="single" w:sz="6" w:space="0" w:color="000000"/>
            </w:tcBorders>
            <w:vAlign w:val="center"/>
          </w:tcPr>
          <w:p>
            <w:pPr>
              <w:pStyle w:val="TableContents"/>
              <w:bidi w:val="0"/>
              <w:spacing w:before="0" w:after="0"/>
              <w:ind w:left="0" w:right="0" w:hanging="0"/>
              <w:jc w:val="center"/>
              <w:rPr/>
            </w:pPr>
            <w:r>
              <w:rPr>
                <w:rFonts w:ascii="Times New Roman" w:hAnsi="Times New Roman"/>
                <w:b/>
                <w:sz w:val="20"/>
              </w:rPr>
              <w:t>Exhibit</w:t>
            </w:r>
            <w:r>
              <w:rPr/>
              <w:t> </w:t>
            </w:r>
            <w:r>
              <w:rPr>
                <w:rFonts w:ascii="Times New Roman" w:hAnsi="Times New Roman"/>
                <w:b/>
                <w:sz w:val="20"/>
              </w:rPr>
              <w:t>Title</w:t>
            </w:r>
          </w:p>
        </w:tc>
      </w:tr>
      <w:tr>
        <w:trPr/>
        <w:tc>
          <w:tcPr>
            <w:tcW w:w="179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76" w:type="dxa"/>
            <w:tcBorders/>
            <w:tcMar>
              <w:bottom w:w="0" w:type="dxa"/>
            </w:tcMar>
            <w:vAlign w:val="center"/>
          </w:tcPr>
          <w:p>
            <w:pPr>
              <w:pStyle w:val="TableContents"/>
              <w:bidi w:val="0"/>
              <w:spacing w:before="0" w:after="0"/>
              <w:ind w:left="0" w:right="0" w:hanging="0"/>
              <w:jc w:val="left"/>
              <w:rPr/>
            </w:pPr>
            <w:r>
              <w:rPr/>
              <w:t> </w:t>
            </w:r>
          </w:p>
        </w:tc>
        <w:tc>
          <w:tcPr>
            <w:tcW w:w="8339"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cover page from this Current Report on Form 8-K, formatted in Inline XBRL.</w:t>
            </w:r>
          </w:p>
        </w:tc>
      </w:tr>
    </w:tbl>
    <w:p>
      <w:pPr>
        <w:pStyle w:val="TextBody"/>
        <w:bidi w:val="0"/>
        <w:spacing w:lineRule="auto" w:line="288"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791"/>
        <w:gridCol w:w="874"/>
        <w:gridCol w:w="4540"/>
      </w:tblGrid>
      <w:tr>
        <w:trPr/>
        <w:tc>
          <w:tcPr>
            <w:tcW w:w="4791" w:type="dxa"/>
            <w:tcBorders/>
            <w:vAlign w:val="center"/>
          </w:tcPr>
          <w:p>
            <w:pPr>
              <w:pStyle w:val="TableContents"/>
              <w:bidi w:val="0"/>
              <w:spacing w:before="0" w:after="0"/>
              <w:ind w:left="0" w:right="0" w:hanging="0"/>
              <w:jc w:val="both"/>
              <w:rPr/>
            </w:pPr>
            <w:r>
              <w:rPr/>
              <w:t> </w:t>
            </w:r>
          </w:p>
        </w:tc>
        <w:tc>
          <w:tcPr>
            <w:tcW w:w="5414" w:type="dxa"/>
            <w:gridSpan w:val="2"/>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 xml:space="preserve">CLEARONE, INC. </w:t>
            </w:r>
          </w:p>
        </w:tc>
      </w:tr>
      <w:tr>
        <w:trPr/>
        <w:tc>
          <w:tcPr>
            <w:tcW w:w="4791" w:type="dxa"/>
            <w:tcBorders/>
            <w:vAlign w:val="center"/>
          </w:tcPr>
          <w:p>
            <w:pPr>
              <w:pStyle w:val="TableContents"/>
              <w:bidi w:val="0"/>
              <w:spacing w:before="0" w:after="0"/>
              <w:ind w:left="0" w:right="0" w:hanging="0"/>
              <w:jc w:val="both"/>
              <w:rPr/>
            </w:pPr>
            <w:r>
              <w:rPr/>
              <w:t> </w:t>
            </w:r>
          </w:p>
        </w:tc>
        <w:tc>
          <w:tcPr>
            <w:tcW w:w="874" w:type="dxa"/>
            <w:tcBorders/>
            <w:vAlign w:val="center"/>
          </w:tcPr>
          <w:p>
            <w:pPr>
              <w:pStyle w:val="TableContents"/>
              <w:bidi w:val="0"/>
              <w:spacing w:before="0" w:after="0"/>
              <w:ind w:left="0" w:right="0" w:hanging="0"/>
              <w:jc w:val="both"/>
              <w:rPr/>
            </w:pPr>
            <w:r>
              <w:rPr/>
              <w:t> </w:t>
            </w:r>
          </w:p>
        </w:tc>
        <w:tc>
          <w:tcPr>
            <w:tcW w:w="4540" w:type="dxa"/>
            <w:tcBorders/>
            <w:vAlign w:val="center"/>
          </w:tcPr>
          <w:p>
            <w:pPr>
              <w:pStyle w:val="TableContents"/>
              <w:bidi w:val="0"/>
              <w:spacing w:before="0" w:after="0"/>
              <w:ind w:left="0" w:right="0" w:hanging="0"/>
              <w:jc w:val="both"/>
              <w:rPr/>
            </w:pPr>
            <w:r>
              <w:rPr/>
              <w:t> </w:t>
            </w:r>
          </w:p>
        </w:tc>
      </w:tr>
      <w:tr>
        <w:trPr/>
        <w:tc>
          <w:tcPr>
            <w:tcW w:w="4791" w:type="dxa"/>
            <w:tcBorders/>
            <w:vAlign w:val="center"/>
          </w:tcPr>
          <w:p>
            <w:pPr>
              <w:pStyle w:val="TableContents"/>
              <w:bidi w:val="0"/>
              <w:spacing w:before="0" w:after="0"/>
              <w:ind w:left="0" w:right="0" w:hanging="0"/>
              <w:jc w:val="both"/>
              <w:rPr/>
            </w:pPr>
            <w:r>
              <w:rPr>
                <w:rFonts w:ascii="Times New Roman" w:hAnsi="Times New Roman"/>
                <w:sz w:val="20"/>
              </w:rPr>
              <w:t>Date:</w:t>
            </w:r>
            <w:r>
              <w:rPr/>
              <w:t xml:space="preserve">  </w:t>
            </w:r>
            <w:r>
              <w:rPr>
                <w:rFonts w:ascii="Times New Roman" w:hAnsi="Times New Roman"/>
                <w:sz w:val="20"/>
              </w:rPr>
              <w:t>October</w:t>
            </w:r>
            <w:r>
              <w:rPr>
                <w:rFonts w:ascii="Times New Roman" w:hAnsi="Times New Roman"/>
                <w:color w:val="000000"/>
                <w:sz w:val="20"/>
              </w:rPr>
              <w:t> </w:t>
            </w:r>
            <w:r>
              <w:rPr>
                <w:rFonts w:ascii="Times New Roman;serif" w:hAnsi="Times New Roman;serif"/>
                <w:color w:val="000000"/>
                <w:sz w:val="20"/>
              </w:rPr>
              <w:t>13</w:t>
            </w:r>
            <w:r>
              <w:rPr>
                <w:rFonts w:ascii="Times New Roman" w:hAnsi="Times New Roman"/>
                <w:sz w:val="20"/>
              </w:rPr>
              <w:t>, 2026</w:t>
            </w:r>
          </w:p>
        </w:tc>
        <w:tc>
          <w:tcPr>
            <w:tcW w:w="8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By: </w:t>
            </w:r>
          </w:p>
        </w:tc>
        <w:tc>
          <w:tcPr>
            <w:tcW w:w="4540" w:type="dxa"/>
            <w:tcBorders>
              <w:bottom w:val="single" w:sz="6" w:space="0" w:color="000000"/>
            </w:tcBorders>
            <w:tcMar>
              <w:bottom w:w="28"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 Simon Brewer</w:t>
            </w:r>
          </w:p>
        </w:tc>
      </w:tr>
      <w:tr>
        <w:trPr/>
        <w:tc>
          <w:tcPr>
            <w:tcW w:w="4791" w:type="dxa"/>
            <w:tcBorders/>
            <w:vAlign w:val="center"/>
          </w:tcPr>
          <w:p>
            <w:pPr>
              <w:pStyle w:val="TableContents"/>
              <w:bidi w:val="0"/>
              <w:spacing w:before="0" w:after="0"/>
              <w:ind w:left="0" w:right="0" w:hanging="0"/>
              <w:jc w:val="both"/>
              <w:rPr/>
            </w:pPr>
            <w:r>
              <w:rPr/>
              <w:t> </w:t>
            </w:r>
          </w:p>
        </w:tc>
        <w:tc>
          <w:tcPr>
            <w:tcW w:w="874" w:type="dxa"/>
            <w:tcBorders/>
            <w:vAlign w:val="center"/>
          </w:tcPr>
          <w:p>
            <w:pPr>
              <w:pStyle w:val="TableContents"/>
              <w:bidi w:val="0"/>
              <w:spacing w:before="0" w:after="0"/>
              <w:ind w:left="0" w:right="0" w:hanging="0"/>
              <w:jc w:val="both"/>
              <w:rPr/>
            </w:pPr>
            <w:r>
              <w:rPr/>
              <w:t> </w:t>
            </w:r>
          </w:p>
        </w:tc>
        <w:tc>
          <w:tcPr>
            <w:tcW w:w="454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Simon Brewer</w:t>
            </w:r>
          </w:p>
        </w:tc>
      </w:tr>
      <w:tr>
        <w:trPr/>
        <w:tc>
          <w:tcPr>
            <w:tcW w:w="4791" w:type="dxa"/>
            <w:tcBorders/>
            <w:vAlign w:val="center"/>
          </w:tcPr>
          <w:p>
            <w:pPr>
              <w:pStyle w:val="TableContents"/>
              <w:bidi w:val="0"/>
              <w:spacing w:before="0" w:after="0"/>
              <w:ind w:left="0" w:right="0" w:hanging="0"/>
              <w:jc w:val="both"/>
              <w:rPr/>
            </w:pPr>
            <w:r>
              <w:rPr/>
              <w:t> </w:t>
            </w:r>
          </w:p>
        </w:tc>
        <w:tc>
          <w:tcPr>
            <w:tcW w:w="874" w:type="dxa"/>
            <w:tcBorders/>
            <w:vAlign w:val="center"/>
          </w:tcPr>
          <w:p>
            <w:pPr>
              <w:pStyle w:val="TableContents"/>
              <w:bidi w:val="0"/>
              <w:spacing w:before="0" w:after="0"/>
              <w:ind w:left="0" w:right="0" w:hanging="0"/>
              <w:jc w:val="both"/>
              <w:rPr/>
            </w:pPr>
            <w:r>
              <w:rPr/>
              <w:t> </w:t>
            </w:r>
          </w:p>
        </w:tc>
        <w:tc>
          <w:tcPr>
            <w:tcW w:w="4540" w:type="dxa"/>
            <w:tcBorders/>
            <w:vAlign w:val="center"/>
          </w:tcPr>
          <w:p>
            <w:pPr>
              <w:pStyle w:val="TableContents"/>
              <w:bidi w:val="0"/>
              <w:spacing w:lineRule="atLeast" w:line="240" w:before="0" w:after="0"/>
              <w:ind w:left="30" w:right="0" w:hanging="0"/>
              <w:jc w:val="both"/>
              <w:rPr>
                <w:rFonts w:ascii="Times New Roman" w:hAnsi="Times New Roman"/>
                <w:sz w:val="20"/>
              </w:rPr>
            </w:pPr>
            <w:r>
              <w:rPr>
                <w:rFonts w:ascii="Times New Roman" w:hAnsi="Times New Roman"/>
                <w:sz w:val="20"/>
              </w:rPr>
              <w:t>Chief Financial Officer</w:t>
            </w:r>
          </w:p>
        </w:tc>
      </w:tr>
    </w:tbl>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1016</Words>
  <Characters>5634</Characters>
  <CharactersWithSpaces>6670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