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10-K</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4300" w:right="1660" w:hanging="4292"/>
        <w:spacing w:after="0" w:line="532" w:lineRule="auto"/>
        <w:tabs>
          <w:tab w:leader="none" w:pos="49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June 30, 2009</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For the transition period from ________ to ________</w:t>
      </w:r>
    </w:p>
    <w:p>
      <w:pPr>
        <w:spacing w:after="0" w:line="248"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52"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3400" w:type="dxa"/>
        <w:tblCellMar>
          <w:top w:w="0" w:type="dxa"/>
          <w:left w:w="0" w:type="dxa"/>
          <w:bottom w:w="0" w:type="dxa"/>
          <w:right w:w="0" w:type="dxa"/>
        </w:tblCellMar>
      </w:tblPr>
      <w:tr>
        <w:trPr>
          <w:trHeight w:val="220"/>
        </w:trPr>
        <w:tc>
          <w:tcPr>
            <w:tcW w:w="2780" w:type="dxa"/>
            <w:vAlign w:val="bottom"/>
          </w:tcPr>
          <w:p>
            <w:pPr>
              <w:jc w:val="center"/>
              <w:ind w:right="550"/>
              <w:spacing w:after="0"/>
              <w:rPr>
                <w:sz w:val="20"/>
                <w:szCs w:val="20"/>
                <w:color w:val="auto"/>
              </w:rPr>
            </w:pPr>
            <w:r>
              <w:rPr>
                <w:rFonts w:ascii="Arial" w:cs="Arial" w:eastAsia="Arial" w:hAnsi="Arial"/>
                <w:sz w:val="18"/>
                <w:szCs w:val="18"/>
                <w:b w:val="1"/>
                <w:bCs w:val="1"/>
                <w:color w:val="auto"/>
                <w:w w:val="94"/>
              </w:rPr>
              <w:t>Utah</w:t>
            </w:r>
          </w:p>
        </w:tc>
        <w:tc>
          <w:tcPr>
            <w:tcW w:w="194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87-0398877</w:t>
            </w:r>
          </w:p>
        </w:tc>
      </w:tr>
      <w:tr>
        <w:trPr>
          <w:trHeight w:val="216"/>
        </w:trPr>
        <w:tc>
          <w:tcPr>
            <w:tcW w:w="2780" w:type="dxa"/>
            <w:vAlign w:val="bottom"/>
          </w:tcPr>
          <w:p>
            <w:pPr>
              <w:jc w:val="center"/>
              <w:ind w:right="530"/>
              <w:spacing w:after="0"/>
              <w:rPr>
                <w:sz w:val="20"/>
                <w:szCs w:val="20"/>
                <w:color w:val="auto"/>
              </w:rPr>
            </w:pPr>
            <w:r>
              <w:rPr>
                <w:rFonts w:ascii="Arial" w:cs="Arial" w:eastAsia="Arial" w:hAnsi="Arial"/>
                <w:sz w:val="18"/>
                <w:szCs w:val="18"/>
                <w:color w:val="auto"/>
                <w:w w:val="92"/>
              </w:rPr>
              <w:t>(State or other jurisdiction of</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2"/>
              </w:rPr>
              <w:t>(I.R.S. Employer</w:t>
            </w:r>
          </w:p>
        </w:tc>
      </w:tr>
      <w:tr>
        <w:trPr>
          <w:trHeight w:val="230"/>
        </w:trPr>
        <w:tc>
          <w:tcPr>
            <w:tcW w:w="2780" w:type="dxa"/>
            <w:vAlign w:val="bottom"/>
          </w:tcPr>
          <w:p>
            <w:pPr>
              <w:jc w:val="center"/>
              <w:ind w:right="530"/>
              <w:spacing w:after="0"/>
              <w:rPr>
                <w:sz w:val="20"/>
                <w:szCs w:val="20"/>
                <w:color w:val="auto"/>
              </w:rPr>
            </w:pPr>
            <w:r>
              <w:rPr>
                <w:rFonts w:ascii="Arial" w:cs="Arial" w:eastAsia="Arial" w:hAnsi="Arial"/>
                <w:sz w:val="18"/>
                <w:szCs w:val="18"/>
                <w:color w:val="auto"/>
                <w:w w:val="92"/>
              </w:rPr>
              <w:t>incorporation or organization)</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tbl>
      <w:tblPr>
        <w:tblLayout w:type="fixed"/>
        <w:tblInd w:w="3020" w:type="dxa"/>
        <w:tblCellMar>
          <w:top w:w="0" w:type="dxa"/>
          <w:left w:w="0" w:type="dxa"/>
          <w:bottom w:w="0" w:type="dxa"/>
          <w:right w:w="0" w:type="dxa"/>
        </w:tblCellMar>
      </w:tblPr>
      <w:tr>
        <w:trPr>
          <w:trHeight w:val="216"/>
        </w:trPr>
        <w:tc>
          <w:tcPr>
            <w:tcW w:w="2720" w:type="dxa"/>
            <w:vAlign w:val="bottom"/>
          </w:tcPr>
          <w:p>
            <w:pPr>
              <w:jc w:val="center"/>
              <w:ind w:right="90"/>
              <w:spacing w:after="0"/>
              <w:rPr>
                <w:sz w:val="20"/>
                <w:szCs w:val="20"/>
                <w:color w:val="auto"/>
              </w:rPr>
            </w:pPr>
            <w:r>
              <w:rPr>
                <w:rFonts w:ascii="Arial" w:cs="Arial" w:eastAsia="Arial" w:hAnsi="Arial"/>
                <w:sz w:val="18"/>
                <w:szCs w:val="18"/>
                <w:color w:val="auto"/>
                <w:w w:val="88"/>
              </w:rPr>
              <w:t>Securities registered pursuant to</w:t>
            </w:r>
          </w:p>
        </w:tc>
        <w:tc>
          <w:tcPr>
            <w:tcW w:w="2620" w:type="dxa"/>
            <w:vAlign w:val="bottom"/>
          </w:tcPr>
          <w:p>
            <w:pPr>
              <w:jc w:val="center"/>
              <w:ind w:left="90"/>
              <w:spacing w:after="0"/>
              <w:rPr>
                <w:sz w:val="20"/>
                <w:szCs w:val="20"/>
                <w:color w:val="auto"/>
              </w:rPr>
            </w:pPr>
            <w:r>
              <w:rPr>
                <w:rFonts w:ascii="Arial" w:cs="Arial" w:eastAsia="Arial" w:hAnsi="Arial"/>
                <w:sz w:val="18"/>
                <w:szCs w:val="18"/>
                <w:color w:val="auto"/>
                <w:w w:val="89"/>
              </w:rPr>
              <w:t>Name of each exchange on which</w:t>
            </w:r>
          </w:p>
        </w:tc>
      </w:tr>
      <w:tr>
        <w:trPr>
          <w:trHeight w:val="216"/>
        </w:trPr>
        <w:tc>
          <w:tcPr>
            <w:tcW w:w="2720" w:type="dxa"/>
            <w:vAlign w:val="bottom"/>
          </w:tcPr>
          <w:p>
            <w:pPr>
              <w:jc w:val="center"/>
              <w:ind w:right="90"/>
              <w:spacing w:after="0"/>
              <w:rPr>
                <w:sz w:val="20"/>
                <w:szCs w:val="20"/>
                <w:color w:val="auto"/>
              </w:rPr>
            </w:pPr>
            <w:r>
              <w:rPr>
                <w:rFonts w:ascii="Arial" w:cs="Arial" w:eastAsia="Arial" w:hAnsi="Arial"/>
                <w:sz w:val="18"/>
                <w:szCs w:val="18"/>
                <w:color w:val="auto"/>
                <w:w w:val="92"/>
              </w:rPr>
              <w:t>Section 12(b) of the Act:</w:t>
            </w:r>
          </w:p>
        </w:tc>
        <w:tc>
          <w:tcPr>
            <w:tcW w:w="2620" w:type="dxa"/>
            <w:vAlign w:val="bottom"/>
          </w:tcPr>
          <w:p>
            <w:pPr>
              <w:jc w:val="center"/>
              <w:ind w:left="90"/>
              <w:spacing w:after="0"/>
              <w:rPr>
                <w:sz w:val="20"/>
                <w:szCs w:val="20"/>
                <w:color w:val="auto"/>
              </w:rPr>
            </w:pPr>
            <w:r>
              <w:rPr>
                <w:rFonts w:ascii="Arial" w:cs="Arial" w:eastAsia="Arial" w:hAnsi="Arial"/>
                <w:sz w:val="18"/>
                <w:szCs w:val="18"/>
                <w:color w:val="auto"/>
                <w:w w:val="89"/>
              </w:rPr>
              <w:t>registered</w:t>
            </w:r>
          </w:p>
        </w:tc>
      </w:tr>
      <w:tr>
        <w:trPr>
          <w:trHeight w:val="212"/>
        </w:trPr>
        <w:tc>
          <w:tcPr>
            <w:tcW w:w="2720" w:type="dxa"/>
            <w:vAlign w:val="bottom"/>
          </w:tcPr>
          <w:p>
            <w:pPr>
              <w:jc w:val="center"/>
              <w:ind w:right="90"/>
              <w:spacing w:after="0"/>
              <w:rPr>
                <w:sz w:val="20"/>
                <w:szCs w:val="20"/>
                <w:color w:val="auto"/>
              </w:rPr>
            </w:pPr>
            <w:r>
              <w:rPr>
                <w:rFonts w:ascii="Arial" w:cs="Arial" w:eastAsia="Arial" w:hAnsi="Arial"/>
                <w:sz w:val="18"/>
                <w:szCs w:val="18"/>
                <w:color w:val="auto"/>
                <w:w w:val="90"/>
              </w:rPr>
              <w:t>Title of each class</w:t>
            </w:r>
          </w:p>
        </w:tc>
        <w:tc>
          <w:tcPr>
            <w:tcW w:w="2620" w:type="dxa"/>
            <w:vAlign w:val="bottom"/>
          </w:tcPr>
          <w:p>
            <w:pPr>
              <w:spacing w:after="0"/>
              <w:rPr>
                <w:sz w:val="18"/>
                <w:szCs w:val="18"/>
                <w:color w:val="auto"/>
              </w:rPr>
            </w:pPr>
          </w:p>
        </w:tc>
      </w:tr>
      <w:tr>
        <w:trPr>
          <w:trHeight w:val="234"/>
        </w:trPr>
        <w:tc>
          <w:tcPr>
            <w:tcW w:w="27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Common Stock, $0.001 par value</w:t>
            </w:r>
          </w:p>
        </w:tc>
        <w:tc>
          <w:tcPr>
            <w:tcW w:w="2620" w:type="dxa"/>
            <w:vAlign w:val="bottom"/>
          </w:tcPr>
          <w:p>
            <w:pPr>
              <w:jc w:val="center"/>
              <w:ind w:left="90"/>
              <w:spacing w:after="0"/>
              <w:rPr>
                <w:sz w:val="20"/>
                <w:szCs w:val="20"/>
                <w:color w:val="auto"/>
              </w:rPr>
            </w:pPr>
            <w:r>
              <w:rPr>
                <w:rFonts w:ascii="Arial" w:cs="Arial" w:eastAsia="Arial" w:hAnsi="Arial"/>
                <w:sz w:val="18"/>
                <w:szCs w:val="18"/>
                <w:b w:val="1"/>
                <w:bCs w:val="1"/>
                <w:color w:val="auto"/>
                <w:w w:val="97"/>
              </w:rPr>
              <w:t>The NASDAQ Capital Market</w:t>
            </w:r>
          </w:p>
        </w:tc>
      </w:tr>
    </w:tbl>
    <w:p>
      <w:pPr>
        <w:spacing w:after="0" w:line="200" w:lineRule="exact"/>
        <w:rPr>
          <w:sz w:val="24"/>
          <w:szCs w:val="24"/>
          <w:color w:val="auto"/>
        </w:rPr>
      </w:pPr>
    </w:p>
    <w:p>
      <w:pPr>
        <w:spacing w:after="0" w:line="241"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24" w:lineRule="exact"/>
        <w:rPr>
          <w:sz w:val="24"/>
          <w:szCs w:val="24"/>
          <w:color w:val="auto"/>
        </w:rPr>
      </w:pPr>
    </w:p>
    <w:p>
      <w:pPr>
        <w:spacing w:after="0" w:line="207" w:lineRule="exact"/>
        <w:tabs>
          <w:tab w:leader="none" w:pos="866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7"/>
          <w:szCs w:val="17"/>
          <w:color w:val="auto"/>
        </w:rPr>
        <w:t>☐</w:t>
      </w:r>
      <w:r>
        <w:rPr>
          <w:rFonts w:ascii="Arial" w:cs="Arial" w:eastAsia="Arial" w:hAnsi="Arial"/>
          <w:sz w:val="17"/>
          <w:szCs w:val="17"/>
          <w:color w:val="auto"/>
        </w:rPr>
        <w:t>Yes xNo</w:t>
      </w:r>
    </w:p>
    <w:p>
      <w:pPr>
        <w:spacing w:after="0" w:line="252" w:lineRule="exact"/>
        <w:rPr>
          <w:sz w:val="24"/>
          <w:szCs w:val="24"/>
          <w:color w:val="auto"/>
        </w:rPr>
      </w:pPr>
    </w:p>
    <w:p>
      <w:pPr>
        <w:spacing w:after="0" w:line="207" w:lineRule="exact"/>
        <w:tabs>
          <w:tab w:leader="none" w:pos="880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r>
        <w:rPr>
          <w:sz w:val="20"/>
          <w:szCs w:val="20"/>
          <w:color w:val="auto"/>
        </w:rPr>
        <w:tab/>
      </w:r>
      <w:r>
        <w:rPr>
          <w:rFonts w:ascii="MS PGothic" w:cs="MS PGothic" w:eastAsia="MS PGothic" w:hAnsi="MS PGothic"/>
          <w:sz w:val="17"/>
          <w:szCs w:val="17"/>
          <w:color w:val="auto"/>
        </w:rPr>
        <w:t>☐</w:t>
      </w:r>
      <w:r>
        <w:rPr>
          <w:rFonts w:ascii="Arial" w:cs="Arial" w:eastAsia="Arial" w:hAnsi="Arial"/>
          <w:sz w:val="17"/>
          <w:szCs w:val="17"/>
          <w:color w:val="auto"/>
        </w:rPr>
        <w:t>Yes xNo</w:t>
      </w:r>
    </w:p>
    <w:p>
      <w:pPr>
        <w:spacing w:after="0" w:line="285"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732790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796" w:right="719" w:bottom="1440" w:gutter="0" w:footer="0" w:header="0"/>
        </w:sectPr>
      </w:pPr>
    </w:p>
    <w:bookmarkStart w:id="1" w:name="page2"/>
    <w:bookmarkEnd w:id="1"/>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Yes xNo</w:t>
      </w:r>
    </w:p>
    <w:p>
      <w:pPr>
        <w:spacing w:after="0" w:line="211" w:lineRule="exact"/>
        <w:rPr>
          <w:sz w:val="20"/>
          <w:szCs w:val="20"/>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21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“larger accelerated filer,” “accelerated filer” and “smaller reporting company” in Rule 12b-2 of the Exchange Act. (Check one):</w:t>
      </w:r>
    </w:p>
    <w:p>
      <w:pPr>
        <w:sectPr>
          <w:pgSz w:w="11900" w:h="16838" w:orient="portrait"/>
          <w:cols w:equalWidth="0" w:num="1">
            <w:col w:w="11400"/>
          </w:cols>
          <w:pgMar w:left="240" w:top="517" w:right="259" w:bottom="1440" w:gutter="0" w:footer="0" w:header="0"/>
        </w:sectPr>
      </w:pPr>
    </w:p>
    <w:p>
      <w:pPr>
        <w:spacing w:after="0" w:line="118" w:lineRule="exact"/>
        <w:rPr>
          <w:sz w:val="20"/>
          <w:szCs w:val="20"/>
          <w:color w:val="auto"/>
        </w:rPr>
      </w:pPr>
    </w:p>
    <w:p>
      <w:pPr>
        <w:ind w:left="1720"/>
        <w:spacing w:after="0" w:line="250"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43" w:lineRule="exact"/>
        <w:rPr>
          <w:sz w:val="20"/>
          <w:szCs w:val="20"/>
          <w:color w:val="auto"/>
        </w:rPr>
      </w:pPr>
    </w:p>
    <w:p>
      <w:pPr>
        <w:sectPr>
          <w:pgSz w:w="11900" w:h="16838" w:orient="portrait"/>
          <w:cols w:equalWidth="0" w:num="3">
            <w:col w:w="5460" w:space="240"/>
            <w:col w:w="2080" w:space="80"/>
            <w:col w:w="3540"/>
          </w:cols>
          <w:pgMar w:left="240" w:top="517" w:right="25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400"/>
          </w:cols>
          <w:pgMar w:left="240" w:top="517" w:right="25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0"/>
          <w:szCs w:val="20"/>
          <w:color w:val="auto"/>
        </w:rPr>
      </w:pPr>
    </w:p>
    <w:p>
      <w:pPr>
        <w:spacing w:after="0" w:line="207" w:lineRule="exact"/>
        <w:tabs>
          <w:tab w:leader="none" w:pos="10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xNo</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aggregate market value of the shares of voting common stock held by non-affiliates was approximately $19,605,000 at December 31, 2008, based on the $3.93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October 9, 2009 was 8,929,002.</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definitive proxy statement for the Annual Meeting of Shareholders to be held November 30, 2009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20" w:type="dxa"/>
            <w:vAlign w:val="bottom"/>
          </w:tcPr>
          <w:p>
            <w:pPr>
              <w:ind w:left="386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3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SPECIAL NOTE REGARDING FORWARD-LOOKING STATEMENTS</w:t>
            </w:r>
          </w:p>
        </w:tc>
        <w:tc>
          <w:tcPr>
            <w:tcW w:w="9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920" w:type="dxa"/>
            <w:vAlign w:val="bottom"/>
          </w:tcPr>
          <w:p>
            <w:pPr>
              <w:ind w:left="400"/>
              <w:spacing w:after="0" w:line="176" w:lineRule="exact"/>
              <w:rPr>
                <w:sz w:val="20"/>
                <w:szCs w:val="20"/>
                <w:color w:val="auto"/>
              </w:rPr>
            </w:pPr>
            <w:r>
              <w:rPr>
                <w:rFonts w:ascii="Arial" w:cs="Arial" w:eastAsia="Arial" w:hAnsi="Arial"/>
                <w:sz w:val="18"/>
                <w:szCs w:val="18"/>
                <w:color w:val="auto"/>
              </w:rPr>
              <w:t>BUSINESS</w:t>
            </w:r>
          </w:p>
        </w:tc>
        <w:tc>
          <w:tcPr>
            <w:tcW w:w="940" w:type="dxa"/>
            <w:vAlign w:val="bottom"/>
          </w:tcPr>
          <w:p>
            <w:pPr>
              <w:jc w:val="center"/>
              <w:ind w:left="1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ITEM 1A.</w:t>
              </w:r>
            </w:hyperlink>
          </w:p>
        </w:tc>
        <w:tc>
          <w:tcPr>
            <w:tcW w:w="800" w:type="dxa"/>
            <w:vAlign w:val="bottom"/>
            <w:tcBorders>
              <w:bottom w:val="single" w:sz="8" w:color="CCEEFF"/>
            </w:tcBorders>
            <w:gridSpan w:val="3"/>
            <w:shd w:val="clear" w:color="auto" w:fill="CCEEFF"/>
          </w:tcPr>
          <w:p>
            <w:pPr>
              <w:spacing w:after="0"/>
              <w:rPr>
                <w:sz w:val="17"/>
                <w:szCs w:val="17"/>
                <w:color w:val="auto"/>
              </w:rPr>
            </w:pPr>
          </w:p>
        </w:tc>
        <w:tc>
          <w:tcPr>
            <w:tcW w:w="892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rPr>
              <w:t>RISK FACTORS</w:t>
            </w:r>
          </w:p>
        </w:tc>
        <w:tc>
          <w:tcPr>
            <w:tcW w:w="9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1B.</w:t>
              </w:r>
            </w:hyperlink>
          </w:p>
        </w:tc>
        <w:tc>
          <w:tcPr>
            <w:tcW w:w="8920" w:type="dxa"/>
            <w:vAlign w:val="bottom"/>
          </w:tcPr>
          <w:p>
            <w:pPr>
              <w:ind w:left="400"/>
              <w:spacing w:after="0" w:line="176" w:lineRule="exact"/>
              <w:rPr>
                <w:sz w:val="20"/>
                <w:szCs w:val="20"/>
                <w:color w:val="auto"/>
              </w:rPr>
            </w:pPr>
            <w:r>
              <w:rPr>
                <w:rFonts w:ascii="Arial" w:cs="Arial" w:eastAsia="Arial" w:hAnsi="Arial"/>
                <w:sz w:val="18"/>
                <w:szCs w:val="18"/>
                <w:color w:val="auto"/>
              </w:rPr>
              <w:t>UNRESOLVED STAFF COMMENTS</w:t>
            </w:r>
          </w:p>
        </w:tc>
        <w:tc>
          <w:tcPr>
            <w:tcW w:w="94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89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PROPERTIES</w:t>
            </w:r>
          </w:p>
        </w:tc>
        <w:tc>
          <w:tcPr>
            <w:tcW w:w="94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8920" w:type="dxa"/>
            <w:vAlign w:val="bottom"/>
          </w:tcPr>
          <w:p>
            <w:pPr>
              <w:ind w:left="400"/>
              <w:spacing w:after="0" w:line="176" w:lineRule="exact"/>
              <w:rPr>
                <w:sz w:val="20"/>
                <w:szCs w:val="20"/>
                <w:color w:val="auto"/>
              </w:rPr>
            </w:pPr>
            <w:r>
              <w:rPr>
                <w:rFonts w:ascii="Arial" w:cs="Arial" w:eastAsia="Arial" w:hAnsi="Arial"/>
                <w:sz w:val="18"/>
                <w:szCs w:val="18"/>
                <w:color w:val="auto"/>
              </w:rPr>
              <w:t>LEGAL PROCEEDINGS</w:t>
            </w:r>
          </w:p>
        </w:tc>
        <w:tc>
          <w:tcPr>
            <w:tcW w:w="94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89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SUBMISSION OF MATTERS TO A VOTE OF SECURITY HOLDERS</w:t>
            </w:r>
          </w:p>
        </w:tc>
        <w:tc>
          <w:tcPr>
            <w:tcW w:w="94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8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5.</w:t>
              </w:r>
            </w:hyperlink>
          </w:p>
        </w:tc>
        <w:tc>
          <w:tcPr>
            <w:tcW w:w="8920" w:type="dxa"/>
            <w:vAlign w:val="bottom"/>
          </w:tcPr>
          <w:p>
            <w:pPr>
              <w:ind w:left="400"/>
              <w:spacing w:after="0" w:line="176" w:lineRule="exact"/>
              <w:rPr>
                <w:sz w:val="20"/>
                <w:szCs w:val="20"/>
                <w:color w:val="auto"/>
              </w:rPr>
            </w:pPr>
            <w:r>
              <w:rPr>
                <w:rFonts w:ascii="Arial" w:cs="Arial" w:eastAsia="Arial" w:hAnsi="Arial"/>
                <w:sz w:val="18"/>
                <w:szCs w:val="18"/>
                <w:color w:val="auto"/>
                <w:w w:val="99"/>
              </w:rPr>
              <w:t>MARKET FOR REGISTRANT’S COMMON EQUITY, RELATED STOCKHOLDER MATTERS AND ISSUER</w:t>
            </w:r>
          </w:p>
        </w:tc>
        <w:tc>
          <w:tcPr>
            <w:tcW w:w="94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PURCHASES OF EQUITY SECURITIES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6.</w:t>
              </w:r>
            </w:hyperlink>
          </w:p>
        </w:tc>
        <w:tc>
          <w:tcPr>
            <w:tcW w:w="89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SELECTED FINANCIAL DATA</w:t>
            </w:r>
          </w:p>
        </w:tc>
        <w:tc>
          <w:tcPr>
            <w:tcW w:w="94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7.</w:t>
              </w:r>
            </w:hyperlink>
          </w:p>
        </w:tc>
        <w:tc>
          <w:tcPr>
            <w:tcW w:w="8920" w:type="dxa"/>
            <w:vAlign w:val="bottom"/>
          </w:tcPr>
          <w:p>
            <w:pPr>
              <w:ind w:left="400"/>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w:t>
            </w:r>
          </w:p>
        </w:tc>
        <w:tc>
          <w:tcPr>
            <w:tcW w:w="94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ITEM 7A.</w:t>
              </w:r>
            </w:hyperlink>
          </w:p>
        </w:tc>
        <w:tc>
          <w:tcPr>
            <w:tcW w:w="800" w:type="dxa"/>
            <w:vAlign w:val="bottom"/>
            <w:tcBorders>
              <w:bottom w:val="single" w:sz="8" w:color="CCEEFF"/>
            </w:tcBorders>
            <w:gridSpan w:val="3"/>
            <w:shd w:val="clear" w:color="auto" w:fill="CCEEFF"/>
          </w:tcPr>
          <w:p>
            <w:pPr>
              <w:spacing w:after="0"/>
              <w:rPr>
                <w:sz w:val="17"/>
                <w:szCs w:val="17"/>
                <w:color w:val="auto"/>
              </w:rPr>
            </w:pPr>
          </w:p>
        </w:tc>
        <w:tc>
          <w:tcPr>
            <w:tcW w:w="892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94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8.</w:t>
              </w:r>
            </w:hyperlink>
          </w:p>
        </w:tc>
        <w:tc>
          <w:tcPr>
            <w:tcW w:w="8920" w:type="dxa"/>
            <w:vAlign w:val="bottom"/>
          </w:tcPr>
          <w:p>
            <w:pPr>
              <w:ind w:left="400"/>
              <w:spacing w:after="0" w:line="176" w:lineRule="exact"/>
              <w:rPr>
                <w:sz w:val="20"/>
                <w:szCs w:val="20"/>
                <w:color w:val="auto"/>
              </w:rPr>
            </w:pPr>
            <w:r>
              <w:rPr>
                <w:rFonts w:ascii="Arial" w:cs="Arial" w:eastAsia="Arial" w:hAnsi="Arial"/>
                <w:sz w:val="18"/>
                <w:szCs w:val="18"/>
                <w:color w:val="auto"/>
              </w:rPr>
              <w:t>FINANCIAL STATEMENTS AND SUPPLEMENTARY DATA</w:t>
            </w:r>
          </w:p>
        </w:tc>
        <w:tc>
          <w:tcPr>
            <w:tcW w:w="94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9.</w:t>
              </w:r>
            </w:hyperlink>
          </w:p>
        </w:tc>
        <w:tc>
          <w:tcPr>
            <w:tcW w:w="89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CHANGES IN AND DISAGREEMENTS WITH ACCOUNTANTS ON ACCOUNTING AND FINANCIAL</w:t>
            </w:r>
          </w:p>
        </w:tc>
        <w:tc>
          <w:tcPr>
            <w:tcW w:w="94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92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DISCLOSURE</w:t>
            </w:r>
          </w:p>
        </w:tc>
        <w:tc>
          <w:tcPr>
            <w:tcW w:w="9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9A(T).</w:t>
              </w:r>
            </w:hyperlink>
          </w:p>
        </w:tc>
        <w:tc>
          <w:tcPr>
            <w:tcW w:w="8920" w:type="dxa"/>
            <w:vAlign w:val="bottom"/>
          </w:tcPr>
          <w:p>
            <w:pPr>
              <w:ind w:left="400"/>
              <w:spacing w:after="0" w:line="176" w:lineRule="exact"/>
              <w:rPr>
                <w:sz w:val="20"/>
                <w:szCs w:val="20"/>
                <w:color w:val="auto"/>
              </w:rPr>
            </w:pPr>
            <w:r>
              <w:rPr>
                <w:rFonts w:ascii="Arial" w:cs="Arial" w:eastAsia="Arial" w:hAnsi="Arial"/>
                <w:sz w:val="18"/>
                <w:szCs w:val="18"/>
                <w:color w:val="auto"/>
              </w:rPr>
              <w:t>CONTROLS AND PROCEDURES</w:t>
            </w:r>
          </w:p>
        </w:tc>
        <w:tc>
          <w:tcPr>
            <w:tcW w:w="94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9B.</w:t>
              </w:r>
            </w:hyperlink>
          </w:p>
        </w:tc>
        <w:tc>
          <w:tcPr>
            <w:tcW w:w="89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OTHER INFORMATION</w:t>
            </w:r>
          </w:p>
        </w:tc>
        <w:tc>
          <w:tcPr>
            <w:tcW w:w="94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8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10.</w:t>
              </w:r>
            </w:hyperlink>
          </w:p>
        </w:tc>
        <w:tc>
          <w:tcPr>
            <w:tcW w:w="8920" w:type="dxa"/>
            <w:vAlign w:val="bottom"/>
          </w:tcPr>
          <w:p>
            <w:pPr>
              <w:ind w:left="400"/>
              <w:spacing w:after="0" w:line="176" w:lineRule="exact"/>
              <w:rPr>
                <w:sz w:val="20"/>
                <w:szCs w:val="20"/>
                <w:color w:val="auto"/>
              </w:rPr>
            </w:pPr>
            <w:r>
              <w:rPr>
                <w:rFonts w:ascii="Arial" w:cs="Arial" w:eastAsia="Arial" w:hAnsi="Arial"/>
                <w:sz w:val="18"/>
                <w:szCs w:val="18"/>
                <w:color w:val="auto"/>
              </w:rPr>
              <w:t>DIRECTORS , EXECUTIVE OFFICERS AND CORPORATE GOVERNANCE</w:t>
            </w:r>
          </w:p>
        </w:tc>
        <w:tc>
          <w:tcPr>
            <w:tcW w:w="94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ITEM 11.</w:t>
              </w:r>
            </w:hyperlink>
          </w:p>
        </w:tc>
        <w:tc>
          <w:tcPr>
            <w:tcW w:w="840" w:type="dxa"/>
            <w:vAlign w:val="bottom"/>
            <w:tcBorders>
              <w:bottom w:val="single" w:sz="8" w:color="CCEEFF"/>
            </w:tcBorders>
            <w:gridSpan w:val="5"/>
            <w:shd w:val="clear" w:color="auto" w:fill="CCEEFF"/>
          </w:tcPr>
          <w:p>
            <w:pPr>
              <w:spacing w:after="0"/>
              <w:rPr>
                <w:sz w:val="17"/>
                <w:szCs w:val="17"/>
                <w:color w:val="auto"/>
              </w:rPr>
            </w:pPr>
          </w:p>
        </w:tc>
        <w:tc>
          <w:tcPr>
            <w:tcW w:w="892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rPr>
              <w:t>EXECUTIVE COMPENSATION</w:t>
            </w:r>
          </w:p>
        </w:tc>
        <w:tc>
          <w:tcPr>
            <w:tcW w:w="94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12.</w:t>
              </w:r>
            </w:hyperlink>
          </w:p>
        </w:tc>
        <w:tc>
          <w:tcPr>
            <w:tcW w:w="8920" w:type="dxa"/>
            <w:vAlign w:val="bottom"/>
          </w:tcPr>
          <w:p>
            <w:pPr>
              <w:ind w:left="400"/>
              <w:spacing w:after="0" w:line="176" w:lineRule="exact"/>
              <w:rPr>
                <w:sz w:val="20"/>
                <w:szCs w:val="20"/>
                <w:color w:val="auto"/>
              </w:rPr>
            </w:pPr>
            <w:r>
              <w:rPr>
                <w:rFonts w:ascii="Arial" w:cs="Arial" w:eastAsia="Arial" w:hAnsi="Arial"/>
                <w:sz w:val="18"/>
                <w:szCs w:val="18"/>
                <w:color w:val="auto"/>
              </w:rPr>
              <w:t>SECURITY OWNERSHIP OF CERTAIN BENEFICIAL OWNERS AND MANAGEMENT AND RELATED</w:t>
            </w:r>
          </w:p>
        </w:tc>
        <w:tc>
          <w:tcPr>
            <w:tcW w:w="94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STOCKHOLDER MATTERS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ITEM 13.</w:t>
              </w:r>
            </w:hyperlink>
          </w:p>
        </w:tc>
        <w:tc>
          <w:tcPr>
            <w:tcW w:w="840" w:type="dxa"/>
            <w:vAlign w:val="bottom"/>
            <w:tcBorders>
              <w:bottom w:val="single" w:sz="8" w:color="CCEEFF"/>
            </w:tcBorders>
            <w:gridSpan w:val="5"/>
            <w:shd w:val="clear" w:color="auto" w:fill="CCEEFF"/>
          </w:tcPr>
          <w:p>
            <w:pPr>
              <w:spacing w:after="0"/>
              <w:rPr>
                <w:sz w:val="17"/>
                <w:szCs w:val="17"/>
                <w:color w:val="auto"/>
              </w:rPr>
            </w:pPr>
          </w:p>
        </w:tc>
        <w:tc>
          <w:tcPr>
            <w:tcW w:w="892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94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7"/>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14.</w:t>
              </w:r>
            </w:hyperlink>
          </w:p>
        </w:tc>
        <w:tc>
          <w:tcPr>
            <w:tcW w:w="8920" w:type="dxa"/>
            <w:vAlign w:val="bottom"/>
          </w:tcPr>
          <w:p>
            <w:pPr>
              <w:ind w:left="400"/>
              <w:spacing w:after="0" w:line="176" w:lineRule="exact"/>
              <w:rPr>
                <w:sz w:val="20"/>
                <w:szCs w:val="20"/>
                <w:color w:val="auto"/>
              </w:rPr>
            </w:pPr>
            <w:r>
              <w:rPr>
                <w:rFonts w:ascii="Arial" w:cs="Arial" w:eastAsia="Arial" w:hAnsi="Arial"/>
                <w:sz w:val="18"/>
                <w:szCs w:val="18"/>
                <w:color w:val="auto"/>
              </w:rPr>
              <w:t>PRINCIPAL ACCOUNTANT FEES AND SERVICES</w:t>
            </w:r>
          </w:p>
        </w:tc>
        <w:tc>
          <w:tcPr>
            <w:tcW w:w="94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7"/>
          </w:tcPr>
          <w:p>
            <w:pPr>
              <w:spacing w:after="0"/>
              <w:rPr>
                <w:sz w:val="20"/>
                <w:szCs w:val="20"/>
                <w:color w:val="auto"/>
              </w:rPr>
            </w:pPr>
            <w:r>
              <w:rPr>
                <w:rFonts w:ascii="Arial" w:cs="Arial" w:eastAsia="Arial" w:hAnsi="Arial"/>
                <w:sz w:val="18"/>
                <w:szCs w:val="18"/>
                <w:b w:val="1"/>
                <w:bCs w:val="1"/>
                <w:color w:val="auto"/>
              </w:rPr>
              <w:t>PART IV.</w:t>
            </w:r>
          </w:p>
        </w:tc>
        <w:tc>
          <w:tcPr>
            <w:tcW w:w="8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gridSpan w:val="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15.</w:t>
              </w:r>
            </w:hyperlink>
          </w:p>
        </w:tc>
        <w:tc>
          <w:tcPr>
            <w:tcW w:w="89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EXHIBITS AND FINANCIAL STATEMENT SCHEDULES</w:t>
            </w:r>
          </w:p>
        </w:tc>
        <w:tc>
          <w:tcPr>
            <w:tcW w:w="94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SIGNATURES</w:t>
              </w:r>
            </w:hyperlink>
          </w:p>
        </w:tc>
        <w:tc>
          <w:tcPr>
            <w:tcW w:w="892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“Business” included in Item 1 of Part I, “Management’s Discussion and Analysis of Financial Condition and Results of Operations” and “Qualitative and Quantitative Disclosures About Market Risk” included in Items 7 and 7A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Communications, Inc., a Utah corporation, and, unless the context otherwise requires or is otherwise expressly stated,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ClearOne is a communications solutions company that develops and sells audio conferencing systems and related products for audio, video and web conferencing systems and applications. We enjoy the number one position in the global professional audio conferencing market with more than 50% of the global market share. The reliability, flexibility and performance of our comprehensive solutions create a natural communications environment that saves organizations time and money by enabling more effective and efficient communication. We develop, manufacture, market, and service a comprehensive line of high-quality audio conferencing products under personal, tabletop, premium and professional (installed audio) categories. We also manufacture and sell media carts for audio and video conferencing. We have an established history of product innovation and plan to continue to apply our expertise in audio engineering to develop and introduce innovative new products and enhance our existing products. We believe the performance and reliability of our high-quality audio products create a natural communications environment, which saves organizations of all sizes time and money by enabling more effective and efficient communication.</w:t>
      </w:r>
    </w:p>
    <w:p>
      <w:pPr>
        <w:spacing w:after="0" w:line="2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We also sell products on a limited basis directly to dealers, systems integrators, value-added resellers, and end-users.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4" w:name="page5"/>
    <w:bookmarkEnd w:id="4"/>
    <w:p>
      <w:pPr>
        <w:jc w:val="both"/>
        <w:ind w:right="260"/>
        <w:spacing w:after="0" w:line="289" w:lineRule="auto"/>
        <w:rPr>
          <w:sz w:val="20"/>
          <w:szCs w:val="20"/>
          <w:color w:val="auto"/>
        </w:rPr>
      </w:pPr>
      <w:r>
        <w:rPr>
          <w:rFonts w:ascii="Arial" w:cs="Arial" w:eastAsia="Arial" w:hAnsi="Arial"/>
          <w:sz w:val="17"/>
          <w:szCs w:val="17"/>
          <w:color w:val="auto"/>
        </w:rPr>
        <w:t xml:space="preserve">ClearOne was formed as a Utah corporation in 1983 organized under the laws of the State of Utah. Our website address is </w:t>
      </w:r>
      <w:r>
        <w:rPr>
          <w:rFonts w:ascii="Arial" w:cs="Arial" w:eastAsia="Arial" w:hAnsi="Arial"/>
          <w:sz w:val="17"/>
          <w:szCs w:val="17"/>
          <w:b w:val="1"/>
          <w:bCs w:val="1"/>
          <w:u w:val="single" w:color="auto"/>
          <w:color w:val="auto"/>
        </w:rPr>
        <w:t>www.clearone.com</w:t>
      </w:r>
      <w:r>
        <w:rPr>
          <w:rFonts w:ascii="Arial" w:cs="Arial" w:eastAsia="Arial" w:hAnsi="Arial"/>
          <w:sz w:val="17"/>
          <w:szCs w:val="17"/>
          <w:color w:val="auto"/>
        </w:rPr>
        <w:t>. Our annual reports on Form 10-K, quarterly reports on Form 10-Q, current reports on Form 8-K, and amendments to such reports are available, free of charge, on our website as soon as reasonably practicable after we file electronically such material with, or furnish it to, the SEC.</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“Items 1A, Risk Factors”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currently participate in the following audio conferencing markets:</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3220" w:type="dxa"/>
            <w:vAlign w:val="bottom"/>
          </w:tcPr>
          <w:p>
            <w:pPr>
              <w:ind w:left="1280"/>
              <w:spacing w:after="0"/>
              <w:rPr>
                <w:sz w:val="20"/>
                <w:szCs w:val="20"/>
                <w:color w:val="auto"/>
              </w:rPr>
            </w:pPr>
            <w:r>
              <w:rPr>
                <w:rFonts w:ascii="Arial" w:cs="Arial" w:eastAsia="Arial" w:hAnsi="Arial"/>
                <w:sz w:val="18"/>
                <w:szCs w:val="18"/>
                <w:b w:val="1"/>
                <w:bCs w:val="1"/>
                <w:color w:val="auto"/>
              </w:rPr>
              <w:t>Market</w:t>
            </w:r>
          </w:p>
        </w:tc>
        <w:tc>
          <w:tcPr>
            <w:tcW w:w="24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Typical Number of</w:t>
            </w:r>
          </w:p>
        </w:tc>
      </w:tr>
      <w:tr>
        <w:trPr>
          <w:trHeight w:val="234"/>
        </w:trPr>
        <w:tc>
          <w:tcPr>
            <w:tcW w:w="11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4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Participants</w:t>
            </w:r>
          </w:p>
        </w:tc>
      </w:tr>
      <w:tr>
        <w:trPr>
          <w:trHeight w:val="202"/>
        </w:trPr>
        <w:tc>
          <w:tcPr>
            <w:tcW w:w="118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32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Professional Conferencing (Installed</w:t>
            </w:r>
          </w:p>
        </w:tc>
        <w:tc>
          <w:tcPr>
            <w:tcW w:w="244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2"/>
              </w:rPr>
              <w:t>20-200</w:t>
            </w:r>
          </w:p>
        </w:tc>
      </w:tr>
      <w:tr>
        <w:trPr>
          <w:trHeight w:val="230"/>
        </w:trPr>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Audio)</w:t>
            </w:r>
          </w:p>
        </w:tc>
        <w:tc>
          <w:tcPr>
            <w:tcW w:w="32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16"/>
        </w:trPr>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20" w:type="dxa"/>
            <w:vAlign w:val="bottom"/>
          </w:tcPr>
          <w:p>
            <w:pPr>
              <w:ind w:left="40"/>
              <w:spacing w:after="0"/>
              <w:rPr>
                <w:sz w:val="20"/>
                <w:szCs w:val="20"/>
                <w:color w:val="auto"/>
              </w:rPr>
            </w:pPr>
            <w:r>
              <w:rPr>
                <w:rFonts w:ascii="Arial" w:cs="Arial" w:eastAsia="Arial" w:hAnsi="Arial"/>
                <w:sz w:val="18"/>
                <w:szCs w:val="18"/>
                <w:color w:val="auto"/>
              </w:rPr>
              <w:t>Premium Conferencing</w:t>
            </w:r>
          </w:p>
        </w:tc>
        <w:tc>
          <w:tcPr>
            <w:tcW w:w="2440" w:type="dxa"/>
            <w:vAlign w:val="bottom"/>
          </w:tcPr>
          <w:p>
            <w:pPr>
              <w:jc w:val="center"/>
              <w:ind w:left="30"/>
              <w:spacing w:after="0"/>
              <w:rPr>
                <w:sz w:val="20"/>
                <w:szCs w:val="20"/>
                <w:color w:val="auto"/>
              </w:rPr>
            </w:pPr>
            <w:r>
              <w:rPr>
                <w:rFonts w:ascii="Arial" w:cs="Arial" w:eastAsia="Arial" w:hAnsi="Arial"/>
                <w:sz w:val="18"/>
                <w:szCs w:val="18"/>
                <w:color w:val="auto"/>
                <w:w w:val="88"/>
              </w:rPr>
              <w:t>8-30</w:t>
            </w: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Tabletop Conferencing</w:t>
            </w:r>
          </w:p>
        </w:tc>
        <w:tc>
          <w:tcPr>
            <w:tcW w:w="24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1-30</w:t>
            </w:r>
          </w:p>
        </w:tc>
      </w:tr>
      <w:tr>
        <w:trPr>
          <w:trHeight w:val="230"/>
        </w:trPr>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20" w:type="dxa"/>
            <w:vAlign w:val="bottom"/>
          </w:tcPr>
          <w:p>
            <w:pPr>
              <w:ind w:left="40"/>
              <w:spacing w:after="0"/>
              <w:rPr>
                <w:sz w:val="20"/>
                <w:szCs w:val="20"/>
                <w:color w:val="auto"/>
              </w:rPr>
            </w:pPr>
            <w:r>
              <w:rPr>
                <w:rFonts w:ascii="Arial" w:cs="Arial" w:eastAsia="Arial" w:hAnsi="Arial"/>
                <w:sz w:val="18"/>
                <w:szCs w:val="18"/>
                <w:color w:val="auto"/>
              </w:rPr>
              <w:t>Personal Conferencing</w:t>
            </w:r>
          </w:p>
        </w:tc>
        <w:tc>
          <w:tcPr>
            <w:tcW w:w="2440" w:type="dxa"/>
            <w:vAlign w:val="bottom"/>
          </w:tcPr>
          <w:p>
            <w:pPr>
              <w:jc w:val="center"/>
              <w:ind w:left="30"/>
              <w:spacing w:after="0"/>
              <w:rPr>
                <w:sz w:val="20"/>
                <w:szCs w:val="20"/>
                <w:color w:val="auto"/>
              </w:rPr>
            </w:pPr>
            <w:r>
              <w:rPr>
                <w:rFonts w:ascii="Arial" w:cs="Arial" w:eastAsia="Arial" w:hAnsi="Arial"/>
                <w:sz w:val="18"/>
                <w:szCs w:val="18"/>
                <w:color w:val="auto"/>
                <w:w w:val="88"/>
              </w:rPr>
              <w:t>1-15</w:t>
            </w:r>
          </w:p>
        </w:tc>
      </w:tr>
    </w:tbl>
    <w:p>
      <w:pPr>
        <w:spacing w:after="0" w:line="187"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Our goal is to maintain our market leadership in the professional conferencing category, continue building on our leadership in premium conferencing category (a category we created), and further penetrate the tabletop conferencing and personal conferencing markets. We will continue to improve our existing high-quality products and develop new products for stand alone audio conferencing applications or to integrate with leading video and web conferencing systems and applications. The principal components of our strategy to achieve this goal are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 a superior conferencing experience</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been developing audio technologies since 1981 and believe we have established a reputation for providing some of the highest quality group audio conferencing solutions in the industry. Our proprietary audio signal processing technologies, including Distributed Echo Cancellation®, have been the core of our professional conferencing products and are the foundation for our new product development in other conferencing categories. We plan to build upon our reputation of being a market leader and continue to provide the highest quality products and technologies to the customers, partners and markets we serve.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greater value to our customers and partners</w:t>
      </w:r>
    </w:p>
    <w:p>
      <w:pPr>
        <w:spacing w:after="0" w:line="25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provide our customers and partners with audio conferencing products that offer high value, we are focused on listening to our customers and partners and delivering products to meet their needs. By offering high quality products that are designed to solve conferencing ease-of-use issues and are easy to install, configure, and maintain, we believe we can provide greater value to our customers and partners and enhance business communications and decision making.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and extend ClearOne technology leadership and innovation</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continue to focus on developing cutting edge conferencing products and are committed to incorporating the latest technologies into our new and existing product lines. Key to this effort is adopting emerging technologies such as Voice over Internet Protocol (VoIP), wideband audio, wireless connectivity, and convergence of voice and data networks, exploring new application models for our premium and personal audio conferencing technologies, and developing products based on internationally accepted standards and protocols.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Expand and strengthen sales channels</w:t>
      </w:r>
    </w:p>
    <w:p>
      <w:pPr>
        <w:spacing w:after="0" w:line="25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continue to expand and strengthen domestic and international sales channels through the addition of key distributors and dealers that expand beyond our traditional audio-video channels that carry our professional conferencing products. We continue to direct significant sales efforts toward channel partners who are focused on the tabletop and personal conferencing markets. We also continue to strengthen our presence within the telephony reseller channel, which is best suited to sell our RAV™ premium conferencing systems, MAX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tabletop conference phones, and CHAT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personal conferencing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Broaden our product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offer the industry’s most complete audio conferencing product line, including the following:</w:t>
      </w:r>
    </w:p>
    <w:p>
      <w:pPr>
        <w:spacing w:after="0" w:line="252" w:lineRule="exact"/>
        <w:rPr>
          <w:sz w:val="20"/>
          <w:szCs w:val="20"/>
          <w:color w:val="auto"/>
        </w:rPr>
      </w:pPr>
    </w:p>
    <w:p>
      <w:pPr>
        <w:ind w:left="66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conferencing products that are used in executive boardrooms, courtrooms, hospitals, and auditoriums that integrate with leading video and telepresence systems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Premium conferencing products that integrate with leading video and web conferencing systems and applications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Tabletop conferencing phones used in conference rooms and offices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Personal conferencing products that enable hands-free audio communications in new ways such as through PCs, laptops, cell phones and handsets.</w:t>
      </w:r>
    </w:p>
    <w:p>
      <w:pPr>
        <w:spacing w:after="0" w:line="26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also provide a comprehensive portfolio of media carts that play a key role in providing equipment mobility and making conferencing equipment easy to access and use. We plan to continue to broaden and expand our product offerings to meet the evolving needs of our customers and partners, address changes in the markets we currently serve, and effectively target new markets for our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strategic partnerships</w:t>
      </w:r>
    </w:p>
    <w:p>
      <w:pPr>
        <w:spacing w:after="0" w:line="2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To stay on the leading edge of product and market developments, we plan to continue to identify partners with expertise in areas strategic to our growth objectives. We will work to develop partnerships with leaders in markets complimentary to conferencing who can benefit from our audio products and technologies and through whom we can access new market growth opportunities. We entered into partnerships with Avistar, Microsoft, Skype, Vidyo and others to offer personal conferencing products uniquely suited to their systems and applications.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Strengthen existing customer and partner relationships through dedicated support</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developed outstanding technical and sales support teams that are dedicated to providing customers and partners with the best available service and support. We believe our technical support is recognized as among the best in the industry and we will continue to invest in the necessary resources to ensure that our customers and partners have access to the information and support they need to be successful in using our products. We also dedicate significant resources to providing product training to our channel partners worldwide.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Overview</w:t>
      </w:r>
    </w:p>
    <w:p>
      <w:pPr>
        <w:spacing w:after="0" w:line="25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performance and reliability of our high-quality audio conferencing products enable effective and efficient communication between geographically separated businesses and organizations by connecting them to their employees, customers and partners. We offer a full range of audio conferencing products including, professional conferencing products used in executive boardrooms, courtrooms, hospitals, classrooms, and auditoriums, premium conferencing products that interface with video and web conferencing systems, tabletop conferencing phones used in conference rooms and offices, and personal conferencing products that can be used with laptops and other portable devices. For each of the last three fiscal years, our professional conferencing products and tabletop conference phones have together contributed in excess of 85 percent of our consolidated revenue. Our audio conferencing products feature our proprietary Distributed Echo Cancellation® and noise cancellation technologies to enhance communication during a conference call by eliminating echo and background noise. Most of our products also feature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believe the principal drivers of demand for audio conferencing products are the following:</w:t>
      </w:r>
    </w:p>
    <w:p>
      <w:pPr>
        <w:spacing w:after="0" w:line="252"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easy-to-use conferencing systems and applications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Voice quality of audio conferencing systems as compared to the quality of telephone handset speakerphones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global, regional, and local corporate enterprises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we expect to have a significant impact on the demand for audio conferencing systems include the following:</w:t>
      </w:r>
    </w:p>
    <w:p>
      <w:pPr>
        <w:spacing w:after="0" w:line="252"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affordable audio conferencing solutions for small businesses and home offices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of distance learning and corporate training programs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adoption of teleworking</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travel due to cost and carbon footprint considerations</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Transition to the Internet Protocol (IP) network from the traditional public switched telephone network (PSTN) and the deployment of VoIP applications</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expect these growth factors to be offset by direct competition from high-end telephone handset speakerphones, new and existing competitors in the audio conferencing market, the technological volatility of IP-based products, and continued pressures on enterprises to reduce spending.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Professional Audio Conferencing Products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enjoy the number one position in the global professional audio conferencing market with more than 50% of the global market share. We have been developing high-end, professional conferencing products since 1991 and believe we have established strong brand recognition for these products worldwide. Our professional conferencing products include the Converge® Pro, XAP® and Converge 560/590 product lines. The Converge SR 1212 product features similar technologies and is used for sound reinforcement applications.</w:t>
      </w:r>
    </w:p>
    <w:p>
      <w:pPr>
        <w:spacing w:after="0" w:line="21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Converge Pro product line, which replaced the popular XAP® series of audio conferencing systems, leads our professionally installed audio products line of product offerings. The Converge Pro series delivers a significant feature set and performance improvements including unprecedented proprietary acoustical echo cancellation, noise cancellation, full duplex performance, enhanced management capabilities, and simplified configuration utilities. We continue to expand the Converge Pro product line with the addition of the Converge 880T and 880TA products which consolidates the functionality of an audio amplifier and telephone interface into a single product. These products offer easier installation and increased features to our customers and partners. The Converge SR 1212 is a digital matrix mixer that provides advanced audio processing, microphone mixing, and routing for sound reinforcement. This product line was also expanded with the addition of the Converge SR 1212A which integrates a 4 channel audio amplifier, our proprietary DARE® feedback eliminator and industry leading expandability with the features of the Converge SR1212 into a single product. These products are comprehensive audio processing systems designed to excel in the most demanding acoustical environments and routing configurations. These products are also used for integrating high-quality audio with video and web conferencing systems.</w:t>
      </w:r>
    </w:p>
    <w:p>
      <w:pPr>
        <w:spacing w:after="0" w:line="2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response to our customers’ and partners’ need for professional audio solutions that would fit the budgetary requirements for mid-sized conference rooms, the Converge 560 and Converge 590 professional conferencing products were designed. These products are positioned between our professional and premium conferencing product lines both in terms of functionality and price, and are an excellent fit for rooms requiring customized microphone (up to nine microphones) and speaker configurations along with connectivity to leading video and web conferencing systems and applications.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June 2008, we announced the introduction of two models of Converge Amplifiers, PA2250 and PA4160. However, for operational and strategic reasons, the products were discontinued.</w:t>
      </w:r>
    </w:p>
    <w:p>
      <w:pPr>
        <w:spacing w:after="0" w:line="19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also offer a Tabletop Controller for the Converge Pro and XAP product lines. This affordable solution gives users the ability to easily start and navigate an audio conference without the need for touch panel control systems, which can be expensive, complex, or intimidating to users. The dial pad on the controller resembles a telephone keypad for instant familiarity and users can dial a conference call as easily as dialing a telephone. The Tabletop Controller can be significantly less expensive than touch-screen panel control systems, which require considerable integration and programming time and costs.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right="160"/>
        <w:spacing w:after="0" w:line="286" w:lineRule="auto"/>
        <w:rPr>
          <w:sz w:val="20"/>
          <w:szCs w:val="20"/>
          <w:color w:val="auto"/>
        </w:rPr>
      </w:pPr>
      <w:r>
        <w:rPr>
          <w:rFonts w:ascii="Arial" w:cs="Arial" w:eastAsia="Arial" w:hAnsi="Arial"/>
          <w:sz w:val="17"/>
          <w:szCs w:val="17"/>
          <w:color w:val="auto"/>
        </w:rPr>
        <w:t>Frost and Sullivan, a leading global research and consulting group, awarded us their Product Line Strategy Award for both 2007 and 2006. This award is presented each year to a company that has demonstrated the most insight into customer needs and product demands within their industry, and has optimized its product line by leveraging products with the various price, performance, and feature points required by the market.</w:t>
      </w:r>
    </w:p>
    <w:p>
      <w:pPr>
        <w:spacing w:after="0" w:line="193" w:lineRule="exact"/>
        <w:rPr>
          <w:sz w:val="20"/>
          <w:szCs w:val="20"/>
          <w:color w:val="auto"/>
        </w:rPr>
      </w:pPr>
    </w:p>
    <w:p>
      <w:pPr>
        <w:ind w:right="520"/>
        <w:spacing w:after="0" w:line="297" w:lineRule="auto"/>
        <w:rPr>
          <w:sz w:val="20"/>
          <w:szCs w:val="20"/>
          <w:color w:val="auto"/>
        </w:rPr>
      </w:pPr>
      <w:r>
        <w:rPr>
          <w:rFonts w:ascii="Arial" w:cs="Arial" w:eastAsia="Arial" w:hAnsi="Arial"/>
          <w:sz w:val="16"/>
          <w:szCs w:val="16"/>
          <w:color w:val="auto"/>
        </w:rPr>
        <w:t>In November 2008, Frost and Sullivan awarded us their 2008 Global Market Leadership Award. This award is given to the company that has exhibited excellence in all areas of the market leadership process, including the identification of market challenges, drivers and restraints, as well as strategy development and methods of addressing changing market dynamics. Frost &amp; Sullivan noted that ClearOne not only has the largest market share in the installed audio segment, but has also put into practice growth and implementation strategies to a degree well above most of their competitors. We were recognized for our ability to expand our market share, integrate new technologies into our portfolio of products, and maintain market-leading pricing.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Premium Conferencing Products</w:t>
      </w:r>
    </w:p>
    <w:p>
      <w:pPr>
        <w:spacing w:after="0" w:line="256"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RAV audio conferencing product is a complete, out-of-the-box system that includes an audio mixer, Bose® loudspeakers, microphones, and a control device that can be either wired or wireless. The RAV product uniquely combines the sound quality of a professionally installed audio system with the simplicity of a conference phone and can be easily connected to rich-media devices, such as video or web conferencing systems, to deliver enhanced audio performance.</w:t>
      </w:r>
    </w:p>
    <w:p>
      <w:pPr>
        <w:ind w:right="200"/>
        <w:spacing w:after="0" w:line="277" w:lineRule="auto"/>
        <w:rPr>
          <w:sz w:val="20"/>
          <w:szCs w:val="20"/>
          <w:color w:val="auto"/>
        </w:rPr>
      </w:pPr>
      <w:r>
        <w:rPr>
          <w:rFonts w:ascii="Arial" w:cs="Arial" w:eastAsia="Arial" w:hAnsi="Arial"/>
          <w:sz w:val="17"/>
          <w:szCs w:val="17"/>
          <w:color w:val="auto"/>
        </w:rPr>
        <w:t>RAV is strategically positioned between our professional and tabletop conferencing products in price and functionality, and fills an important audio conferencing solution requiring integration of quality audio with leading video and web conferencing systems and applications. RAV offers many powerful audio processing technologies from our professional conferencing products without the need for professional installation and programming.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Tabletop Conferencing Phones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MAX line of tabletop conferencing phones utilizes many of the high-end echo cancellation, noise cancellation, and audio processing technologies found in our professional audio conferencing products.</w:t>
      </w:r>
    </w:p>
    <w:p>
      <w:pPr>
        <w:spacing w:after="0" w:line="19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MAX product line is comprised of the following product families: the MAX® EX and MAXAttach™; MAX Wireless and MAXAttach Wireless; and MAX IP™ and MAXAttach IP™ tabletop conferencing phones. MAX Wireless was the industry’s first wireless conferencing phone. Designed for use in executive offices or small conference rooms with multiple participants, MAX Wireless can be moved from room to room within 150 feet of its base station.</w:t>
      </w:r>
    </w:p>
    <w:p>
      <w:pPr>
        <w:ind w:right="540"/>
        <w:spacing w:after="0" w:line="261" w:lineRule="auto"/>
        <w:rPr>
          <w:sz w:val="20"/>
          <w:szCs w:val="20"/>
          <w:color w:val="auto"/>
        </w:rPr>
      </w:pPr>
      <w:r>
        <w:rPr>
          <w:rFonts w:ascii="Arial" w:cs="Arial" w:eastAsia="Arial" w:hAnsi="Arial"/>
          <w:sz w:val="18"/>
          <w:szCs w:val="18"/>
          <w:color w:val="auto"/>
        </w:rPr>
        <w:t>MAXAttach Wireless was the industry’s first and remains the only dual-phone, completely wireless solution. This system gives customers tremendous flexibility in covering larger conference room areas.</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MAX EX and MAXAttach wired phones feature an industry-first unique capability – instead of just adding extension microphones for use in larger rooms, the conference phones can be daisy chained together, up to a total of four phones. This provides even distribution of microphones, loudspeakers, and controls for better sound quality and improved user access in medium to large conference rooms. In addition, all MAXAttach wired versions can be used separately when they are not daisy-chained together.</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MAX IP and MAXAttach IP are VoIP tabletop conference phones which are based on the industry-standard SIP signaling protocol. These phones can also be daisy-chained together, up to a total of four phones providing outstanding room and control coverage that other VoIP conference phones on the market cannot match.</w:t>
      </w:r>
    </w:p>
    <w:p>
      <w:pPr>
        <w:spacing w:after="0" w:line="20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latest addition to the MAX family is MAX IP Response Point. Response Point is an innovative new phone system from Microsoft® that utilizes voice recognition technology to create an easy to use experience for small business users. MAX IP Response Point is the first and only conference phone for the response point phone system, bringing high performance audio to small business. MAX IP Response Point contains HDConference™, our suite of high-performance audio processing technologies and provides the ability to daisy-chain up to four phones together. In January 2009, Internet Telephony magazine recognized MAX IP Response Point as a recipient of its 2008 Product of the Year Award.</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Personal Conferencing Products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CHAT™ line of conferencing speaker phones delivers our trademark crystal-clear full-duplex audio performance, and can be used in a variety of applications with a wide number of devices including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PCs &amp; Macs</w:t>
            </w:r>
          </w:p>
        </w:tc>
        <w:tc>
          <w:tcPr>
            <w:tcW w:w="91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VoIP telephony applications such as Skype; Popular audio instant messaging (IM) applications like Yahoo, MSN, Google,</w:t>
            </w:r>
          </w:p>
        </w:tc>
      </w:tr>
      <w:tr>
        <w:trPr>
          <w:trHeight w:val="230"/>
        </w:trPr>
        <w:tc>
          <w:tcPr>
            <w:tcW w:w="2280" w:type="dxa"/>
            <w:vAlign w:val="bottom"/>
            <w:shd w:val="clear" w:color="auto" w:fill="CCEEFF"/>
          </w:tcPr>
          <w:p>
            <w:pPr>
              <w:spacing w:after="0"/>
              <w:rPr>
                <w:sz w:val="20"/>
                <w:szCs w:val="20"/>
                <w:color w:val="auto"/>
              </w:rPr>
            </w:pPr>
          </w:p>
        </w:tc>
        <w:tc>
          <w:tcPr>
            <w:tcW w:w="9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etc.; enterprise softphones; audio for web-based videoconferencing applications; gaming; music playback</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Cell phones</w:t>
            </w:r>
          </w:p>
        </w:tc>
        <w:tc>
          <w:tcPr>
            <w:tcW w:w="9140" w:type="dxa"/>
            <w:vAlign w:val="bottom"/>
          </w:tcPr>
          <w:p>
            <w:pPr>
              <w:ind w:left="260"/>
              <w:spacing w:after="0"/>
              <w:rPr>
                <w:sz w:val="20"/>
                <w:szCs w:val="20"/>
                <w:color w:val="auto"/>
              </w:rPr>
            </w:pPr>
            <w:r>
              <w:rPr>
                <w:rFonts w:ascii="Arial" w:cs="Arial" w:eastAsia="Arial" w:hAnsi="Arial"/>
                <w:sz w:val="18"/>
                <w:szCs w:val="18"/>
                <w:color w:val="auto"/>
              </w:rPr>
              <w:t>Connects to the 2.5mm headset jack of many cell phones for hands-free, full-duplex audio conferencing</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Telephones</w:t>
            </w:r>
          </w:p>
        </w:tc>
        <w:tc>
          <w:tcPr>
            <w:tcW w:w="9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Connects to the headset jack (certain phone models) for hands-free, full-duplex audio conferencing</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iPods &amp; MP3 players</w:t>
            </w:r>
          </w:p>
        </w:tc>
        <w:tc>
          <w:tcPr>
            <w:tcW w:w="9140" w:type="dxa"/>
            <w:vAlign w:val="bottom"/>
          </w:tcPr>
          <w:p>
            <w:pPr>
              <w:ind w:left="260"/>
              <w:spacing w:after="0"/>
              <w:rPr>
                <w:sz w:val="20"/>
                <w:szCs w:val="20"/>
                <w:color w:val="auto"/>
              </w:rPr>
            </w:pPr>
            <w:r>
              <w:rPr>
                <w:rFonts w:ascii="Arial" w:cs="Arial" w:eastAsia="Arial" w:hAnsi="Arial"/>
                <w:sz w:val="18"/>
                <w:szCs w:val="18"/>
                <w:color w:val="auto"/>
              </w:rPr>
              <w:t>For full-bandwidth audio playback</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Desktop video conferencing</w:t>
            </w:r>
          </w:p>
        </w:tc>
        <w:tc>
          <w:tcPr>
            <w:tcW w:w="91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For hands-free, full-duplex audio conferencing</w:t>
            </w:r>
          </w:p>
        </w:tc>
      </w:tr>
      <w:tr>
        <w:trPr>
          <w:trHeight w:val="23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91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CHAT 50 attracted significant media coverage and has won many recognitions since its introduction including, PC Magazine’s Editors’ Choice Award in March 2006 and Portable Computer Magazine’s Best for Business Products Award for 2007.</w:t>
      </w:r>
    </w:p>
    <w:p>
      <w:pPr>
        <w:spacing w:after="0" w:line="19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CHAT 150 offers many of the same connectivity options as CHAT 50, but features three microphones in a larger form factor for use by a larger number of participants compared to CHAT 50. Customers have the ability to add a high-quality, full-duplex speaker phone to their handsets, and still retain the full functionality that comes with today’s handsets, including access to company directory, voicemail access, audio bridge functions, etc. CHAT 150 makes it possible to introduce quality conferencing capability without the need for extending an additional analog PBX line.</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2009 CHAT 170 and CHAT 70 was introduced to fill the needs for a hands-free speakerphone for individuals using Microsoft's unified communications platform, Office Communications Server 2007. CHAT 70 is similar to CHAT 50 with single microphone, while CHAT 170 has three microphones like CHAT 150. CHAT 70 and CHAT 170 utilizes technologies shared by CHAT 50 and CHAT 150 including HDConference and full duplex audio technologies. CHAT 70 and CHAT 170 are the perfect audio peripherals for greatly enhanced collaboration through unified communication. True to their plug-and-play capability, CHAT 70 and CHAT 170 require no drivers to be installed and plugs into a USB port - enabling all incoming Office Communicator calls to ring on the CHAT 70 or CHAT 170. In the short period since its introduction, CHAT 170 has already gained industry-wide recognition and media awards.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CHAT 60 and CHAT 160 were introduced after June 30, 2009 to support Skype users.</w:t>
      </w:r>
    </w:p>
    <w:p>
      <w:pPr>
        <w:spacing w:after="0" w:line="2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Our personal conferencing products have become popular with large enterprises and organizations. We entered into partnerships with Avistar, Microsoft, Skype, Vidyo and others to offer personal conferencing products uniquely suited to their systems and applications for their enterprise users and consumers.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Products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complement our audio conferencing products with microphones, media carts for audio and video conferencing. Our wide selection of wood, metal, and laminate media carts features audiovisual carts; plasma screen carts and video conferencing carts.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expanded our Titan media carts line with the Titan Articulating Arm Dual Plasma Cart in June 2009. This innovative product features an articulating plasma mounting system that folds the monitor support arms for angle viewing, transportation and storage. Once folded the cart will fit into standard elevators or through standard doorways while accommodating most Plasma or LCD displays up to 50”.</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right="140"/>
        <w:spacing w:after="0" w:line="302" w:lineRule="auto"/>
        <w:rPr>
          <w:sz w:val="20"/>
          <w:szCs w:val="20"/>
          <w:color w:val="auto"/>
        </w:rPr>
      </w:pPr>
      <w:r>
        <w:rPr>
          <w:rFonts w:ascii="Arial" w:cs="Arial" w:eastAsia="Arial" w:hAnsi="Arial"/>
          <w:sz w:val="16"/>
          <w:szCs w:val="16"/>
          <w:color w:val="auto"/>
        </w:rPr>
        <w:t>The latest addition to the media cart product line is the The ClearPresence Dual Media Cart. It accommodates two 42" to 50" flat screen monitors for video and audio conferencing systems. The ClearPresence media cart is designed for strength and reliability and constructed of steel with a high gloss black finish and stainless steel accents. Included are two universal mounts for flat screen monitors and an adjustable mount for a high definition videoconferencing camera. The ClearPresence Dual Media Cart is ideal for corporate meeting rooms, courtrooms, training rooms, and video conferencing rooms.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primarily use a two-tier channel model, through which we sell our products directly to a worldwide network of independent audiovisual, information technology, and telecommunications distributors, who then sell our products to independent systems integrators, dealers, and value-added resellers, who in turn work directly with the end-users of our products for product fulfillment and installation. We also sell our products on a limited basis directly to certain dealers, systems integrators, value-added resellers, and end-users.</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fiscal 2009, approximately $24.2 million, or 68 percent, of our total product sales were generated in the United States and product sales of approximately $11.5 million, or 32 percent, were generated outside the United States. Revenue from product sales to customers outside of the United States accounted for approximately 30 percent of our total product sales from continuing operations for fiscal 2008. We sell our products in more than 70 countries worldwide. We anticipate that the portion of our total product revenue from international sales will continue to increase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sell our products directly to approximately 100 distributors throughout the world. Distributors purchase our products at a discount from list price and resell them on a non-exclusive basis to independent systems integrators, dealers, and value-added resellers. Our distributors maintain their own inventory and accounts receivable and are required to provide technical and non-technical support for our products to the next level of distribution participants. We work with our distributors to establish appropriate inventory stocking levels. We also work with our distributors to maintain relationships with our existing systems integrators, dealers, and value-added resellers.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Integrators, Dealers, and Resellers</w:t>
      </w:r>
    </w:p>
    <w:p>
      <w:pPr>
        <w:spacing w:after="0" w:line="25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distributors sell our products worldwide to approximately 1,000 independent system integrators, telephony value-added resellers, IT value-added resellers, and PC dealers on a non-exclusive basis. While dealers, resellers, and system integrators all sell our products directly to the end-users, system integrators typically add significant value to each sale by combining our products with products from other manufacturers as part of an integrated system solution. Dealers and value-added resellers usually purchase our products from distributors and may bundle our products with products from other manufacturers for resale to the end-user. We maintain close working relationships with our reseller partners and offer them education and training on all of our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5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addition to advertising our products in popular publications serving the conferencing industry, we also conduct public relations initiatives to get press coverage and product reviews in industry and non-industry publications alike.</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do not believe that any end-user accounted for more than 10 percent of our total revenue during fiscal 2009 or 2008. In fiscal 2009, revenues included sales to three distributors that represented approximately 58 percent of total revenue. Each of these three distributors, NewComm Distributing, Starin Marketing and VSO Marketing, accounted for more than 10 percent of consolidated revenue. As discussed above, these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As of June 30, 2009, our shipped orders on which we had not recognized revenue were $4.7 million and our backlog of unshipped orders was $381,000.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conferencing products market is characterized by intense competition and rapidly evolving technology.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21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competitors vary within each product category. We believe we are able to differentiate ourselves and therefore successfully compete as a result of the high audio quality of our products resulting from our proprietary audio signal processing technologies, technical and channel support services, and the strength of our brand.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factors driving sales are the following:</w:t>
      </w:r>
    </w:p>
    <w:p>
      <w:pPr>
        <w:spacing w:after="0" w:line="252" w:lineRule="exact"/>
        <w:rPr>
          <w:sz w:val="20"/>
          <w:szCs w:val="20"/>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and functionality of the products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 and deep channel partnerships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Established history of successful world-wide installations for diverse vertical markets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Brand name recognition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of customer and partner support,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sales and marketing communication</w:t>
      </w:r>
    </w:p>
    <w:p>
      <w:pPr>
        <w:spacing w:after="0" w:line="25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the professional audio conferencing systems and sound reinforcement markets, our main competitors include Biamp Systems, Harman International, Lectrosonics, Peavey, Polycom, and Shure and their OEM partners, with several other companies potentially poised to enter the market. We have been enjoying the number one position in the global professional audio conferencing market with more than 50% of the global market share. We uniquely contributed to the professional conferencing market with the introduction of the Audio Perfect (“AP”) product line a number of years ago, followed by the XAP and recently with the introduction of Converge Pro. We believe we continue to enjoy a strong reputation with the system integrators and audio visual consultants.</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we created a new audio conferencing category with the introduction of the RAV platform, which we call premium conferencing. RAV is a unique product with capabilities we do not believe can be found on any other competing system.</w:t>
      </w:r>
    </w:p>
    <w:p>
      <w:pPr>
        <w:spacing w:after="0" w:line="19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the tabletop conferencing market, our primary competitors are Aethra, Konftel, LifeSize, Panasonic and Polycom and their OEM partners. We believe MAX products are competitive due to strategic pricing, unique ability to attach or daisy chain multiple phones together and proprietary digital signal processing technologies, which we believe are the most advanced in the industry.</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1" w:name="page12"/>
    <w:bookmarkEnd w:id="11"/>
    <w:p>
      <w:pPr>
        <w:jc w:val="both"/>
        <w:ind w:right="280"/>
        <w:spacing w:after="0" w:line="264" w:lineRule="auto"/>
        <w:rPr>
          <w:sz w:val="20"/>
          <w:szCs w:val="20"/>
          <w:color w:val="auto"/>
        </w:rPr>
      </w:pPr>
      <w:r>
        <w:rPr>
          <w:rFonts w:ascii="Arial" w:cs="Arial" w:eastAsia="Arial" w:hAnsi="Arial"/>
          <w:sz w:val="18"/>
          <w:szCs w:val="18"/>
          <w:color w:val="auto"/>
        </w:rPr>
        <w:t>The personal conferencing market has seen a number of new entrants. Our primary competitors in the personal conferencing market are Actiontec, Iogear, mVox, Phoenix Audio and Polycom and their OEM partners. We believe that our CHAT family of products offer unique advantages in their superior audio performance and their abilities to connect to multiple devices for variety of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media carts compete primarily with the products of Accuwood, Comlink, and Video Furniture International.</w:t>
      </w:r>
    </w:p>
    <w:p>
      <w:pPr>
        <w:spacing w:after="0" w:line="252"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In each of the markets in which we compete, many of our competitors may have access to greater financial, technical, manufacturing, and marketing resources, and as a result they may respond more quickly or effectively to new technologies and changes in customer preferences. We cannot provide assurance that we will continue to compete effectively in the markets we serve.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additional time to obtain regulatory approvals of new products in international markets. Such regulations may impact our ability to expand our sales in a timely and cost-effective manner and as a result our business could be harmed.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manufacture our products through contract manufacturers, who are generally responsible to source and procure required raw materials and components. Most of the components that our contract manufacturers require for manufacturing our products are readily available from a number of sources. We continually work with our contract manufacturers to seek alternative sources for all our components and raw materials requirements to ensure higher quality and better pricing. Contract manufacturers and their vendors are qualified by Corporate Quality Assurance. We work with our contract manufacturers to ensure raw materials and components conform to specifications.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audio conferencing products revenue has historically been strongest during the second and fourth quarters though the variations between the quarters are not consistently significant. There can be no assurance that any historic sales patterns will continue and, as a result, sales for any prior quarter are not necessarily indicative of the sales to be expected in any future quarter.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5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$7.5 million in fiscal 2009 and $7.1 million in fiscal 2008.</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core competencies in research and product development include many audio technologies, including telephone echo cancellation, acoustic echo cancellation, and noise cancellation using advanced digital signal processing technology. We also have expertise in wireless technologies, VoIP, and software and network application development. We believe that ongoing development of our core technological competencies is vital to develop new products and to enhance existing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Currently, all of our products are manufactured by third-party manufacturers. Our primary contract manufacturers are Idea Chip Technologies, Inovar and Flextronics.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right="140"/>
        <w:spacing w:after="0" w:line="259" w:lineRule="auto"/>
        <w:rPr>
          <w:sz w:val="20"/>
          <w:szCs w:val="20"/>
          <w:color w:val="auto"/>
        </w:rPr>
      </w:pPr>
      <w:r>
        <w:rPr>
          <w:rFonts w:ascii="Arial" w:cs="Arial" w:eastAsia="Arial" w:hAnsi="Arial"/>
          <w:sz w:val="18"/>
          <w:szCs w:val="18"/>
          <w:color w:val="auto"/>
        </w:rPr>
        <w:t>We generally require our employees, customers, and potential distribution participants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have about 30 patents that are issued, pending, or applied for that cover conferencing products and technologies. The expiration dates of issued patents range from 2018 to 2025. We hold 15 registered trademarks and have also applied for registration for 10 trademarks. Registered trademarks include ClearOne, XAP, MAX, AccuMic, Audio Perfect, Distributed Echo Cancellation, Gentner, and others. We have also filed for trademarks for RAV, Converge, Chat, and others. We have received or filed for registered copyrights of certain of our source code for acoustic echo cancellation and other related audio signal processing algorithms.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June 30, 2009, we had 103 full-time employees. Of these employees, 84 were located in our Salt Lake City office, 13 in other U.S. locations, two in the United Kingdom and four in Asia. None of our employees are subject to a collective bargaining agreement and we believe our relationship with our employees is good. We occasionally hire contractors with specific skill sets to meet our operational needs.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fiscal 2005, we sold our Canadian audiovisual integration services business to 6351352 Canada Inc. During fiscal 2006, we sold our document and educational camera product line to Ken-A-Vision Manufacturing Co. Inc.</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June 30, 2009 consolidated financial statements and related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We face intense competition in all markets for our products and services; our operating results will be adversely affected if we cannot compete effectively against other companies.</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markets for our products and services are characterized by intense competition and pricing pressures and rapid technological change. We compete with businesses having substantially greater financial, research and product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5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17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5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the audio conferencing products market, the revenue generated from sales of our audio conferencing products for distance learning and courtroom facilities depend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additional time to obtain regulatory approvals of new products in international markets. Such regulations may impact our ability to expand our sales in a timely and cost-effective manner and as a result our business could be harmed.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w:t>
      </w:r>
    </w:p>
    <w:p>
      <w:pPr>
        <w:spacing w:after="0" w:line="252"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We have, in the past,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could be experienced by us include difficulty in the following:</w:t>
      </w:r>
    </w:p>
    <w:p>
      <w:pPr>
        <w:spacing w:after="0" w:line="193" w:lineRule="exact"/>
        <w:rPr>
          <w:sz w:val="20"/>
          <w:szCs w:val="20"/>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prototype products at anticipated cost levels;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 could adversely affect our net revenue and profit margins.</w:t>
      </w:r>
    </w:p>
    <w:p>
      <w:pPr>
        <w:spacing w:after="0" w:line="20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taken delivery of the products within the last 35 days. Our net revenue and profit margins could adversely be affected if we reduce product prices significantly or distributors happen to have significant inventory on-hand of the affected product at the time of a price reduction. Further, if we do not have sufficient cash resources to compensate distributors on terms satisfactory to them or us, our price protection obligations may prevent us from reacting quickly to competitive market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distributors.</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our distributors. We use this information to determine the amount of inventory in the channel, and the appropriate revenue and cost of goods sold associated with those channel products. We cannot guarantee that the third party data, as reported, or that our assumptions and judgments regarding total channel inventory revenue and cost of goods sold will be accurate. We periodically audit a limited number of distributors.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outsource the manufacture of all of our products to third-party manufacturers located in both the U.S. and Asia. If any of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cost of delivered product from our contract manufacturers is a direct function of their ability to buy components at a competitive price and to realize efficiencies and economies of scale within their overall business structure. If they are unsuccessful in driving efficient cost models, our delivered costs could rise, affecting our profitability and ability to compete. In addition, if the contract manufacturers are unable to achieve greater operational efficiencies, delivery schedules for new product development and current product delivery could be negatively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 and our results of operations.</w:t>
      </w:r>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industry is subject to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our attention, regardless of the merit of such claims. In the event of a claim, we might be required to license third-party technology or redesign our products, which may not be possible or economically feasible.</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unique environmental regulations;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quarantines, transportation, or other restrictions associated with infectious diseases.</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Our inability to hire and retain employees with the skills we seek could hinder our ability to sell our existing products, systems, or services or to develop new products, systems, or services with a consequent adverse effect on our business, results of operations, financial position, or liquidity.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third-party technology and license agreements.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grant credit to substantially all of our customers without requiring collateral.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52"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97" w:lineRule="exact"/>
        <w:rPr>
          <w:sz w:val="20"/>
          <w:szCs w:val="20"/>
          <w:color w:val="auto"/>
        </w:rPr>
      </w:pPr>
    </w:p>
    <w:p>
      <w:pPr>
        <w:ind w:left="660" w:hanging="139"/>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to acquire our common stock could result in dilution to other holders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2009, we had outstanding options to acquire approximately 1.2 million shares of our common stock at a weighted average exercise price of</w:t>
      </w:r>
    </w:p>
    <w:p>
      <w:pPr>
        <w:spacing w:after="0" w:line="4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$5.62 per share. An additional 805,000 shares remain available for grant under our 2007 Plan.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additional shares of our common stock could have a negative effect on the market price of our common stock.</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Sales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Form 10-K for the fiscal year ending June 30, 2006 and Form 10-K/A-2 for the fiscal year ending June 30, 2008, we reported and identified a material weakness in our internal controls. Although we believe we have remedied this weakness through the commitment of considerable resources, we are always at risk that any future failure of our own internal controls or the internal control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currently occupy a 36,279 square-foot facility in Salt Lake City, Utah under the terms of an operating lease expiring in December 2013 which supports our principal administrative, sales, marketing, customer support, and research and product development facility. We also occupy a 23,712 square-foot warehouse in Salt Lake City under the terms of an operating lease expiring in November 2013 which warehouses our inventory for fulfillment, serves as our fulfillment and repair center, as well as a 6,500 square-foot facility in Salt Lake City under the terms of an operating lease expiring in December 2011 which warehouses our inventory for fulfillment. Finally, we lease approximately 4,000 square-feet in warehouse space in Hong Kong under the terms of two operating leases both expiring in February 2010 which support our partners and customers located in the Asia-Pacific region.</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8 – Commitments and Contingencies of the Notes to Consolidated Financial Statements (Part II, Item 8) for information regarding legal proceedings in which we are involved.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 matter was submitted to a vote of security holders through the solicitation of proxies or otherwise during the fourth quarter of the fiscal year covered by this report.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Our common stock has been traded on the Nasdaq Capital Market under the symbol CLRO since August 14, 2007. The following table sets forth high and low sale prices (or high and low bid quotations) of our common stock for each fiscal quarter indicated as reported on the applicable exchange or market.</w:t>
      </w:r>
    </w:p>
    <w:p>
      <w:pPr>
        <w:spacing w:after="0" w:line="147"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2008</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Second Quarter</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Fourth Quarter</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On October 9, 2009, the closing price for our common stock as reported on the Nasdaq Capital Market was $2.85.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of October 9, 2009, there were 8,929,002 shares of our common stock issued and outstanding and held by approximately 500 shareholders of record. This number includes each broker dealer and clearing corporation, that hold shares for customers, as a single shareholder.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working capital requirements, infrastructure needs, growth, product development, and our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two equity compensation plans, our 1998 Stock Option Plan (the “1998 Plan”) and our 2007 Equity Incentive Plan (the “2007 Plan”).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Note 9 – Shareholders’ Equity of the Notes to Consolidated Financial Statements (Part II, Item 8) for information regarding issuer purchases of equity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 Unless otherwise indicated, all references to a year reflect our fiscal year that ends on June 30.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develop, manufacture, market, and service a comprehensive line of high-quality audio conferencing products. The products range from personal conferencing products to tabletop conferencing phones to professionally installed audio systems. We also manufacture and sell conferencing media carts. 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We also sell products on a limited basis directly to dealers, systems integrators, value-added resellers, and end-users.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derive a major portion (approximately 68%) of our revenue from North America. Our share of revenue from foreign markets outside North America increased steadily over the years.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conferencing products market is characterized by intense competition and rapidly evolving technology. Our competitors vary within each product category. We continue to enjoy the leadership position with respect to professionally installed audio category and were able to expand our market share of personal conferencing products. However we face significant competition in premium and tabletop categories due to price pressures, evident from the decline in premium and tabletop revenues.</w:t>
      </w:r>
    </w:p>
    <w:p>
      <w:pPr>
        <w:spacing w:after="0" w:line="21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deep recession that affected the global economy impacted our financials, especially during the last two quarters of fiscal year 2009. Except for the personal conferencing products all other product categories suffered a drop in the revenue when compared with fiscal year 2008. Despite the reduction in gross profit by $2.2 million, net income before tax for the year increased by $1.1 million from the previous year largely due to the reversal of $1.1 million contingent liability recorded with respect to “indemnification of former officers” and recognition of insurance settlement proceeds of $1.1 million. However income after tax reduced by $3 million due to the increase in tax expense by $4.1 million. The tax expense increased significantly during fiscal year 2009 since we had the benefit in fiscal year 2008 of reversal of $4.7 million in valuation allowance recorded against deferred tax assets and a reversal of $3.3 million accrual for a contingent liability associated with indemnification agreements with two former officers.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During the fiscal year 2009, we repurchased 1,343,000 shares of our common stock at a total cost of approximately $6.77 million through a tender offer.</w:t>
      </w:r>
    </w:p>
    <w:p>
      <w:pPr>
        <w:spacing w:after="0" w:line="2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fiscal year 2008, we repurchased 835,000 shares of our common stock at a total cost of approximately $4.3 million in open market and private block transactions.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DISCUSSION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for the fiscal years ended June 30, 2009 and 2008, together with the percentage of total revenue which each such item represents.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(in thousands of dollars)</w:t>
            </w:r>
          </w:p>
        </w:tc>
        <w:tc>
          <w:tcPr>
            <w:tcW w:w="1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vMerge w:val="restart"/>
          </w:tcPr>
          <w:p>
            <w:pPr>
              <w:jc w:val="center"/>
              <w:ind w:left="430"/>
              <w:spacing w:after="0"/>
              <w:rPr>
                <w:sz w:val="20"/>
                <w:szCs w:val="20"/>
                <w:color w:val="auto"/>
              </w:rPr>
            </w:pPr>
            <w:r>
              <w:rPr>
                <w:rFonts w:ascii="Arial" w:cs="Arial" w:eastAsia="Arial" w:hAnsi="Arial"/>
                <w:sz w:val="18"/>
                <w:szCs w:val="18"/>
                <w:b w:val="1"/>
                <w:bCs w:val="1"/>
                <w:color w:val="auto"/>
                <w:w w:val="88"/>
              </w:rPr>
              <w:t>2009 vs. 2008</w:t>
            </w: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4"/>
          </w:tcPr>
          <w:p>
            <w:pPr>
              <w:ind w:left="480"/>
              <w:spacing w:after="0"/>
              <w:rPr>
                <w:sz w:val="20"/>
                <w:szCs w:val="20"/>
                <w:color w:val="auto"/>
              </w:rPr>
            </w:pPr>
            <w:r>
              <w:rPr>
                <w:rFonts w:ascii="Arial" w:cs="Arial" w:eastAsia="Arial" w:hAnsi="Arial"/>
                <w:sz w:val="18"/>
                <w:szCs w:val="18"/>
                <w:b w:val="1"/>
                <w:bCs w:val="1"/>
                <w:color w:val="auto"/>
              </w:rPr>
              <w:t>Fiscal Year 2009</w:t>
            </w:r>
          </w:p>
        </w:tc>
        <w:tc>
          <w:tcPr>
            <w:tcW w:w="180" w:type="dxa"/>
            <w:vAlign w:val="bottom"/>
          </w:tcPr>
          <w:p>
            <w:pPr>
              <w:spacing w:after="0"/>
              <w:rPr>
                <w:sz w:val="20"/>
                <w:szCs w:val="20"/>
                <w:color w:val="auto"/>
              </w:rPr>
            </w:pPr>
          </w:p>
        </w:tc>
        <w:tc>
          <w:tcPr>
            <w:tcW w:w="2520" w:type="dxa"/>
            <w:vAlign w:val="bottom"/>
            <w:gridSpan w:val="4"/>
          </w:tcPr>
          <w:p>
            <w:pPr>
              <w:ind w:left="440"/>
              <w:spacing w:after="0"/>
              <w:rPr>
                <w:sz w:val="20"/>
                <w:szCs w:val="20"/>
                <w:color w:val="auto"/>
              </w:rPr>
            </w:pPr>
            <w:r>
              <w:rPr>
                <w:rFonts w:ascii="Arial" w:cs="Arial" w:eastAsia="Arial" w:hAnsi="Arial"/>
                <w:sz w:val="18"/>
                <w:szCs w:val="18"/>
                <w:b w:val="1"/>
                <w:bCs w:val="1"/>
                <w:color w:val="auto"/>
              </w:rPr>
              <w:t>Fiscal Year 2008</w:t>
            </w:r>
          </w:p>
        </w:tc>
        <w:tc>
          <w:tcPr>
            <w:tcW w:w="180" w:type="dxa"/>
            <w:vAlign w:val="bottom"/>
          </w:tcPr>
          <w:p>
            <w:pPr>
              <w:spacing w:after="0"/>
              <w:rPr>
                <w:sz w:val="20"/>
                <w:szCs w:val="20"/>
                <w:color w:val="auto"/>
              </w:rPr>
            </w:pPr>
          </w:p>
        </w:tc>
        <w:tc>
          <w:tcPr>
            <w:tcW w:w="24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Favorable (Unfavorable)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of Revenue</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38,758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(3,058)</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15,323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16,204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881</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20,377</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22,554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w:t>
            </w: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 (benefit):</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7,541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7,070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4,038</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Insurance settlement proceeds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3,811</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1,634</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5"/>
              </w:rPr>
              <w:t>Income from continuing operations before</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3,222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2,147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1,075</w:t>
            </w:r>
          </w:p>
        </w:tc>
        <w:tc>
          <w:tcPr>
            <w:tcW w:w="4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Benefit from (provision for) income taxes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(4,091)</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2,227</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5,243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(3,016)</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Income from discontinued operations, net of</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2,227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5,259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(3,032)</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 Not Meaningful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discussion of our results of operations for our fiscal years ended June 30, 2009 and 2008. All items are discussed on a consolidated basis.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revenue was $35.7 million for the fiscal year ended June 30, 2009 (“2009”) compared to revenue of $38.8 million for the fiscal year ended June 30, 2008 (“2008”).</w:t>
      </w:r>
    </w:p>
    <w:p>
      <w:pPr>
        <w:spacing w:after="0" w:line="19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Revenue during 2009 decreased approximately $3.1 million, or 8% from 2008. The decrease in revenue in 2009 from 2008 was primarily the result of declines in our professional, premium, tabletop, conferencing media carts and conferencing accessories products which collectively decreased approximately $4.3 million partially offset by a collective increase of approximately $1.2 million in our personal conferencing products. The revenue from professional products declined by approximately 10% during 2009 and the share of revenue from professional products as a percentage of total revenue also reduced from approximately 75% in 2008 to about 73.5% in 2009. Revenue from tabletop products declined approximately 22% during 2009. However, the revenue from personal conferencing products increased approximately 73% during 2009. The competitive pressures in the professional and tabletop categories are not expected to ease while the outlook for personal conferencing products continues to be promising.</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ind w:right="320"/>
        <w:spacing w:after="0" w:line="302" w:lineRule="auto"/>
        <w:rPr>
          <w:sz w:val="20"/>
          <w:szCs w:val="20"/>
          <w:color w:val="auto"/>
        </w:rPr>
      </w:pPr>
      <w:r>
        <w:rPr>
          <w:rFonts w:ascii="Arial" w:cs="Arial" w:eastAsia="Arial" w:hAnsi="Arial"/>
          <w:sz w:val="16"/>
          <w:szCs w:val="16"/>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channel inventory at quarter-end. During the fiscal years ended June 30, 2009 and 2008, the change in deferred revenue based on the movement of inventory in the channel was a recognition (deferral) of $1.1 million and ($670,000) in revenue,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from sales outside of the United States as a percent of total revenue was 32% for 2009 and 30% for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5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Costs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2009 gross profit was approximately $20.4 million compared to approximately $22.6 million in 2008. Gross profit margins (“GPM”), gross profit as a percentage of sales, were 57.1% and 58.2% in 2009 and 2008, respectively. The gross profit decline was primarily the result of inventory write-offs amounting to approximately $2.3 million during 2009. GPM as a percentage of sales excluding the inventory write-offs were 63.5% and 58.4% in 2009 and 2008 respectively, signifying increased manufacturing efficiencies during 2009. The positive impact on gross profit of increased efficiencies in manufacturing operations was offset by reduced revenue and inventory write-offs. While we believe the manufacturing efficiencies can be sustained in the near future, any change in our outsourced manufacturers’ capabilities would negatively impact the cost to manufacture our products.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Professional conferencing products continued to be the major contributor to the gross margin despite a decline in its revenue during 2009. Our profitability in the near-term depends heavily on our ability to increase revenue from professional conferencing products. Significant increase in inventories during 2009 might further impact future gross margin as we attempt to sell the accumulated inventory through sales promotions and other means. If we are unable to sell our long-term inventory in the near-term, profitability might be affected by more inventory write-offs.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56"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Operating profits (losses), or income from operations, is the surplus after operating expenses are deducted from gross profits. Operating expenses include sales &amp; marketing (“S&amp;M”) expenses, research and development (“R&amp;D”) expenses and general and administrative (“G&amp;A”) expenses. Total operating expenses were approximately $17.6 million in 2009 compared with approximately $21.4 million in 2008. The following is a more detailed discussion of expenses related to sales and marketing, research and product development, general and administrative, and other items.</w:t>
      </w:r>
    </w:p>
    <w:p>
      <w:pPr>
        <w:spacing w:after="0" w:line="194"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u w:val="single" w:color="auto"/>
          <w:color w:val="auto"/>
        </w:rPr>
        <w:t>Sales and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S&amp;M expenses include selling, customer service, and marketing expenses such as employee-related costs, allocations of overhead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trade shows, and other advertising and selling expenses. Total S&amp;M expenses were approximately $7.5 million in 2009 compared with approximately $6.7 million in 2008. As a percentage of revenue, S&amp;M expenses were 21.1% in 2009 compared with17.2% in 2008. S&amp;M expenses during 2009 were approximately $900,000 or 13% higher than 2008 primarily as a result of higher labor and related expenses and higher marketing related expense.</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u w:val="single" w:color="auto"/>
          <w:color w:val="auto"/>
        </w:rPr>
        <w:t>Research and Development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R&amp;D expenses include research and development, product line management, engineering services, and test and application</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including employee-related costs, outside services, expensed materials, depreciation, and an allocation of overhead expenses. Total R&amp;D expenses were approximately $7.5 million in 2009 compared to approximately $7.1 million in 2008. As a percentage of revenue, R&amp;D expenses were 21.1% in 2009 compared to 18.2% in 2008. R&amp;D expenses during 2009 increased approximately $500,000 from 2008 primarily as a result of higher labor and related expenses as well as increased research and development project related expenses.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3" w:name="page24"/>
    <w:bookmarkEnd w:id="23"/>
    <w:p>
      <w:pPr>
        <w:ind w:right="20"/>
        <w:spacing w:after="0" w:line="271" w:lineRule="auto"/>
        <w:rPr>
          <w:sz w:val="20"/>
          <w:szCs w:val="20"/>
          <w:color w:val="auto"/>
        </w:rPr>
      </w:pPr>
      <w:r>
        <w:rPr>
          <w:rFonts w:ascii="Arial" w:cs="Arial" w:eastAsia="Arial" w:hAnsi="Arial"/>
          <w:sz w:val="17"/>
          <w:szCs w:val="17"/>
          <w:b w:val="1"/>
          <w:bCs w:val="1"/>
          <w:u w:val="single" w:color="auto"/>
          <w:color w:val="auto"/>
        </w:rPr>
        <w:t>General and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G&amp;A expenses include employee-related costs, professional service fees, allocations of overhead expenses, litigation costs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administrative costs, including finance and human resources. Total G&amp;A expenses were approximately $3.6 million in 2009 compared with approximately $7.7 million in 2008. As a percentage of revenue, G&amp;A expenses were 10.2% in 2009 and 19.8% in 2008. G&amp;A expenses were lower in 2009 when compared to 2008 primarily as a result of reduction in legal expenses by approximately $3.7 million, which included reversal of $1.1million of a contingent liability associated with the indemnification agreements with two former officers and payment of $200,000 in fiscal year 2008 to Edward D. Bagley, our former director and Chairman, upon his resignation and in consideration for his service as a director of the Company since 1994. The above reductions were partially offset by an increase in the allowance for bad debts by $16,000. We will continue to incur legal expenses as we defend ourselves from indemnification claims, protect our intellectual property and attempt to collect judgments entered in our favor. Any unfavorable outcomes from these legal matters would adversely affect our profitability and financial position.</w:t>
      </w:r>
    </w:p>
    <w:p>
      <w:pPr>
        <w:spacing w:after="0" w:line="201" w:lineRule="exact"/>
        <w:rPr>
          <w:sz w:val="20"/>
          <w:szCs w:val="20"/>
          <w:color w:val="auto"/>
        </w:rPr>
      </w:pPr>
    </w:p>
    <w:p>
      <w:pPr>
        <w:ind w:right="600"/>
        <w:spacing w:after="0" w:line="313" w:lineRule="auto"/>
        <w:rPr>
          <w:sz w:val="20"/>
          <w:szCs w:val="20"/>
          <w:color w:val="auto"/>
        </w:rPr>
      </w:pPr>
      <w:r>
        <w:rPr>
          <w:rFonts w:ascii="Arial" w:cs="Arial" w:eastAsia="Arial" w:hAnsi="Arial"/>
          <w:sz w:val="17"/>
          <w:szCs w:val="17"/>
          <w:b w:val="1"/>
          <w:bCs w:val="1"/>
          <w:color w:val="auto"/>
        </w:rPr>
        <w:t xml:space="preserve">Insurance Settlement Proceeds. </w:t>
      </w:r>
      <w:r>
        <w:rPr>
          <w:rFonts w:ascii="Arial" w:cs="Arial" w:eastAsia="Arial" w:hAnsi="Arial"/>
          <w:sz w:val="17"/>
          <w:szCs w:val="17"/>
          <w:color w:val="auto"/>
        </w:rPr>
        <w:t>We recognized income of $1.1 million received from the insurance company in settlement of dispute over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coverage under directors and officers’ liability insurance policies. (See Item 3, “Legal Proceedings” - the Insurance Coverage Action”).</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Other operating income, net. </w:t>
      </w:r>
      <w:r>
        <w:rPr>
          <w:rFonts w:ascii="Arial" w:cs="Arial" w:eastAsia="Arial" w:hAnsi="Arial"/>
          <w:sz w:val="17"/>
          <w:szCs w:val="17"/>
          <w:color w:val="auto"/>
        </w:rPr>
        <w:t>Other income, net, includes our interest income, interest expense, capital gains, gain (loss) on the disposal of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gain (loss). Other income was approximately $446,000 in 2009 compared to approximately $1.0 million in 2008. The $559,000 decrease in 2009 from 2008 was primarily the result of lower interest income associated with lower interest rates on our investments and lower cash and marketable securities balances as we used approximately $6.77 million of our cash during 2009 to repurchase our common stock. The decreases were partially offset by the recognition of additional approximately $200,000 in interest income related to the insurance settlement proceeds.</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 xml:space="preserve">(Provision for) Benefit from income taxes. </w:t>
      </w:r>
      <w:r>
        <w:rPr>
          <w:rFonts w:ascii="Arial" w:cs="Arial" w:eastAsia="Arial" w:hAnsi="Arial"/>
          <w:sz w:val="17"/>
          <w:szCs w:val="17"/>
          <w:color w:val="auto"/>
        </w:rPr>
        <w:t>Our provision for income taxes from continuing operations was ($995,000) in 2009 compared to a benefit of</w:t>
      </w:r>
      <w:r>
        <w:rPr>
          <w:rFonts w:ascii="Arial" w:cs="Arial" w:eastAsia="Arial" w:hAnsi="Arial"/>
          <w:sz w:val="17"/>
          <w:szCs w:val="17"/>
          <w:b w:val="1"/>
          <w:bCs w:val="1"/>
          <w:color w:val="auto"/>
        </w:rPr>
        <w:t xml:space="preserve"> </w:t>
      </w:r>
      <w:r>
        <w:rPr>
          <w:rFonts w:ascii="Arial" w:cs="Arial" w:eastAsia="Arial" w:hAnsi="Arial"/>
          <w:sz w:val="17"/>
          <w:szCs w:val="17"/>
          <w:color w:val="auto"/>
        </w:rPr>
        <w:t>$3.1 million in 2008. The ($995,000) provision in 2009 was primarily the result of tax on current year income; the true-up of certain tax attribute carryovers related to federal and state research and development credits and federal alternative minimum tax credits from the prior year’s tax returns; and the recording of a valuation allowance against capital and unrealized loss carryovers, certain state net operating loss (“NOL”) carryovers and state research and development credits. The true-up of these tax attribute carryovers resulted in a relatively low 30.8% effective income tax rate on 2009 income from continuing operations. The valuation allowance was established, in accordance with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because it was not considered more likely than not that certain deferred tax assets related to capital and unrealized loss carryovers, certain state NOL carryovers and state research and development credits would be realized. As a result of our analysis, and in accordance with generally accepted accounting principles, a valuation allowance of $928,000 was recorded against certain deferred tax assets.</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$3.1 million benefit in 2008 was primarily the result of reversal of our valuation allowance during the fiscal fourth quarter that we had recorded against our deferred tax assets. Given our past history of losses from continuing operations, prior to fiscal 2007, a valuation allowance was recorded against all of our deferred tax assets. The valuation allowance was initially established, in accordance with SFAS No. 109 because it was not considered more likely than not that the deferred tax assets would be realized. However, as a result of our analysis and in accordance with generally accepted accounting principles, the previously established valuation allowance related primarily to deferred revenue, inventory reserves, and accrued liabilities of approximately $4.7 million was reversed. Our income taxes were negatively impacted in 2008 by our adoption of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in addition to our recognition of tax on the undistributed earnings of our foreign subsidiaries which together added approximately $541,000 to our 2008 income tax expense.</w:t>
      </w:r>
    </w:p>
    <w:p>
      <w:pPr>
        <w:spacing w:after="0" w:line="190" w:lineRule="exact"/>
        <w:rPr>
          <w:sz w:val="20"/>
          <w:szCs w:val="20"/>
          <w:color w:val="auto"/>
        </w:rPr>
      </w:pPr>
    </w:p>
    <w:p>
      <w:pPr>
        <w:jc w:val="both"/>
        <w:ind w:right="380"/>
        <w:spacing w:after="0" w:line="314" w:lineRule="auto"/>
        <w:rPr>
          <w:sz w:val="20"/>
          <w:szCs w:val="20"/>
          <w:color w:val="auto"/>
        </w:rPr>
      </w:pPr>
      <w:r>
        <w:rPr>
          <w:rFonts w:ascii="Arial" w:cs="Arial" w:eastAsia="Arial" w:hAnsi="Arial"/>
          <w:sz w:val="16"/>
          <w:szCs w:val="16"/>
          <w:b w:val="1"/>
          <w:bCs w:val="1"/>
          <w:color w:val="auto"/>
        </w:rPr>
        <w:t xml:space="preserve">Income from discontinued operations, net of tax. </w:t>
      </w:r>
      <w:r>
        <w:rPr>
          <w:rFonts w:ascii="Arial" w:cs="Arial" w:eastAsia="Arial" w:hAnsi="Arial"/>
          <w:sz w:val="16"/>
          <w:szCs w:val="16"/>
          <w:color w:val="auto"/>
        </w:rPr>
        <w:t>Income from discontinued operations related to our Canadian audiovisual integration business (“OM</w:t>
      </w:r>
      <w:r>
        <w:rPr>
          <w:rFonts w:ascii="Arial" w:cs="Arial" w:eastAsia="Arial" w:hAnsi="Arial"/>
          <w:sz w:val="16"/>
          <w:szCs w:val="16"/>
          <w:b w:val="1"/>
          <w:bCs w:val="1"/>
          <w:color w:val="auto"/>
        </w:rPr>
        <w:t xml:space="preserve"> </w:t>
      </w:r>
      <w:r>
        <w:rPr>
          <w:rFonts w:ascii="Arial" w:cs="Arial" w:eastAsia="Arial" w:hAnsi="Arial"/>
          <w:sz w:val="16"/>
          <w:szCs w:val="16"/>
          <w:color w:val="auto"/>
        </w:rPr>
        <w:t>Video”). Accordingly, the results of operations and the financial position have been reclassified in the accompanying consolidated financial statements as discontinued operations. The total income from discontinued operations, net of tax, was $0 for 2009 compared with $16,000 for 2008.</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June 30, 2009, our cash and cash equivalents were approximately $9.8 million and our marketable securities were approximately $2.1 million, which represented an overall decrease of $8.5 million in our balance from June 30, 2008 which had cash and cash equivalents of approximately $3.3 million and our marketable securities of approximately $17.1 million.</w:t>
      </w:r>
    </w:p>
    <w:p>
      <w:pPr>
        <w:spacing w:after="0" w:line="20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Net cash flows used in operating activities were approximately $1.9 million in 2009 compared to net cash flows provided by operating activities of approximately $3.5 million in 2008. During 2009 net cash flows from operating activities decreased by approximately $5.4 million primarily as a result of increase in inventories by $8.9 million, decrease in net income by $3.0 million, change in accrued liabilities by $3.0 million, and decrease in our deferred revenue accrual by $1.8 million, partially offset by a $5.1 million change in deferred taxes, $2.2 million increase in inventory write-offs, and $4.2 million increase in changes in other operating assets and liabilities.</w:t>
      </w:r>
    </w:p>
    <w:p>
      <w:pPr>
        <w:spacing w:after="0" w:line="2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flows provided by investing activities were $15.0 million in 2009 compared to $700,000 in 2008. The $14.3 million increase in net cash provided by investing activities during 2009 was primarily as a result of $14.6 million increase in the sale of marketable securities, net of purchases of marketable securities in 2008, partially offset by purchases of property and equipment.</w:t>
      </w:r>
    </w:p>
    <w:p>
      <w:pPr>
        <w:spacing w:after="0" w:line="208"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Net cash used in financing activities during 2009 totaled approximately $6.6 million compared with approximately $3.7 million in 2008. During 2009, we repurchased 1,343,000 shares of our common stock for $6.77 million. We also received $135,000 and issued 41,000 shares of stock upon the exercise of employee stock options. During 2008, we repurchased 835,000 shares of our common stock for $4.3 million. Also during 2008 we received $800,000 and issued 228,000 shares of stock upon the exercise of employee stock options. We received a $70,000 tax benefit from option exercises in 2008.</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2009 we paid approximately $1.6 million in income taxes. Additionally, in 2008 we paid approximately $1.7 million in income taxes and reduced our July 1, 2007 balance of retained earnings by $295,000 upon adoption of FASB issued Interpretation No. 48 (“FIN 48”), “Accounting for Uncertainty in Income Taxes.”</w:t>
      </w:r>
    </w:p>
    <w:p>
      <w:pPr>
        <w:spacing w:after="0" w:line="2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meet our short-term and long-term operating requirements and finance our growth plans. We also believe that our strong debt-free financial position and solid business model would help us raise additional capital when needed to meet our short and long-term financing needs. In addition to capital expenditures, we may use cash during fiscal 2009 for selective infusions of technological, marketing or product manufacturing rights to broaden our product offerings; and acquisitions that may strategically fit our business and are accretive to performance.</w:t>
      </w:r>
    </w:p>
    <w:p>
      <w:pPr>
        <w:spacing w:after="0" w:line="21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At June 30, 2009, we had open purchase orders related to our contract manufacturers and other contractual obligations of approximately $3.8 million, primarily related to inventory purchases.</w:t>
      </w:r>
    </w:p>
    <w:p>
      <w:pPr>
        <w:spacing w:after="0" w:line="19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 of June 30, 2008, we had approximately $12.2 million par value of auction rate securities, less a temporary valuation adjustment of approximately $1.1 million to reflect the then prevailing lack of liquidity of these investments. During October 2008, we accepted offers to repurchase our Auction Rate Securities (ARSs), at par value, from the two investment banks that sold them to us. Between November 2008 and January 2009, UBS and Morgan Stanley fulfilled their offers and repurchased our ARSs, at par value, totaling approximately $12.2 million.</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2009, we had inventories totaling $15.6 million, including non-current inventory of $8.6 million. Inventories increased by $$7.5 million during 2009 as a result of many factors including slow down in the economy resulting in lower sales volume, prior forecasted commitments to contract manufacturers and acquisition of additional safety stock to tide over transition from a contract manufacturer who went out of business. In addition to the possible negative effect on gross margins due to sales promotions, any delays in the planned sales of inventory would reduce our liquidity and might affect our ability to execute our future financial plans.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Note 2 to the Consolidated Financial Statements included in Item 8 of this report. We believe the following critical accounting policies identify our most critical accounting policies, which are the policies that are both important to the representation of our financial condition and results and requires our most difficult, subjective or complex judgments, often as a result of the need to make estimates about the effect of matters that are inherently uncertain.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described below. In a small number of cases, the distributors are also permitted to return the products for other business reasons.</w:t>
      </w:r>
    </w:p>
    <w:p>
      <w:pPr>
        <w:spacing w:after="0" w:line="19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revenue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ind w:right="160"/>
        <w:spacing w:after="0" w:line="277" w:lineRule="auto"/>
        <w:rPr>
          <w:sz w:val="20"/>
          <w:szCs w:val="20"/>
          <w:color w:val="auto"/>
        </w:rPr>
      </w:pPr>
      <w:r>
        <w:rPr>
          <w:rFonts w:ascii="Arial" w:cs="Arial" w:eastAsia="Arial" w:hAnsi="Arial"/>
          <w:sz w:val="18"/>
          <w:szCs w:val="18"/>
          <w:color w:val="auto"/>
        </w:rPr>
        <w:t>The amounts of deferred cost of goods sold were included in consigned inventory. The following table details the amount of deferred revenue, cost of goods sold, and gross profit at each quarter end for the 24-month period ended June 30, 2009 (in thousands).</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Deferred</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Deferred Cost</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Deferred</w:t>
            </w:r>
          </w:p>
        </w:tc>
      </w:t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of Goods Sold</w:t>
            </w:r>
          </w:p>
        </w:tc>
        <w:tc>
          <w:tcPr>
            <w:tcW w:w="10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Gross Profit</w:t>
            </w:r>
          </w:p>
        </w:tc>
      </w:tr>
      <w:tr>
        <w:trPr>
          <w:trHeight w:val="223"/>
        </w:trPr>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Year ended June 30, 2009</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2,866</w:t>
            </w: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4,611</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2,919</w:t>
            </w: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3,406</w:t>
            </w: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4,856</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2,918</w:t>
            </w:r>
          </w:p>
        </w:tc>
      </w:tr>
      <w:tr>
        <w:trPr>
          <w:trHeight w:val="223"/>
        </w:trPr>
        <w:tc>
          <w:tcPr>
            <w:tcW w:w="20" w:type="dxa"/>
            <w:vAlign w:val="bottom"/>
          </w:tcPr>
          <w:p>
            <w:pPr>
              <w:spacing w:after="0"/>
              <w:rPr>
                <w:sz w:val="19"/>
                <w:szCs w:val="19"/>
                <w:color w:val="auto"/>
              </w:rPr>
            </w:pPr>
          </w:p>
        </w:tc>
        <w:tc>
          <w:tcPr>
            <w:tcW w:w="3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June 30, 2008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5,795</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3,748</w:t>
            </w: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2,814</w:t>
            </w: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5,240</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3,161</w:t>
            </w: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5,822</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3,701</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offer rebates and market development funds to certain of our distributors, dealers/resellers, and end-users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w:t>
      </w:r>
    </w:p>
    <w:p>
      <w:pPr>
        <w:spacing w:after="0" w:line="17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Accounting for Income Taxes</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we analyzed our valuation allowance at June 30, 2009 and determined that based upon available evidence it is more likely than not that certain of our deferred tax assets related to capital and unrealized loss carryovers, certain state net operating loss carryovers and state research and development credits will not be realized and as such we have recorded a valuation allowance against these deferred tax assets in the amount of $928,000. The recording of a portion of this valuation allowance results in an increase in our income tax expense for 2009 of $83,000. See Note 13 in the notes to financial statements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w:t>
      </w:r>
    </w:p>
    <w:p>
      <w:pPr>
        <w:spacing w:after="0" w:line="3"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5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Prior to June 30, 2005 and as permitted under the original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jc w:val="both"/>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BUT NOT YET ADOPTED ACCOUNTING PRONOUNCEMENTS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2009, the FASB issued SFAS No. 167, Amendments to FASB Interpretation No. 46(R), which is effective for us beginning July 1, 2010. This Statement amends FIN 46(R), Consolidation of Variable Interest Entities an interpretation of ARB No. 51, to require revised evaluations of whether entities represent variable interest entities, ongoing assessments of control over such entities, and additional disclosures for variable interests. We believe the adoption of this pronouncement will not have any material impact on our financial statements.</w:t>
      </w:r>
    </w:p>
    <w:p>
      <w:pPr>
        <w:spacing w:after="0" w:line="21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December 2007, the FASB issued SFAS No. 141(R), “Business Combinations.” SFAS 141(R) requires all business combinations completed after the effective date to be accounted for by applying the acquisition method (previously referred to as the purchase method). Companies applying this method will have to identify the acquirer, determine the acquisition date and purchase price and recognize at their acquisition-date fair values the identifiable assets acquired, liabilities assumed, and any noncontrolling interests in the acquiree. In the case of a bargain purchase the acquirer is required to reevaluate the measurements of the recognized assets and liabilities at the acquisition date and recognize a gain on that date if an excess remains. SFAS 141(R) becomes effective for fiscal periods beginning after December 15, 2008. The Company is currently evaluating the impact of SFAS 141(R).</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7A. QUANTITATIVE AND QUALITATIVE DISCLOSURES ABOUT MARKET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item is submitted as a separate section of this Form 10-K beginning on page F-1.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0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required by Rule 13a-15 under the Exchange Act, we have completed an evaluation, under the supervision and with the participation of our management, including the Chief Executive Officer and the Principal Financial Officer, of the effectiveness and the design and operation of our disclosure controls and procedures as of June 30, 2009. Based upon this evaluation our Chief Executive Officer and Principal Financial Officer concluded that, as of the end of the period covered by this Annual Report, our disclosure controls and procedures are effective at a reasonable assurance level.</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has been no change in our internal controls and procedures over financial reporting (as defined in Rules 13a-15 and 15d-15 under the Exchange Act) that has materially affected, or is reasonably likely to materially affect, our internal controls and procedures over financial reporting, during the fourth quarter ended June 30, 2009, and there were no significant deficiencies or material weaknesses.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are intended to:</w:t>
      </w:r>
    </w:p>
    <w:p>
      <w:pPr>
        <w:spacing w:after="0" w:line="21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63"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ind w:left="660" w:right="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connection with the preparation of this Annual Report on Form 10-K for the fiscal year ended June 30, 2009, our management, with the participation of our Chief Executive Officer and Principal Financial Officer, has assessed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We have concluded that the design and operation of our internal control over financial reporting are effective as of June 30, 2009. There were no significant changes in our internal control over financial reporting that occurred during the fourth fiscal quarter that have materially affected, or are reasonably likely to materially affect, our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reporting. Management's report was not subject to attestation by our registered public accounting firm pursuant to temporary rules of the Commission that permit us to provide only management's report in this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required by this Item relating to our directors is incorporated herein by reference to the definitive proxy statement for our 2009 Annual Meeting of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2009 Annual Meeting of Shareholders.</w:t>
      </w:r>
    </w:p>
    <w:p>
      <w:pPr>
        <w:spacing w:after="0" w:line="26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2009 Annual Meeting of Shareholders.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2009 Annual Meeting of Shareholders.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2009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2" w:name="page33"/>
    <w:bookmarkEnd w:id="32"/>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2"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financial statements set forth under Item 8 of this Annual Report on Form 10-K are filed in a separate section of this Form 10-K/A beginning on page F-1.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 – Jones Simkins, P.C.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as of June 30, 2009 and 2008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Operations and Comprehensive Income (Loss) for fiscal years ended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June 30, 2009 and 2008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Shareholders’ Equity for fiscal years ended June 30, 2009 and 2008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Cash Flows for fiscal years ended June 30, 2009 and 2008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All schedules are omitted since they either are not required, not applicable or the information is presented in the accompanying consolidated financial statements and notes thereto.</w:t>
      </w:r>
    </w:p>
    <w:p>
      <w:pPr>
        <w:spacing w:after="0" w:line="193"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Exhibit No.</w:t>
            </w:r>
          </w:p>
        </w:tc>
        <w:tc>
          <w:tcPr>
            <w:tcW w:w="9900" w:type="dxa"/>
            <w:vAlign w:val="bottom"/>
            <w:tcBorders>
              <w:bottom w:val="single" w:sz="8" w:color="auto"/>
            </w:tcBorders>
          </w:tcPr>
          <w:p>
            <w:pPr>
              <w:ind w:left="4400"/>
              <w:spacing w:after="0"/>
              <w:rPr>
                <w:sz w:val="20"/>
                <w:szCs w:val="20"/>
                <w:color w:val="auto"/>
              </w:rPr>
            </w:pPr>
            <w:r>
              <w:rPr>
                <w:rFonts w:ascii="Arial" w:cs="Arial" w:eastAsia="Arial" w:hAnsi="Arial"/>
                <w:sz w:val="18"/>
                <w:szCs w:val="18"/>
                <w:color w:val="auto"/>
              </w:rPr>
              <w:t>Title of Document</w:t>
            </w:r>
          </w:p>
        </w:tc>
      </w:tr>
      <w:tr>
        <w:trPr>
          <w:trHeight w:val="216"/>
        </w:trPr>
        <w:tc>
          <w:tcPr>
            <w:tcW w:w="15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7"/>
              </w:rPr>
              <w:t>3.1</w:t>
            </w:r>
          </w:p>
        </w:tc>
        <w:tc>
          <w:tcPr>
            <w:tcW w:w="9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Articles of Incorporation and amendments thereto (9)</w:t>
            </w:r>
          </w:p>
        </w:tc>
      </w:tr>
      <w:tr>
        <w:trPr>
          <w:trHeight w:val="216"/>
        </w:trPr>
        <w:tc>
          <w:tcPr>
            <w:tcW w:w="1520" w:type="dxa"/>
            <w:vAlign w:val="bottom"/>
          </w:tcPr>
          <w:p>
            <w:pPr>
              <w:jc w:val="center"/>
              <w:ind w:left="130"/>
              <w:spacing w:after="0"/>
              <w:rPr>
                <w:sz w:val="20"/>
                <w:szCs w:val="20"/>
                <w:color w:val="auto"/>
              </w:rPr>
            </w:pPr>
            <w:r>
              <w:rPr>
                <w:rFonts w:ascii="Arial" w:cs="Arial" w:eastAsia="Arial" w:hAnsi="Arial"/>
                <w:sz w:val="18"/>
                <w:szCs w:val="18"/>
                <w:color w:val="auto"/>
                <w:w w:val="87"/>
              </w:rPr>
              <w:t>3.2</w:t>
            </w:r>
          </w:p>
        </w:tc>
        <w:tc>
          <w:tcPr>
            <w:tcW w:w="9900" w:type="dxa"/>
            <w:vAlign w:val="bottom"/>
          </w:tcPr>
          <w:p>
            <w:pPr>
              <w:ind w:left="220"/>
              <w:spacing w:after="0"/>
              <w:rPr>
                <w:sz w:val="20"/>
                <w:szCs w:val="20"/>
                <w:color w:val="auto"/>
              </w:rPr>
            </w:pPr>
            <w:r>
              <w:rPr>
                <w:rFonts w:ascii="Arial" w:cs="Arial" w:eastAsia="Arial" w:hAnsi="Arial"/>
                <w:sz w:val="18"/>
                <w:szCs w:val="18"/>
                <w:color w:val="auto"/>
              </w:rPr>
              <w:t>Bylaws (1)</w:t>
            </w:r>
          </w:p>
        </w:tc>
      </w:tr>
      <w:tr>
        <w:trPr>
          <w:trHeight w:val="216"/>
        </w:trPr>
        <w:tc>
          <w:tcPr>
            <w:tcW w:w="15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1"/>
              </w:rPr>
              <w:t>10.1</w:t>
            </w:r>
          </w:p>
        </w:tc>
        <w:tc>
          <w:tcPr>
            <w:tcW w:w="99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Employment Separation Agreement between ClearOne Communications, Inc. and Frances Flood, dated December 5, 2003* (2)</w:t>
            </w:r>
          </w:p>
        </w:tc>
      </w:tr>
      <w:tr>
        <w:trPr>
          <w:trHeight w:val="216"/>
        </w:trPr>
        <w:tc>
          <w:tcPr>
            <w:tcW w:w="1520" w:type="dxa"/>
            <w:vAlign w:val="bottom"/>
          </w:tcPr>
          <w:p>
            <w:pPr>
              <w:jc w:val="center"/>
              <w:ind w:left="150"/>
              <w:spacing w:after="0"/>
              <w:rPr>
                <w:sz w:val="20"/>
                <w:szCs w:val="20"/>
                <w:color w:val="auto"/>
              </w:rPr>
            </w:pPr>
            <w:r>
              <w:rPr>
                <w:rFonts w:ascii="Arial" w:cs="Arial" w:eastAsia="Arial" w:hAnsi="Arial"/>
                <w:sz w:val="18"/>
                <w:szCs w:val="18"/>
                <w:color w:val="auto"/>
                <w:w w:val="91"/>
              </w:rPr>
              <w:t>10.2</w:t>
            </w:r>
          </w:p>
        </w:tc>
        <w:tc>
          <w:tcPr>
            <w:tcW w:w="9900" w:type="dxa"/>
            <w:vAlign w:val="bottom"/>
          </w:tcPr>
          <w:p>
            <w:pPr>
              <w:ind w:left="220"/>
              <w:spacing w:after="0"/>
              <w:rPr>
                <w:sz w:val="20"/>
                <w:szCs w:val="20"/>
                <w:color w:val="auto"/>
              </w:rPr>
            </w:pPr>
            <w:r>
              <w:rPr>
                <w:rFonts w:ascii="Arial" w:cs="Arial" w:eastAsia="Arial" w:hAnsi="Arial"/>
                <w:sz w:val="18"/>
                <w:szCs w:val="18"/>
                <w:color w:val="auto"/>
                <w:w w:val="95"/>
              </w:rPr>
              <w:t>Employment Separation Agreement between ClearOne Communications, Inc. and Susie Strohm, dated December 5, 2003* (2)</w:t>
            </w:r>
          </w:p>
        </w:tc>
      </w:tr>
      <w:tr>
        <w:trPr>
          <w:trHeight w:val="202"/>
        </w:trPr>
        <w:tc>
          <w:tcPr>
            <w:tcW w:w="1520" w:type="dxa"/>
            <w:vAlign w:val="bottom"/>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1"/>
              </w:rPr>
              <w:t>10.3</w:t>
            </w:r>
          </w:p>
        </w:tc>
        <w:tc>
          <w:tcPr>
            <w:tcW w:w="9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Joint Prosecution and Defense Agreement dated April 1, 2004 between ClearOne Communications, Inc., Parsons Behle &amp; Latimer,</w:t>
            </w:r>
          </w:p>
        </w:tc>
      </w:tr>
      <w:tr>
        <w:trPr>
          <w:trHeight w:val="230"/>
        </w:trPr>
        <w:tc>
          <w:tcPr>
            <w:tcW w:w="1520" w:type="dxa"/>
            <w:vAlign w:val="bottom"/>
            <w:shd w:val="clear" w:color="auto" w:fill="CCEEFF"/>
          </w:tcPr>
          <w:p>
            <w:pPr>
              <w:spacing w:after="0"/>
              <w:rPr>
                <w:sz w:val="20"/>
                <w:szCs w:val="20"/>
                <w:color w:val="auto"/>
              </w:rPr>
            </w:pPr>
          </w:p>
        </w:tc>
        <w:tc>
          <w:tcPr>
            <w:tcW w:w="9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Edward Dallin Bagley and Burbidge &amp; Mitchell, and amendment thereto (2)</w:t>
            </w:r>
          </w:p>
        </w:tc>
      </w:tr>
      <w:tr>
        <w:trPr>
          <w:trHeight w:val="216"/>
        </w:trPr>
        <w:tc>
          <w:tcPr>
            <w:tcW w:w="1520" w:type="dxa"/>
            <w:vAlign w:val="bottom"/>
          </w:tcPr>
          <w:p>
            <w:pPr>
              <w:jc w:val="center"/>
              <w:ind w:left="150"/>
              <w:spacing w:after="0"/>
              <w:rPr>
                <w:sz w:val="20"/>
                <w:szCs w:val="20"/>
                <w:color w:val="auto"/>
              </w:rPr>
            </w:pPr>
            <w:r>
              <w:rPr>
                <w:rFonts w:ascii="Arial" w:cs="Arial" w:eastAsia="Arial" w:hAnsi="Arial"/>
                <w:sz w:val="18"/>
                <w:szCs w:val="18"/>
                <w:color w:val="auto"/>
                <w:w w:val="91"/>
              </w:rPr>
              <w:t>10.4</w:t>
            </w:r>
          </w:p>
        </w:tc>
        <w:tc>
          <w:tcPr>
            <w:tcW w:w="9900" w:type="dxa"/>
            <w:vAlign w:val="bottom"/>
          </w:tcPr>
          <w:p>
            <w:pPr>
              <w:ind w:left="220"/>
              <w:spacing w:after="0"/>
              <w:rPr>
                <w:sz w:val="20"/>
                <w:szCs w:val="20"/>
                <w:color w:val="auto"/>
              </w:rPr>
            </w:pPr>
            <w:r>
              <w:rPr>
                <w:rFonts w:ascii="Arial" w:cs="Arial" w:eastAsia="Arial" w:hAnsi="Arial"/>
                <w:sz w:val="18"/>
                <w:szCs w:val="18"/>
                <w:color w:val="auto"/>
              </w:rPr>
              <w:t>1997 Employee Stock Purchase Plan (5)</w:t>
            </w:r>
          </w:p>
        </w:tc>
      </w:tr>
      <w:tr>
        <w:trPr>
          <w:trHeight w:val="216"/>
        </w:trPr>
        <w:tc>
          <w:tcPr>
            <w:tcW w:w="15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1"/>
              </w:rPr>
              <w:t>10.5</w:t>
            </w:r>
          </w:p>
        </w:tc>
        <w:tc>
          <w:tcPr>
            <w:tcW w:w="9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1998 Stock Option Plan (5)</w:t>
            </w:r>
          </w:p>
        </w:tc>
      </w:tr>
      <w:tr>
        <w:trPr>
          <w:trHeight w:val="216"/>
        </w:trPr>
        <w:tc>
          <w:tcPr>
            <w:tcW w:w="1520" w:type="dxa"/>
            <w:vAlign w:val="bottom"/>
          </w:tcPr>
          <w:p>
            <w:pPr>
              <w:jc w:val="center"/>
              <w:ind w:left="150"/>
              <w:spacing w:after="0"/>
              <w:rPr>
                <w:sz w:val="20"/>
                <w:szCs w:val="20"/>
                <w:color w:val="auto"/>
              </w:rPr>
            </w:pPr>
            <w:r>
              <w:rPr>
                <w:rFonts w:ascii="Arial" w:cs="Arial" w:eastAsia="Arial" w:hAnsi="Arial"/>
                <w:sz w:val="18"/>
                <w:szCs w:val="18"/>
                <w:color w:val="auto"/>
                <w:w w:val="91"/>
              </w:rPr>
              <w:t>10.6</w:t>
            </w:r>
          </w:p>
        </w:tc>
        <w:tc>
          <w:tcPr>
            <w:tcW w:w="9900" w:type="dxa"/>
            <w:vAlign w:val="bottom"/>
          </w:tcPr>
          <w:p>
            <w:pPr>
              <w:ind w:left="220"/>
              <w:spacing w:after="0"/>
              <w:rPr>
                <w:sz w:val="20"/>
                <w:szCs w:val="20"/>
                <w:color w:val="auto"/>
              </w:rPr>
            </w:pPr>
            <w:r>
              <w:rPr>
                <w:rFonts w:ascii="Arial" w:cs="Arial" w:eastAsia="Arial" w:hAnsi="Arial"/>
                <w:sz w:val="18"/>
                <w:szCs w:val="18"/>
                <w:color w:val="auto"/>
              </w:rPr>
              <w:t>2007 Equity Incentive Plan (8)</w:t>
            </w:r>
          </w:p>
        </w:tc>
      </w:tr>
      <w:tr>
        <w:trPr>
          <w:trHeight w:val="216"/>
        </w:trPr>
        <w:tc>
          <w:tcPr>
            <w:tcW w:w="15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1"/>
              </w:rPr>
              <w:t>10.7</w:t>
            </w:r>
          </w:p>
        </w:tc>
        <w:tc>
          <w:tcPr>
            <w:tcW w:w="9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Manufacturing Agreement between ClearOne Communications, Inc. and Inovar, Inc. dated August 1, 2005 (3)</w:t>
            </w:r>
          </w:p>
        </w:tc>
      </w:tr>
      <w:tr>
        <w:trPr>
          <w:trHeight w:val="216"/>
        </w:trPr>
        <w:tc>
          <w:tcPr>
            <w:tcW w:w="1520" w:type="dxa"/>
            <w:vAlign w:val="bottom"/>
          </w:tcPr>
          <w:p>
            <w:pPr>
              <w:jc w:val="center"/>
              <w:ind w:left="150"/>
              <w:spacing w:after="0"/>
              <w:rPr>
                <w:sz w:val="20"/>
                <w:szCs w:val="20"/>
                <w:color w:val="auto"/>
              </w:rPr>
            </w:pPr>
            <w:r>
              <w:rPr>
                <w:rFonts w:ascii="Arial" w:cs="Arial" w:eastAsia="Arial" w:hAnsi="Arial"/>
                <w:sz w:val="18"/>
                <w:szCs w:val="18"/>
                <w:color w:val="auto"/>
                <w:w w:val="91"/>
              </w:rPr>
              <w:t>10.8</w:t>
            </w:r>
          </w:p>
        </w:tc>
        <w:tc>
          <w:tcPr>
            <w:tcW w:w="9900" w:type="dxa"/>
            <w:vAlign w:val="bottom"/>
          </w:tcPr>
          <w:p>
            <w:pPr>
              <w:ind w:left="220"/>
              <w:spacing w:after="0"/>
              <w:rPr>
                <w:sz w:val="20"/>
                <w:szCs w:val="20"/>
                <w:color w:val="auto"/>
              </w:rPr>
            </w:pPr>
            <w:r>
              <w:rPr>
                <w:rFonts w:ascii="Arial" w:cs="Arial" w:eastAsia="Arial" w:hAnsi="Arial"/>
                <w:sz w:val="18"/>
                <w:szCs w:val="18"/>
                <w:color w:val="auto"/>
              </w:rPr>
              <w:t>Office Lease between Edgewater Corporate Park, LLC and ClearOne Communications, Inc. dated June 5, 2006 (4)</w:t>
            </w:r>
          </w:p>
        </w:tc>
      </w:tr>
      <w:tr>
        <w:trPr>
          <w:trHeight w:val="216"/>
        </w:trPr>
        <w:tc>
          <w:tcPr>
            <w:tcW w:w="15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1"/>
              </w:rPr>
              <w:t>10.9</w:t>
            </w:r>
          </w:p>
        </w:tc>
        <w:tc>
          <w:tcPr>
            <w:tcW w:w="9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Consulting Agreement between Edward D. Bagley and ClearOne Communications, Inc. dated July 6, 2007 (6)</w:t>
            </w:r>
          </w:p>
        </w:tc>
      </w:tr>
      <w:tr>
        <w:trPr>
          <w:trHeight w:val="216"/>
        </w:trPr>
        <w:tc>
          <w:tcPr>
            <w:tcW w:w="1520" w:type="dxa"/>
            <w:vAlign w:val="bottom"/>
          </w:tcPr>
          <w:p>
            <w:pPr>
              <w:jc w:val="center"/>
              <w:ind w:left="130"/>
              <w:spacing w:after="0"/>
              <w:rPr>
                <w:sz w:val="20"/>
                <w:szCs w:val="20"/>
                <w:color w:val="auto"/>
              </w:rPr>
            </w:pPr>
            <w:r>
              <w:rPr>
                <w:rFonts w:ascii="Arial" w:cs="Arial" w:eastAsia="Arial" w:hAnsi="Arial"/>
                <w:sz w:val="18"/>
                <w:szCs w:val="18"/>
                <w:color w:val="auto"/>
                <w:w w:val="93"/>
              </w:rPr>
              <w:t>10.10</w:t>
            </w:r>
          </w:p>
        </w:tc>
        <w:tc>
          <w:tcPr>
            <w:tcW w:w="9900" w:type="dxa"/>
            <w:vAlign w:val="bottom"/>
          </w:tcPr>
          <w:p>
            <w:pPr>
              <w:ind w:left="220"/>
              <w:spacing w:after="0"/>
              <w:rPr>
                <w:sz w:val="20"/>
                <w:szCs w:val="20"/>
                <w:color w:val="auto"/>
              </w:rPr>
            </w:pPr>
            <w:r>
              <w:rPr>
                <w:rFonts w:ascii="Arial" w:cs="Arial" w:eastAsia="Arial" w:hAnsi="Arial"/>
                <w:sz w:val="18"/>
                <w:szCs w:val="18"/>
                <w:color w:val="auto"/>
              </w:rPr>
              <w:t>Severance Agreement between ClearOne Communications, Inc. and Edward D. Bagley dated July 6, 2007* (6)</w:t>
            </w:r>
          </w:p>
        </w:tc>
      </w:tr>
      <w:tr>
        <w:trPr>
          <w:trHeight w:val="216"/>
        </w:trPr>
        <w:tc>
          <w:tcPr>
            <w:tcW w:w="15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10.11</w:t>
            </w:r>
          </w:p>
        </w:tc>
        <w:tc>
          <w:tcPr>
            <w:tcW w:w="9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Compromise Agreement between ClearOne Communications UK Limited and Martin Offwood dated August 13, 2007* (7)</w:t>
            </w:r>
          </w:p>
        </w:tc>
      </w:tr>
      <w:tr>
        <w:trPr>
          <w:trHeight w:val="216"/>
        </w:trPr>
        <w:tc>
          <w:tcPr>
            <w:tcW w:w="1520" w:type="dxa"/>
            <w:vAlign w:val="bottom"/>
          </w:tcPr>
          <w:p>
            <w:pPr>
              <w:jc w:val="center"/>
              <w:ind w:left="130"/>
              <w:spacing w:after="0"/>
              <w:rPr>
                <w:sz w:val="20"/>
                <w:szCs w:val="20"/>
                <w:color w:val="auto"/>
              </w:rPr>
            </w:pPr>
            <w:r>
              <w:rPr>
                <w:rFonts w:ascii="Arial" w:cs="Arial" w:eastAsia="Arial" w:hAnsi="Arial"/>
                <w:sz w:val="18"/>
                <w:szCs w:val="18"/>
                <w:color w:val="auto"/>
                <w:w w:val="93"/>
              </w:rPr>
              <w:t>10.12</w:t>
            </w:r>
          </w:p>
        </w:tc>
        <w:tc>
          <w:tcPr>
            <w:tcW w:w="9900" w:type="dxa"/>
            <w:vAlign w:val="bottom"/>
          </w:tcPr>
          <w:p>
            <w:pPr>
              <w:ind w:left="220"/>
              <w:spacing w:after="0"/>
              <w:rPr>
                <w:sz w:val="20"/>
                <w:szCs w:val="20"/>
                <w:color w:val="auto"/>
              </w:rPr>
            </w:pPr>
            <w:r>
              <w:rPr>
                <w:rFonts w:ascii="Arial" w:cs="Arial" w:eastAsia="Arial" w:hAnsi="Arial"/>
                <w:sz w:val="18"/>
                <w:szCs w:val="18"/>
                <w:color w:val="auto"/>
                <w:w w:val="93"/>
              </w:rPr>
              <w:t>Warehouse Lease Agreement between Woodenshoe Development and Clearone Communications, Inc. dated October 5, 2007 (7)</w:t>
            </w:r>
          </w:p>
        </w:tc>
      </w:tr>
      <w:tr>
        <w:trPr>
          <w:trHeight w:val="216"/>
        </w:trPr>
        <w:tc>
          <w:tcPr>
            <w:tcW w:w="15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10.13</w:t>
            </w:r>
          </w:p>
        </w:tc>
        <w:tc>
          <w:tcPr>
            <w:tcW w:w="99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Warehouse Lease Agreement between CB Center, LLC and ClearOne Communications, Inc. Dated October 13, 2008 (11)</w:t>
            </w:r>
          </w:p>
        </w:tc>
      </w:tr>
      <w:tr>
        <w:trPr>
          <w:trHeight w:val="230"/>
        </w:trPr>
        <w:tc>
          <w:tcPr>
            <w:tcW w:w="1520" w:type="dxa"/>
            <w:vAlign w:val="bottom"/>
          </w:tcPr>
          <w:p>
            <w:pPr>
              <w:jc w:val="center"/>
              <w:ind w:left="130"/>
              <w:spacing w:after="0"/>
              <w:rPr>
                <w:sz w:val="20"/>
                <w:szCs w:val="20"/>
                <w:color w:val="auto"/>
              </w:rPr>
            </w:pPr>
            <w:r>
              <w:rPr>
                <w:rFonts w:ascii="Arial" w:cs="Arial" w:eastAsia="Arial" w:hAnsi="Arial"/>
                <w:sz w:val="18"/>
                <w:szCs w:val="18"/>
                <w:color w:val="auto"/>
                <w:w w:val="93"/>
              </w:rPr>
              <w:t>10.20</w:t>
            </w:r>
          </w:p>
        </w:tc>
        <w:tc>
          <w:tcPr>
            <w:tcW w:w="9900" w:type="dxa"/>
            <w:vAlign w:val="bottom"/>
          </w:tcPr>
          <w:p>
            <w:pPr>
              <w:ind w:left="220"/>
              <w:spacing w:after="0"/>
              <w:rPr>
                <w:sz w:val="20"/>
                <w:szCs w:val="20"/>
                <w:color w:val="auto"/>
              </w:rPr>
            </w:pPr>
            <w:r>
              <w:rPr>
                <w:rFonts w:ascii="Arial" w:cs="Arial" w:eastAsia="Arial" w:hAnsi="Arial"/>
                <w:sz w:val="18"/>
                <w:szCs w:val="18"/>
                <w:color w:val="auto"/>
                <w:w w:val="92"/>
              </w:rPr>
              <w:t>Margin Loan Agreement between ClearOne Communications, Inc. and UBS Financial Services, Inc. dated September 10, 2008 (10)</w:t>
            </w:r>
          </w:p>
        </w:tc>
      </w:tr>
      <w:tr>
        <w:trPr>
          <w:trHeight w:val="593"/>
        </w:trPr>
        <w:tc>
          <w:tcPr>
            <w:tcW w:w="1520" w:type="dxa"/>
            <w:vAlign w:val="bottom"/>
          </w:tcPr>
          <w:p>
            <w:pPr>
              <w:spacing w:after="0"/>
              <w:rPr>
                <w:sz w:val="24"/>
                <w:szCs w:val="24"/>
                <w:color w:val="auto"/>
              </w:rPr>
            </w:pPr>
          </w:p>
        </w:tc>
        <w:tc>
          <w:tcPr>
            <w:tcW w:w="9900" w:type="dxa"/>
            <w:vAlign w:val="bottom"/>
          </w:tcPr>
          <w:p>
            <w:pPr>
              <w:ind w:left="4100"/>
              <w:spacing w:after="0"/>
              <w:rPr>
                <w:sz w:val="20"/>
                <w:szCs w:val="20"/>
                <w:color w:val="auto"/>
              </w:rPr>
            </w:pPr>
            <w:r>
              <w:rPr>
                <w:rFonts w:ascii="Arial" w:cs="Arial" w:eastAsia="Arial" w:hAnsi="Arial"/>
                <w:sz w:val="18"/>
                <w:szCs w:val="18"/>
                <w:color w:val="auto"/>
              </w:rPr>
              <w:t>30</w:t>
            </w:r>
          </w:p>
        </w:tc>
      </w:tr>
      <w:tr>
        <w:trPr>
          <w:trHeight w:val="118"/>
        </w:trPr>
        <w:tc>
          <w:tcPr>
            <w:tcW w:w="1520" w:type="dxa"/>
            <w:vAlign w:val="bottom"/>
            <w:tcBorders>
              <w:bottom w:val="single" w:sz="8" w:color="808080"/>
            </w:tcBorders>
          </w:tcPr>
          <w:p>
            <w:pPr>
              <w:spacing w:after="0"/>
              <w:rPr>
                <w:sz w:val="10"/>
                <w:szCs w:val="10"/>
                <w:color w:val="auto"/>
              </w:rPr>
            </w:pPr>
          </w:p>
        </w:tc>
        <w:tc>
          <w:tcPr>
            <w:tcW w:w="9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line="218" w:lineRule="auto"/>
        <w:framePr w:w="9360" w:h="376" w:wrap="auto" w:vAnchor="page" w:hAnchor="page" w:x="1940" w:y="1019"/>
        <w:rPr>
          <w:rFonts w:ascii="Arial" w:cs="Arial" w:eastAsia="Arial" w:hAnsi="Arial"/>
          <w:sz w:val="18"/>
          <w:szCs w:val="18"/>
          <w:color w:val="auto"/>
        </w:rPr>
      </w:pPr>
      <w:r>
        <w:rPr>
          <w:rFonts w:ascii="Arial" w:cs="Arial" w:eastAsia="Arial" w:hAnsi="Arial"/>
          <w:sz w:val="18"/>
          <w:szCs w:val="18"/>
          <w:color w:val="auto"/>
        </w:rPr>
        <w:t>Manufacturing Services Agreement between Flextronics Industrial, Ltd. and ClearOne Communications, Inc. dated November 3, 2008</w:t>
      </w:r>
    </w:p>
    <w:p>
      <w:pPr>
        <w:spacing w:after="0" w:line="218" w:lineRule="auto"/>
        <w:framePr w:w="9220" w:h="376" w:wrap="auto" w:vAnchor="page" w:hAnchor="page" w:x="1940" w:y="1452"/>
        <w:rPr>
          <w:rFonts w:ascii="Arial" w:cs="Arial" w:eastAsia="Arial" w:hAnsi="Arial"/>
          <w:sz w:val="18"/>
          <w:szCs w:val="18"/>
          <w:color w:val="auto"/>
        </w:rPr>
      </w:pPr>
      <w:r>
        <w:rPr>
          <w:rFonts w:ascii="Arial" w:cs="Arial" w:eastAsia="Arial" w:hAnsi="Arial"/>
          <w:sz w:val="18"/>
          <w:szCs w:val="18"/>
          <w:color w:val="auto"/>
        </w:rPr>
        <w:t>Settlement and Release Agreement between ClearOne Communications, Inc. and Edward Dallin Bagley dated October 7, 2009 Code of Ethics, approved by the Board of Directors on August 23, 2006 (4)</w:t>
      </w:r>
    </w:p>
    <w:p>
      <w:pPr>
        <w:spacing w:after="0" w:line="209" w:lineRule="auto"/>
        <w:framePr w:w="2140" w:h="160" w:wrap="auto" w:vAnchor="page" w:hAnchor="page" w:x="1940" w:y="1884"/>
        <w:rPr>
          <w:rFonts w:ascii="Arial" w:cs="Arial" w:eastAsia="Arial" w:hAnsi="Arial"/>
          <w:sz w:val="16"/>
          <w:szCs w:val="16"/>
          <w:color w:val="auto"/>
        </w:rPr>
      </w:pPr>
      <w:r>
        <w:rPr>
          <w:rFonts w:ascii="Arial" w:cs="Arial" w:eastAsia="Arial" w:hAnsi="Arial"/>
          <w:sz w:val="16"/>
          <w:szCs w:val="16"/>
          <w:color w:val="auto"/>
        </w:rPr>
        <w:t>Subsidiaries of the registrant</w:t>
      </w:r>
    </w:p>
    <w:p>
      <w:pPr>
        <w:spacing w:after="0" w:line="218" w:lineRule="auto"/>
        <w:framePr w:w="6340" w:h="376" w:wrap="auto" w:vAnchor="page" w:hAnchor="page" w:x="1940" w:y="2100"/>
        <w:rPr>
          <w:rFonts w:ascii="Arial" w:cs="Arial" w:eastAsia="Arial" w:hAnsi="Arial"/>
          <w:sz w:val="18"/>
          <w:szCs w:val="18"/>
          <w:color w:val="auto"/>
        </w:rPr>
      </w:pPr>
      <w:r>
        <w:rPr>
          <w:rFonts w:ascii="Arial" w:cs="Arial" w:eastAsia="Arial" w:hAnsi="Arial"/>
          <w:sz w:val="18"/>
          <w:szCs w:val="18"/>
          <w:color w:val="auto"/>
        </w:rPr>
        <w:t>Consent of Jones Simkins P.C., independent auditors for the year ending June 30, 2009 Section 302 Certification of Chief Executive Officer</w:t>
      </w:r>
    </w:p>
    <w:p>
      <w:pPr>
        <w:spacing w:after="0" w:line="209" w:lineRule="auto"/>
        <w:framePr w:w="3800" w:h="160" w:wrap="auto" w:vAnchor="page" w:hAnchor="page" w:x="1940" w:y="2532"/>
        <w:rPr>
          <w:rFonts w:ascii="Arial" w:cs="Arial" w:eastAsia="Arial" w:hAnsi="Arial"/>
          <w:sz w:val="16"/>
          <w:szCs w:val="16"/>
          <w:color w:val="auto"/>
        </w:rPr>
      </w:pPr>
      <w:r>
        <w:rPr>
          <w:rFonts w:ascii="Arial" w:cs="Arial" w:eastAsia="Arial" w:hAnsi="Arial"/>
          <w:sz w:val="16"/>
          <w:szCs w:val="16"/>
          <w:color w:val="auto"/>
        </w:rPr>
        <w:t>Section 302 Certification of Chief Financial Officer</w:t>
      </w:r>
    </w:p>
    <w:p>
      <w:pPr>
        <w:spacing w:after="0" w:line="209" w:lineRule="auto"/>
        <w:framePr w:w="3860" w:h="160" w:wrap="auto" w:vAnchor="page" w:hAnchor="page" w:x="1940" w:y="2748"/>
        <w:rPr>
          <w:rFonts w:ascii="Arial" w:cs="Arial" w:eastAsia="Arial" w:hAnsi="Arial"/>
          <w:sz w:val="16"/>
          <w:szCs w:val="16"/>
          <w:color w:val="auto"/>
        </w:rPr>
      </w:pPr>
      <w:r>
        <w:rPr>
          <w:rFonts w:ascii="Arial" w:cs="Arial" w:eastAsia="Arial" w:hAnsi="Arial"/>
          <w:sz w:val="16"/>
          <w:szCs w:val="16"/>
          <w:color w:val="auto"/>
        </w:rPr>
        <w:t>Section 906 Certification of Chief Executive Officer</w:t>
      </w:r>
    </w:p>
    <w:p>
      <w:pPr>
        <w:spacing w:after="0" w:line="209" w:lineRule="auto"/>
        <w:framePr w:w="3800" w:h="160" w:wrap="auto" w:vAnchor="page" w:hAnchor="page" w:x="1940" w:y="2964"/>
        <w:rPr>
          <w:rFonts w:ascii="Arial" w:cs="Arial" w:eastAsia="Arial" w:hAnsi="Arial"/>
          <w:sz w:val="16"/>
          <w:szCs w:val="16"/>
          <w:color w:val="auto"/>
        </w:rPr>
      </w:pPr>
      <w:r>
        <w:rPr>
          <w:rFonts w:ascii="Arial" w:cs="Arial" w:eastAsia="Arial" w:hAnsi="Arial"/>
          <w:sz w:val="16"/>
          <w:szCs w:val="16"/>
          <w:color w:val="auto"/>
        </w:rPr>
        <w:t>Section 906 Certification of Chief Financial Officer</w:t>
      </w:r>
    </w:p>
    <w:p>
      <w:pPr>
        <w:ind w:left="660"/>
        <w:spacing w:after="0"/>
        <w:rPr>
          <w:sz w:val="20"/>
          <w:szCs w:val="20"/>
          <w:color w:val="auto"/>
        </w:rPr>
      </w:pPr>
      <w:r>
        <w:rPr>
          <w:rFonts w:ascii="Arial" w:cs="Arial" w:eastAsia="Arial" w:hAnsi="Arial"/>
          <w:sz w:val="18"/>
          <w:szCs w:val="18"/>
          <w:u w:val="single" w:color="auto"/>
          <w:color w:val="0000EE"/>
        </w:rPr>
        <w:t>10.21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40"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u w:val="single" w:color="auto"/>
          <w:color w:val="0000EE"/>
        </w:rPr>
        <w:t>10.22</w:t>
      </w:r>
    </w:p>
    <w:p>
      <w:pPr>
        <w:ind w:left="720"/>
        <w:spacing w:after="0"/>
        <w:rPr>
          <w:sz w:val="20"/>
          <w:szCs w:val="20"/>
          <w:color w:val="auto"/>
        </w:rPr>
      </w:pPr>
      <w:r>
        <w:rPr>
          <w:rFonts w:ascii="Arial" w:cs="Arial" w:eastAsia="Arial" w:hAnsi="Arial"/>
          <w:sz w:val="18"/>
          <w:szCs w:val="18"/>
          <w:color w:val="auto"/>
        </w:rPr>
        <w:t>14.1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u w:val="single" w:color="auto"/>
          <w:color w:val="0000EE"/>
        </w:rPr>
        <w:t>21.1</w:t>
      </w:r>
    </w:p>
    <w:p>
      <w:pPr>
        <w:spacing w:after="0" w:line="9" w:lineRule="exact"/>
        <w:rPr>
          <w:rFonts w:ascii="Arial" w:cs="Arial" w:eastAsia="Arial" w:hAnsi="Arial"/>
          <w:sz w:val="16"/>
          <w:szCs w:val="16"/>
          <w:color w:val="auto"/>
        </w:rPr>
      </w:pPr>
    </w:p>
    <w:p>
      <w:pPr>
        <w:ind w:left="720"/>
        <w:spacing w:after="0"/>
        <w:rPr>
          <w:sz w:val="20"/>
          <w:szCs w:val="20"/>
          <w:color w:val="auto"/>
        </w:rPr>
      </w:pPr>
      <w:r>
        <w:rPr>
          <w:rFonts w:ascii="Arial" w:cs="Arial" w:eastAsia="Arial" w:hAnsi="Arial"/>
          <w:sz w:val="18"/>
          <w:szCs w:val="18"/>
          <w:u w:val="single" w:color="auto"/>
          <w:color w:val="0000EE"/>
        </w:rPr>
        <w:t>23.1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u w:val="single" w:color="auto"/>
          <w:color w:val="0000EE"/>
        </w:rPr>
        <w:t>31.1</w:t>
      </w:r>
    </w:p>
    <w:p>
      <w:pPr>
        <w:spacing w:after="0" w:line="9" w:lineRule="exact"/>
        <w:rPr>
          <w:rFonts w:ascii="Arial" w:cs="Arial" w:eastAsia="Arial" w:hAnsi="Arial"/>
          <w:sz w:val="16"/>
          <w:szCs w:val="16"/>
          <w:color w:val="auto"/>
        </w:rPr>
      </w:pPr>
    </w:p>
    <w:p>
      <w:pPr>
        <w:ind w:left="720"/>
        <w:spacing w:after="0"/>
        <w:rPr>
          <w:sz w:val="20"/>
          <w:szCs w:val="20"/>
          <w:color w:val="auto"/>
        </w:rPr>
      </w:pPr>
      <w:r>
        <w:rPr>
          <w:rFonts w:ascii="Arial" w:cs="Arial" w:eastAsia="Arial" w:hAnsi="Arial"/>
          <w:sz w:val="18"/>
          <w:szCs w:val="18"/>
          <w:u w:val="single" w:color="auto"/>
          <w:color w:val="0000EE"/>
        </w:rPr>
        <w:t>31.2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u w:val="single" w:color="auto"/>
          <w:color w:val="0000EE"/>
        </w:rPr>
        <w:t>32.1</w:t>
      </w:r>
    </w:p>
    <w:p>
      <w:pPr>
        <w:spacing w:after="0" w:line="9" w:lineRule="exact"/>
        <w:rPr>
          <w:rFonts w:ascii="Arial" w:cs="Arial" w:eastAsia="Arial" w:hAnsi="Arial"/>
          <w:sz w:val="16"/>
          <w:szCs w:val="16"/>
          <w:color w:val="auto"/>
        </w:rPr>
      </w:pPr>
    </w:p>
    <w:p>
      <w:pPr>
        <w:ind w:left="720"/>
        <w:spacing w:after="0"/>
        <w:rPr>
          <w:sz w:val="20"/>
          <w:szCs w:val="20"/>
          <w:color w:val="auto"/>
        </w:rPr>
      </w:pPr>
      <w:r>
        <w:rPr>
          <w:rFonts w:ascii="Arial" w:cs="Arial" w:eastAsia="Arial" w:hAnsi="Arial"/>
          <w:sz w:val="18"/>
          <w:szCs w:val="18"/>
          <w:u w:val="single" w:color="auto"/>
          <w:color w:val="0000EE"/>
        </w:rPr>
        <w:t>32.2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w:t>
      </w:r>
    </w:p>
    <w:p>
      <w:pPr>
        <w:spacing w:after="0" w:line="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21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Incorporated by reference to the Registrant’s registration statement on Form S-3/A filed with the SEC on November 1, 2002.</w:t>
      </w:r>
    </w:p>
    <w:p>
      <w:pPr>
        <w:spacing w:after="0" w:line="183"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Incorporated by reference to the Registrant’s Annual Report on Form 10-K for the fiscal year ended June 30, 2003.</w:t>
      </w:r>
    </w:p>
    <w:p>
      <w:pPr>
        <w:spacing w:after="0" w:line="183"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Incorporated by reference to the Registrant’s Annual Report on Form 10-K for the fiscal year ended June 30, 2004.</w:t>
      </w:r>
    </w:p>
    <w:p>
      <w:pPr>
        <w:spacing w:after="0" w:line="183"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Incorporated by reference to the Registrant’s Annual Report on Form 10-K for the fiscal year ended June 30, 2006.</w:t>
      </w:r>
    </w:p>
    <w:p>
      <w:pPr>
        <w:spacing w:after="0" w:line="183"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Incorporated by reference to the Registrant’s registration statement on form S-8 filed with the SEC on October 6, 2006.</w:t>
      </w:r>
    </w:p>
    <w:p>
      <w:pPr>
        <w:spacing w:after="0" w:line="183"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Incorporated by reference to the Registrant’s Annual Report on Form 10-K for the fiscal year ended June 30, 2007.</w:t>
      </w:r>
    </w:p>
    <w:p>
      <w:pPr>
        <w:spacing w:after="0" w:line="206"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Incorporated by reference to the Registrant’s Quarterly Report on Form 10-Q for the quarter ended September 30, 2007.</w:t>
      </w:r>
    </w:p>
    <w:p>
      <w:pPr>
        <w:spacing w:after="0" w:line="183" w:lineRule="exact"/>
        <w:rPr>
          <w:rFonts w:ascii="Arial" w:cs="Arial" w:eastAsia="Arial" w:hAnsi="Arial"/>
          <w:sz w:val="16"/>
          <w:szCs w:val="16"/>
          <w:color w:val="auto"/>
        </w:rPr>
      </w:pPr>
    </w:p>
    <w:p>
      <w:pPr>
        <w:ind w:left="220" w:hanging="212"/>
        <w:spacing w:after="0"/>
        <w:tabs>
          <w:tab w:leader="none" w:pos="22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Incorporated by reference to the Registrant’s registration statement on Form S-8 filed with the SEC on January 22, 2008.</w:t>
      </w:r>
    </w:p>
    <w:p>
      <w:pPr>
        <w:spacing w:after="0" w:line="183"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Incorporated by reference to the Registrant’s Annual Report on Form 10-K for the fiscal year ended June 30, 2008.</w:t>
      </w:r>
    </w:p>
    <w:p>
      <w:pPr>
        <w:spacing w:after="0" w:line="183"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Incorporated by reference to the Registrant’s Current Report on Form 8-K filed with the SEC on September 11, 2008.</w:t>
      </w:r>
    </w:p>
    <w:p>
      <w:pPr>
        <w:spacing w:after="0" w:line="206"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Incorporated by reference to the Registrant’s Quarterly Report on Form 10-Q for the quarter ended September 30, 2008.</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6020" w:val="left"/>
          <w:tab w:leader="none" w:pos="6620" w:val="left"/>
        </w:tabs>
        <w:rPr>
          <w:sz w:val="20"/>
          <w:szCs w:val="20"/>
          <w:color w:val="auto"/>
        </w:rPr>
      </w:pPr>
      <w:r>
        <w:rPr>
          <w:rFonts w:ascii="Arial" w:cs="Arial" w:eastAsia="Arial" w:hAnsi="Arial"/>
          <w:sz w:val="18"/>
          <w:szCs w:val="18"/>
          <w:color w:val="auto"/>
        </w:rPr>
        <w:t>October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Chief Executive Officer, and Chairman</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Signature</w:t>
            </w:r>
          </w:p>
        </w:tc>
        <w:tc>
          <w:tcPr>
            <w:tcW w:w="4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Title</w:t>
            </w:r>
          </w:p>
        </w:tc>
        <w:tc>
          <w:tcPr>
            <w:tcW w:w="30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Date</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/s/ Zeynep Hakimoglu</w:t>
            </w:r>
          </w:p>
        </w:tc>
        <w:tc>
          <w:tcPr>
            <w:tcW w:w="4600" w:type="dxa"/>
            <w:vAlign w:val="bottom"/>
          </w:tcPr>
          <w:p>
            <w:pPr>
              <w:jc w:val="center"/>
              <w:ind w:right="250"/>
              <w:spacing w:after="0"/>
              <w:rPr>
                <w:sz w:val="20"/>
                <w:szCs w:val="20"/>
                <w:color w:val="auto"/>
              </w:rPr>
            </w:pPr>
            <w:r>
              <w:rPr>
                <w:rFonts w:ascii="Arial" w:cs="Arial" w:eastAsia="Arial" w:hAnsi="Arial"/>
                <w:sz w:val="18"/>
                <w:szCs w:val="18"/>
                <w:color w:val="auto"/>
                <w:w w:val="91"/>
              </w:rPr>
              <w:t>President, Chief Executive Officer, and Chairman</w:t>
            </w:r>
          </w:p>
        </w:tc>
        <w:tc>
          <w:tcPr>
            <w:tcW w:w="3000" w:type="dxa"/>
            <w:vAlign w:val="bottom"/>
          </w:tcPr>
          <w:p>
            <w:pPr>
              <w:jc w:val="center"/>
              <w:ind w:right="250"/>
              <w:spacing w:after="0"/>
              <w:rPr>
                <w:sz w:val="20"/>
                <w:szCs w:val="20"/>
                <w:color w:val="auto"/>
              </w:rPr>
            </w:pPr>
            <w:r>
              <w:rPr>
                <w:rFonts w:ascii="Arial" w:cs="Arial" w:eastAsia="Arial" w:hAnsi="Arial"/>
                <w:sz w:val="18"/>
                <w:szCs w:val="18"/>
                <w:color w:val="auto"/>
                <w:w w:val="90"/>
              </w:rPr>
              <w:t>October 13, 2009</w:t>
            </w:r>
          </w:p>
        </w:tc>
      </w:tr>
      <w:tr>
        <w:trPr>
          <w:trHeight w:val="237"/>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Zeynep Hakimoglu</w:t>
            </w:r>
          </w:p>
        </w:tc>
        <w:tc>
          <w:tcPr>
            <w:tcW w:w="46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4600" w:type="dxa"/>
            <w:vAlign w:val="bottom"/>
          </w:tcPr>
          <w:p>
            <w:pPr>
              <w:jc w:val="center"/>
              <w:ind w:right="250"/>
              <w:spacing w:after="0"/>
              <w:rPr>
                <w:sz w:val="20"/>
                <w:szCs w:val="20"/>
                <w:color w:val="auto"/>
              </w:rPr>
            </w:pPr>
            <w:r>
              <w:rPr>
                <w:rFonts w:ascii="Arial" w:cs="Arial" w:eastAsia="Arial" w:hAnsi="Arial"/>
                <w:sz w:val="18"/>
                <w:szCs w:val="18"/>
                <w:color w:val="auto"/>
                <w:w w:val="94"/>
              </w:rPr>
              <w:t>(Principal Executive Officer)</w:t>
            </w:r>
          </w:p>
        </w:tc>
        <w:tc>
          <w:tcPr>
            <w:tcW w:w="3000" w:type="dxa"/>
            <w:vAlign w:val="bottom"/>
          </w:tcPr>
          <w:p>
            <w:pPr>
              <w:spacing w:after="0"/>
              <w:rPr>
                <w:sz w:val="18"/>
                <w:szCs w:val="18"/>
                <w:color w:val="auto"/>
              </w:rPr>
            </w:pPr>
          </w:p>
        </w:tc>
      </w:tr>
      <w:tr>
        <w:trPr>
          <w:trHeight w:val="439"/>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Narsi Narayanan</w:t>
            </w:r>
          </w:p>
        </w:tc>
        <w:tc>
          <w:tcPr>
            <w:tcW w:w="4600" w:type="dxa"/>
            <w:vAlign w:val="bottom"/>
          </w:tcPr>
          <w:p>
            <w:pPr>
              <w:jc w:val="center"/>
              <w:ind w:right="250"/>
              <w:spacing w:after="0"/>
              <w:rPr>
                <w:sz w:val="20"/>
                <w:szCs w:val="20"/>
                <w:color w:val="auto"/>
              </w:rPr>
            </w:pPr>
            <w:r>
              <w:rPr>
                <w:rFonts w:ascii="Arial" w:cs="Arial" w:eastAsia="Arial" w:hAnsi="Arial"/>
                <w:sz w:val="18"/>
                <w:szCs w:val="18"/>
                <w:color w:val="auto"/>
                <w:w w:val="90"/>
              </w:rPr>
              <w:t>Vice President of Finance</w:t>
            </w:r>
          </w:p>
        </w:tc>
        <w:tc>
          <w:tcPr>
            <w:tcW w:w="3000" w:type="dxa"/>
            <w:vAlign w:val="bottom"/>
          </w:tcPr>
          <w:p>
            <w:pPr>
              <w:jc w:val="center"/>
              <w:ind w:right="250"/>
              <w:spacing w:after="0"/>
              <w:rPr>
                <w:sz w:val="20"/>
                <w:szCs w:val="20"/>
                <w:color w:val="auto"/>
              </w:rPr>
            </w:pPr>
            <w:r>
              <w:rPr>
                <w:rFonts w:ascii="Arial" w:cs="Arial" w:eastAsia="Arial" w:hAnsi="Arial"/>
                <w:sz w:val="18"/>
                <w:szCs w:val="18"/>
                <w:color w:val="auto"/>
                <w:w w:val="90"/>
              </w:rPr>
              <w:t>October 13, 2009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Narsi Narayanan</w:t>
            </w:r>
          </w:p>
        </w:tc>
        <w:tc>
          <w:tcPr>
            <w:tcW w:w="4600" w:type="dxa"/>
            <w:vAlign w:val="bottom"/>
          </w:tcPr>
          <w:p>
            <w:pPr>
              <w:jc w:val="center"/>
              <w:ind w:right="270"/>
              <w:spacing w:after="0"/>
              <w:rPr>
                <w:sz w:val="20"/>
                <w:szCs w:val="20"/>
                <w:color w:val="auto"/>
              </w:rPr>
            </w:pPr>
            <w:r>
              <w:rPr>
                <w:rFonts w:ascii="Arial" w:cs="Arial" w:eastAsia="Arial" w:hAnsi="Arial"/>
                <w:sz w:val="18"/>
                <w:szCs w:val="18"/>
                <w:color w:val="auto"/>
                <w:w w:val="93"/>
              </w:rPr>
              <w:t>(Principal Financial and Accounting Officer)</w:t>
            </w:r>
          </w:p>
        </w:tc>
        <w:tc>
          <w:tcPr>
            <w:tcW w:w="300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R. Baldwin</w:t>
            </w:r>
          </w:p>
        </w:tc>
        <w:tc>
          <w:tcPr>
            <w:tcW w:w="460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3000" w:type="dxa"/>
            <w:vAlign w:val="bottom"/>
          </w:tcPr>
          <w:p>
            <w:pPr>
              <w:jc w:val="center"/>
              <w:ind w:right="250"/>
              <w:spacing w:after="0"/>
              <w:rPr>
                <w:sz w:val="20"/>
                <w:szCs w:val="20"/>
                <w:color w:val="auto"/>
              </w:rPr>
            </w:pPr>
            <w:r>
              <w:rPr>
                <w:rFonts w:ascii="Arial" w:cs="Arial" w:eastAsia="Arial" w:hAnsi="Arial"/>
                <w:sz w:val="18"/>
                <w:szCs w:val="18"/>
                <w:color w:val="auto"/>
                <w:w w:val="90"/>
              </w:rPr>
              <w:t>October 13, 2009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Brad R. Baldwin</w:t>
            </w:r>
          </w:p>
        </w:tc>
        <w:tc>
          <w:tcPr>
            <w:tcW w:w="46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R. Hendricks</w:t>
            </w:r>
          </w:p>
        </w:tc>
        <w:tc>
          <w:tcPr>
            <w:tcW w:w="460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3000" w:type="dxa"/>
            <w:vAlign w:val="bottom"/>
          </w:tcPr>
          <w:p>
            <w:pPr>
              <w:jc w:val="center"/>
              <w:ind w:right="250"/>
              <w:spacing w:after="0"/>
              <w:rPr>
                <w:sz w:val="20"/>
                <w:szCs w:val="20"/>
                <w:color w:val="auto"/>
              </w:rPr>
            </w:pPr>
            <w:r>
              <w:rPr>
                <w:rFonts w:ascii="Arial" w:cs="Arial" w:eastAsia="Arial" w:hAnsi="Arial"/>
                <w:sz w:val="18"/>
                <w:szCs w:val="18"/>
                <w:color w:val="auto"/>
                <w:w w:val="90"/>
              </w:rPr>
              <w:t>October 13, 2009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Larry R. Hendricks</w:t>
            </w:r>
          </w:p>
        </w:tc>
        <w:tc>
          <w:tcPr>
            <w:tcW w:w="46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Huntsman</w:t>
            </w:r>
          </w:p>
        </w:tc>
        <w:tc>
          <w:tcPr>
            <w:tcW w:w="460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3000" w:type="dxa"/>
            <w:vAlign w:val="bottom"/>
          </w:tcPr>
          <w:p>
            <w:pPr>
              <w:jc w:val="center"/>
              <w:ind w:right="250"/>
              <w:spacing w:after="0"/>
              <w:rPr>
                <w:sz w:val="20"/>
                <w:szCs w:val="20"/>
                <w:color w:val="auto"/>
              </w:rPr>
            </w:pPr>
            <w:r>
              <w:rPr>
                <w:rFonts w:ascii="Arial" w:cs="Arial" w:eastAsia="Arial" w:hAnsi="Arial"/>
                <w:sz w:val="18"/>
                <w:szCs w:val="18"/>
                <w:color w:val="auto"/>
                <w:w w:val="90"/>
              </w:rPr>
              <w:t>October 13, 2009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Scott M. Huntsman</w:t>
            </w:r>
          </w:p>
        </w:tc>
        <w:tc>
          <w:tcPr>
            <w:tcW w:w="46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836"/>
        </w:trPr>
        <w:tc>
          <w:tcPr>
            <w:tcW w:w="3820" w:type="dxa"/>
            <w:vAlign w:val="bottom"/>
          </w:tcPr>
          <w:p>
            <w:pPr>
              <w:spacing w:after="0"/>
              <w:rPr>
                <w:sz w:val="24"/>
                <w:szCs w:val="24"/>
                <w:color w:val="auto"/>
              </w:rPr>
            </w:pPr>
          </w:p>
        </w:tc>
        <w:tc>
          <w:tcPr>
            <w:tcW w:w="4600" w:type="dxa"/>
            <w:vAlign w:val="bottom"/>
          </w:tcPr>
          <w:p>
            <w:pPr>
              <w:jc w:val="right"/>
              <w:ind w:right="2530"/>
              <w:spacing w:after="0"/>
              <w:rPr>
                <w:sz w:val="20"/>
                <w:szCs w:val="20"/>
                <w:color w:val="auto"/>
              </w:rPr>
            </w:pPr>
            <w:r>
              <w:rPr>
                <w:rFonts w:ascii="Arial" w:cs="Arial" w:eastAsia="Arial" w:hAnsi="Arial"/>
                <w:sz w:val="18"/>
                <w:szCs w:val="18"/>
                <w:color w:val="auto"/>
              </w:rPr>
              <w:t>32</w:t>
            </w:r>
          </w:p>
        </w:tc>
        <w:tc>
          <w:tcPr>
            <w:tcW w:w="3000" w:type="dxa"/>
            <w:vAlign w:val="bottom"/>
          </w:tcPr>
          <w:p>
            <w:pPr>
              <w:spacing w:after="0"/>
              <w:rPr>
                <w:sz w:val="24"/>
                <w:szCs w:val="24"/>
                <w:color w:val="auto"/>
              </w:rPr>
            </w:pPr>
          </w:p>
        </w:tc>
      </w:tr>
      <w:tr>
        <w:trPr>
          <w:trHeight w:val="118"/>
        </w:trPr>
        <w:tc>
          <w:tcPr>
            <w:tcW w:w="3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55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1860" w:type="dxa"/>
            <w:vAlign w:val="bottom"/>
            <w:gridSpan w:val="5"/>
          </w:tcPr>
          <w:p>
            <w:pPr>
              <w:jc w:val="center"/>
              <w:ind w:left="105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Report of Independent Registered Public Accounting Firm – Jones Simkins, P.C.</w:t>
            </w:r>
          </w:p>
        </w:tc>
        <w:tc>
          <w:tcPr>
            <w:tcW w:w="1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center"/>
              <w:ind w:right="240"/>
              <w:spacing w:after="0" w:line="17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F-2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40" w:type="dxa"/>
            <w:vAlign w:val="bottom"/>
            <w:gridSpan w:val="3"/>
          </w:tcPr>
          <w:p>
            <w:pPr>
              <w:spacing w:after="0" w:line="176" w:lineRule="exact"/>
              <w:rPr>
                <w:sz w:val="20"/>
                <w:szCs w:val="20"/>
                <w:color w:val="auto"/>
              </w:rPr>
            </w:pPr>
            <w:r>
              <w:rPr>
                <w:rFonts w:ascii="Arial" w:cs="Arial" w:eastAsia="Arial" w:hAnsi="Arial"/>
                <w:sz w:val="18"/>
                <w:szCs w:val="18"/>
                <w:color w:val="auto"/>
              </w:rPr>
              <w:t>Consolidated Balance Sheets as of June 30, 2009 and 2008</w:t>
            </w: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3"/>
          </w:tcPr>
          <w:p>
            <w:pPr>
              <w:jc w:val="center"/>
              <w:ind w:right="240"/>
              <w:spacing w:after="0" w:line="17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F-3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Operations and Comprehensive Income for fiscal years ended June 30, 2009 and 2008</w:t>
            </w:r>
          </w:p>
        </w:tc>
        <w:tc>
          <w:tcPr>
            <w:tcW w:w="1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center"/>
              <w:ind w:right="240"/>
              <w:spacing w:after="0" w:line="17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F-4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40" w:type="dxa"/>
            <w:vAlign w:val="bottom"/>
            <w:gridSpan w:val="3"/>
          </w:tcPr>
          <w:p>
            <w:pPr>
              <w:spacing w:after="0" w:line="176" w:lineRule="exact"/>
              <w:rPr>
                <w:sz w:val="20"/>
                <w:szCs w:val="20"/>
                <w:color w:val="auto"/>
              </w:rPr>
            </w:pPr>
            <w:r>
              <w:rPr>
                <w:rFonts w:ascii="Arial" w:cs="Arial" w:eastAsia="Arial" w:hAnsi="Arial"/>
                <w:sz w:val="18"/>
                <w:szCs w:val="18"/>
                <w:color w:val="auto"/>
              </w:rPr>
              <w:t>Consolidated Statements of Shareholders' Equity for fiscal years ended June 30, 2009 and 2008</w:t>
            </w: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3"/>
          </w:tcPr>
          <w:p>
            <w:pPr>
              <w:jc w:val="center"/>
              <w:ind w:right="240"/>
              <w:spacing w:after="0" w:line="17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F-5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Cash Flows for fiscal years ended June 30, 2009 and 2008</w:t>
            </w:r>
          </w:p>
        </w:tc>
        <w:tc>
          <w:tcPr>
            <w:tcW w:w="1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center"/>
              <w:ind w:right="240"/>
              <w:spacing w:after="0" w:line="17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F-6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40" w:type="dxa"/>
            <w:vAlign w:val="bottom"/>
            <w:gridSpan w:val="3"/>
          </w:tcPr>
          <w:p>
            <w:pPr>
              <w:spacing w:after="0" w:line="176" w:lineRule="exact"/>
              <w:rPr>
                <w:sz w:val="20"/>
                <w:szCs w:val="20"/>
                <w:color w:val="auto"/>
              </w:rPr>
            </w:pPr>
            <w:r>
              <w:rPr>
                <w:rFonts w:ascii="Arial" w:cs="Arial" w:eastAsia="Arial" w:hAnsi="Arial"/>
                <w:sz w:val="18"/>
                <w:szCs w:val="18"/>
                <w:color w:val="auto"/>
              </w:rPr>
              <w:t>Notes to Consolidated Financial Statements</w:t>
            </w: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3"/>
          </w:tcPr>
          <w:p>
            <w:pPr>
              <w:jc w:val="center"/>
              <w:ind w:right="240"/>
              <w:spacing w:after="0" w:line="17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F-8</w:t>
              </w:r>
            </w:hyperlink>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520" w:type="dxa"/>
            <w:vAlign w:val="bottom"/>
            <w:gridSpan w:val="2"/>
          </w:tcPr>
          <w:p>
            <w:pPr>
              <w:jc w:val="center"/>
              <w:ind w:right="2180"/>
              <w:spacing w:after="0"/>
              <w:rPr>
                <w:sz w:val="20"/>
                <w:szCs w:val="20"/>
                <w:color w:val="auto"/>
              </w:rPr>
            </w:pPr>
            <w:r>
              <w:rPr>
                <w:rFonts w:ascii="Arial" w:cs="Arial" w:eastAsia="Arial" w:hAnsi="Arial"/>
                <w:sz w:val="18"/>
                <w:szCs w:val="18"/>
                <w:color w:val="auto"/>
                <w:w w:val="96"/>
              </w:rPr>
              <w:t>F-1</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Communications, Inc.</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audited the accompanying consolidated balance sheets of ClearOne Communications, Inc. and subsidiaries (the Company) as of June 30, 2009 and 2008, and the related consolidated statements of operations and comprehensive income, shareholders’ equity, and cash flows for the years ended June 30, 2009 and 2008. The Company’s management is responsible for these financial statements. Our responsibility is to express an opinion on these financial statements based on our audits.</w:t>
      </w: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ClearOne Communications, Inc. and subsidiaries as of June 30, 2009 and 2008, and the results of its operations and its cash flows for the years ended June 30, 2009 and 2008 in conformity with accounting principles generally accepted in the United States of America.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Jones Simkins,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13, 2009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37" w:name="page38"/>
    <w:bookmarkEnd w:id="37"/>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BALANCE SHEETS (in thousands of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Pr>
          <w:p>
            <w:pPr>
              <w:jc w:val="center"/>
              <w:ind w:right="10"/>
              <w:spacing w:after="0" w:line="201" w:lineRule="exact"/>
              <w:rPr>
                <w:sz w:val="20"/>
                <w:szCs w:val="20"/>
                <w:color w:val="auto"/>
              </w:rPr>
            </w:pPr>
            <w:r>
              <w:rPr>
                <w:rFonts w:ascii="Arial" w:cs="Arial" w:eastAsia="Arial" w:hAnsi="Arial"/>
                <w:sz w:val="18"/>
                <w:szCs w:val="18"/>
                <w:b w:val="1"/>
                <w:bCs w:val="1"/>
                <w:color w:val="auto"/>
                <w:w w:val="94"/>
              </w:rPr>
              <w:t>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net of allowance for doubtful accounts of $103 and $87, respectively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Deposit, bond for preliminary injunction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Long-term inventory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asset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40,853</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89"/>
              </w:rPr>
              <w:t>Common stock, par value $0.001, 50,000,000 shares authorized,8,928,802 and 10,228,902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and outstanding,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(10,145)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28,486</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40,853</w:t>
            </w:r>
          </w:p>
        </w:tc>
        <w:tc>
          <w:tcPr>
            <w:tcW w:w="12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44,970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756" w:right="1379" w:bottom="1440" w:gutter="0" w:footer="0" w:header="0"/>
        </w:sectPr>
      </w:pPr>
    </w:p>
    <w:bookmarkStart w:id="38" w:name="page39"/>
    <w:bookmarkEnd w:id="38"/>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STATEMENTS OF OPERATIONS AND COMPREHENSIVE INCOME (in thousands of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0"/>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settlement proceeds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17,601</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21,412</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disposal of discontinued operations, net of taxes of $9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w w:val="91"/>
              </w:rPr>
              <w:t>Unrealized gain (loss) on marketable securities, net of taxes of ($415) and $413, respectively</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Comprehensive income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common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9,213,731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10,694,401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9,338,320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10,798,281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Paid-In</w:t>
            </w:r>
          </w:p>
        </w:tc>
        <w:tc>
          <w:tcPr>
            <w:tcW w:w="1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Balances at June 30, 2007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10,861,920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47,582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(17,336)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buy back program</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(834,646)</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228,368</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Shares received/retired upon exercise of</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(28,066)</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Tax benefit from stock option exercise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Compensation cost associated with SFAS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123R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Employee Stock Purchase Plan</w:t>
            </w:r>
          </w:p>
        </w:tc>
        <w:tc>
          <w:tcPr>
            <w:tcW w:w="1160" w:type="dxa"/>
            <w:vAlign w:val="bottom"/>
          </w:tcPr>
          <w:p>
            <w:pPr>
              <w:jc w:val="right"/>
              <w:spacing w:after="0"/>
              <w:rPr>
                <w:sz w:val="20"/>
                <w:szCs w:val="20"/>
                <w:color w:val="auto"/>
              </w:rPr>
            </w:pPr>
            <w:r>
              <w:rPr>
                <w:rFonts w:ascii="Arial" w:cs="Arial" w:eastAsia="Arial" w:hAnsi="Arial"/>
                <w:sz w:val="18"/>
                <w:szCs w:val="18"/>
                <w:color w:val="auto"/>
              </w:rPr>
              <w:t>1,326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Adoption of FIN 48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5"/>
              </w:rPr>
              <w:t>Unrealized loss on marketable securities,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net of tax of $413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Balances at June 30, 2008</w:t>
            </w:r>
          </w:p>
        </w:tc>
        <w:tc>
          <w:tcPr>
            <w:tcW w:w="1160" w:type="dxa"/>
            <w:vAlign w:val="bottom"/>
          </w:tcPr>
          <w:p>
            <w:pPr>
              <w:jc w:val="right"/>
              <w:spacing w:after="0"/>
              <w:rPr>
                <w:sz w:val="20"/>
                <w:szCs w:val="20"/>
                <w:color w:val="auto"/>
              </w:rPr>
            </w:pPr>
            <w:r>
              <w:rPr>
                <w:rFonts w:ascii="Arial" w:cs="Arial" w:eastAsia="Arial" w:hAnsi="Arial"/>
                <w:sz w:val="18"/>
                <w:szCs w:val="18"/>
                <w:color w:val="auto"/>
              </w:rPr>
              <w:t>10,228,902</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44,618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(12,372)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buy back program</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(1,342,620)</w:t>
            </w:r>
          </w:p>
        </w:tc>
        <w:tc>
          <w:tcPr>
            <w:tcW w:w="9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(6,767)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40,799</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3"/>
              </w:rPr>
              <w:t>Compensation cost associated with SFAS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No. 123R</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Purchase Plan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5"/>
              </w:rPr>
              <w:t>Unrealized gain on marketable securities,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net of tax of ($415)</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Balances at June 30, 2009</w:t>
            </w:r>
          </w:p>
        </w:tc>
        <w:tc>
          <w:tcPr>
            <w:tcW w:w="1160" w:type="dxa"/>
            <w:vAlign w:val="bottom"/>
          </w:tcPr>
          <w:p>
            <w:pPr>
              <w:jc w:val="right"/>
              <w:spacing w:after="0"/>
              <w:rPr>
                <w:sz w:val="20"/>
                <w:szCs w:val="20"/>
                <w:color w:val="auto"/>
              </w:rPr>
            </w:pPr>
            <w:r>
              <w:rPr>
                <w:rFonts w:ascii="Arial" w:cs="Arial" w:eastAsia="Arial" w:hAnsi="Arial"/>
                <w:sz w:val="18"/>
                <w:szCs w:val="18"/>
                <w:color w:val="auto"/>
              </w:rPr>
              <w:t>8,928,802</w:t>
            </w:r>
          </w:p>
        </w:tc>
        <w:tc>
          <w:tcPr>
            <w:tcW w:w="22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38,616</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(10,145)</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28,486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0"/>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from continuing operations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160"/>
              <w:spacing w:after="0" w:line="201" w:lineRule="exact"/>
              <w:rPr>
                <w:sz w:val="20"/>
                <w:szCs w:val="20"/>
                <w:color w:val="auto"/>
              </w:rPr>
            </w:pPr>
            <w:r>
              <w:rPr>
                <w:rFonts w:ascii="Arial" w:cs="Arial" w:eastAsia="Arial" w:hAnsi="Arial"/>
                <w:sz w:val="18"/>
                <w:szCs w:val="18"/>
                <w:color w:val="auto"/>
                <w:w w:val="96"/>
              </w:rPr>
              <w:t>Adjustments to reconcile net income from continuing operations to net cash (used in)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provided by operations: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of marketable securities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Write-off of inventory</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Write-off of note receivable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assets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Receivables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Deposit, bond for preliminary injunction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Deferred product revenue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Net cash (used in) provided by operating activities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(1,921)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Purchase of intangible assets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Sale of marketable securities</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continuing investing activities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 options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purchased and retired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Tax benefit from stock options</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(6,634)</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41" w:name="page42"/>
    <w:bookmarkEnd w:id="41"/>
    <w:p>
      <w:pPr>
        <w:jc w:val="center"/>
        <w:spacing w:after="0" w:line="289" w:lineRule="auto"/>
        <w:rPr>
          <w:sz w:val="20"/>
          <w:szCs w:val="20"/>
          <w:color w:val="auto"/>
        </w:rPr>
      </w:pPr>
      <w:r>
        <w:rPr>
          <w:rFonts w:ascii="Arial" w:cs="Arial" w:eastAsia="Arial" w:hAnsi="Arial"/>
          <w:sz w:val="17"/>
          <w:szCs w:val="17"/>
          <w:b w:val="1"/>
          <w:bCs w:val="1"/>
          <w:color w:val="auto"/>
        </w:rPr>
        <w:t>CLEARONE COMMUNICATIONS, INC. AND SUBSIDIARIES CONSOLIDATED STATEMENTS OF CASH FLOWS (CONTINUED) (in thousands of dollars,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0"/>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8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Exchanged accounts receivable from a vendor with accounts payable to the same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vendor</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Adoption of FIN48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Unrealized gain (loss) on marketable securities, net of tax of ($415) and $413, respectively</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 Nature of Operations</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ClearOne Communications, Inc., a Utah corporation, and its subsidiaries (collectively, the “Company”) develop, manufacture, market, and service a comprehensive line of audio conferencing products, which range from personal conferencing products to tabletop conferencing phones to professionally installed audio systems. The Company’s solutions create a natural communication environment, designed to save organizations time and money by enabling more effective and efficient communication between geographically separated businesses, employees, and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Communications, Inc. and its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discontinued operations portion of these consolidated financial statements include transactions from our previously wholly owned subsidiaries. All intercompany accounts and transactions have been eliminated in consolidation. Certain prior year amounts have been reclassified to conform to the current year presentation.</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22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–The results of operations for the Company’s foreign subsidiary in the United Kingdom are recorded by the subsidiary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British Pound and remeasured in the U.S. Dollar. Assets and liabilities are translated into U.S. dollars at the exchange rate prevailing on the balance sheet date or the historical rate, as appropriate. Revenue and expenses are translated at average rates of exchange prevailing during the period. Upon making the translations to the U.S. Dollar we concluded that as of the balance sheet date the impact of such re-measurements was immaterial and as such have been posted through our statement of income as opposed to including them in other comprehensive income.</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our products. We outsource the manufacture of all of our products to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located in both the U.S. and Asia. If any of these manufacturers experience difficulties in obtaining sufficient supplies of components, component prices significantly exceeding the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9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i w:val="1"/>
          <w:iCs w:val="1"/>
          <w:color w:val="auto"/>
        </w:rPr>
        <w:t xml:space="preserve">Cash Equivalents </w:t>
      </w:r>
      <w:r>
        <w:rPr>
          <w:rFonts w:ascii="Arial" w:cs="Arial" w:eastAsia="Arial" w:hAnsi="Arial"/>
          <w:sz w:val="17"/>
          <w:szCs w:val="17"/>
          <w:color w:val="auto"/>
        </w:rPr>
        <w:t>– The Company considers all highly-liquid investments with a maturity of three months or less, when purchased, to be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The Company places its temporary cash investments with high-quality financial institutions. At times, including at June 30, 2009 and 2008, such investments may be in excess of the Federal Deposit Insurance Corporation insurance limit of $250 and $100, respectively.</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ind w:right="20"/>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 The Company’s marketable securities classified as available-for-sale securities, are carried at fair value which approximated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have original maturities of greater than one year. Management determines the appropriate classifications of investments at the time of purchase, based on management’s intent to use these investments during the normal operating cycle of the business, and reevaluates such designation as of each balance sheet date.</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considers highly liquid marketable securities with an effective maturity to the Company of less than one year, and held as available-for-sale, to be current assets. The Company defines effective maturity as the shorter of the original maturity to the Company or the effective availability as a result of periodic auction or optional redemption features of these marketable securities.</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regularly monitors and evaluates the value of its marketable securities. In accordance with SFAS No. 115, </w:t>
      </w:r>
      <w:r>
        <w:rPr>
          <w:rFonts w:ascii="Arial" w:cs="Arial" w:eastAsia="Arial" w:hAnsi="Arial"/>
          <w:sz w:val="17"/>
          <w:szCs w:val="17"/>
          <w:i w:val="1"/>
          <w:iCs w:val="1"/>
          <w:color w:val="auto"/>
        </w:rPr>
        <w:t>Accounting for Certain 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in Debt and Equity Securities</w:t>
      </w:r>
      <w:r>
        <w:rPr>
          <w:rFonts w:ascii="Arial" w:cs="Arial" w:eastAsia="Arial" w:hAnsi="Arial"/>
          <w:sz w:val="17"/>
          <w:szCs w:val="17"/>
          <w:color w:val="auto"/>
        </w:rPr>
        <w:t>, and related guidance issued by FASB and the SEC which calls for the classification of impairments as “temporary” or “other-than-temporary.” A temporary impairment charge results in an unrealized loss being recorded in the other comprehensive income (loss) component of stockholders’ equity. Such an unrealized loss does not affect net income (loss) for the applicable reporting period. An other-than-temporary impairment charge is recorded as a recognized loss in the consolidated statement of operations and reduces net income (loss) for the applicable reporting period. The differentiating factors between temporary and other-than-temporary impairment are primarily the length of the time and the extent to which the market value has been less than cost, the financial condition and near-term prospects of the issuer and the intent and ability of the Company to retain its investment with the issuer for a period of time sufficient to allow for any anticipated recovery in market value. When assessing marketable securities for other-than-temporary declines in value, the Company considers such factors, among other things, as how significant the decline in value is as a percentage of the original cost, how long the market value of the investment has been less than its original cost, the collateral supporting the investments, insurance policies which protect the Company’s investment position, the interval between auction periods, whether or not there have been any failed auctions, and the credit rating issued for the securities by one or more of the major credit rating agencies.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decline in the market value of any available-for-sale security below cost that is deemed to be other-than-temporary results in a reduction in carrying amount to fair value. The impairment is charged to earnings and a new cost basis for the security is established. During 2008 the Company recognized an other-than-temporary impairment. Please refer to Note 5.</w:t>
      </w:r>
    </w:p>
    <w:p>
      <w:pPr>
        <w:spacing w:after="0" w:line="20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Unrealized holding gains and losses, net of the related tax effect on available-for-sale securities, are excluded from earnings and are reported as a separate component of other comprehensive income until realized. During 2008, the Company determined there was a temporary decline in the fair value of its investments in auction-rate securities resulting in an unrealized loss in other comprehensive income. Please refer to Note 5.</w:t>
      </w:r>
    </w:p>
    <w:p>
      <w:pPr>
        <w:spacing w:after="0" w:line="19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 Accounts receivable are recorded at the invoiced amount. Generally, credit is granted to customers without requiring collateral.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If the assumptions that are used to determine the allowance for doubtful accounts change, the Company may have to provide for a greater level of expense in future periods or reverse amounts provided in prior periods.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Company’s allowance for doubtful accounts activity for the fiscal years ended June 30, 2009 and 2008 were as follows:</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Years Ended June 30,</w:t>
            </w: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Charged to Costs and Expenses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 addition to the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includes product that has been delivered to customers for which revenue recognition criteria have not been met.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inventory also includes advance replacement units valued at cost provided by the Company to end-users to service defective products under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 of advance replacement units included in the inventory was $23 and $165, as of June 30, 2009 and 2008, respectively.</w:t>
      </w:r>
    </w:p>
    <w:p>
      <w:pPr>
        <w:spacing w:after="0" w:line="23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Property and equipment are stated at cost less accumulated depreciation and amortization. Expenditures that materially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w:t>
      </w:r>
    </w:p>
    <w:p>
      <w:pPr>
        <w:spacing w:after="0" w:line="18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2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Long-lived assets, such as property, equipment, and definite-lived intangibles subject to amortization, are reviewed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2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19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provides a right of return on product sales to major distributors and other resellers under a product rotation program. Under this seldom used program, a distributor or reseller is allowed to return once a quarter products purchased during the prior 180 days for a total value generally not exceeding 15% of the distributor or reseller’s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described below. In a small number of cases, the distributors are also permitted to return the products for other business reasons.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The Company evaluates, at each quarter-end, the inventory in the channel through information provided by our distributors. The level of inventory in the channel will fluctuate up or down, each quarter, based upon our distributors’ individual operations. Accordingly, each quarter-end revenue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amounts of deferred cost of goods sold are included in consigned inventory.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deferred revenue and associated cost of goods sold and gross profit as of June 30, 2009 and 2008 are as follows:</w:t>
      </w:r>
    </w:p>
    <w:p>
      <w:pPr>
        <w:spacing w:after="0" w:line="248" w:lineRule="exact"/>
        <w:rPr>
          <w:sz w:val="20"/>
          <w:szCs w:val="20"/>
          <w:color w:val="auto"/>
        </w:rPr>
      </w:pPr>
    </w:p>
    <w:p>
      <w:pPr>
        <w:jc w:val="center"/>
        <w:ind w:left="434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17145</wp:posOffset>
            </wp:positionV>
            <wp:extent cx="150939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830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p>
    <w:p>
      <w:pPr>
        <w:spacing w:after="0" w:line="27"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20" w:type="dxa"/>
            <w:vAlign w:val="bottom"/>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60" w:type="dxa"/>
            <w:vAlign w:val="bottom"/>
            <w:shd w:val="clear" w:color="auto" w:fill="CCEEFF"/>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1,843</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2,047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2,866</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3,748</w:t>
            </w:r>
          </w:p>
        </w:tc>
      </w:tr>
    </w:tbl>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offers rebates and market development funds to certain of its distributors, dealers/resellers, and end-users based upon volume of product purchased by them. The Company records rebates as a reduction of revenue in accordance with Emerging Issues Task Force (“EITF”) Issue No. 00-22, “Accounting for Points and Certain Other Time-Based or Volume-Based Sales Incentive Offers, and Offers for Free Products or Services to Be Delivered in the Future.” The Company also follows EITF Issue No. 01-9, “Accounting for Consideration Given by a Vendor to a Customer (Including a Reseller of the Vendor’s Products).” The Company continues to record rebates as a reduction of revenue in the period revenue is recognized.</w:t>
      </w:r>
    </w:p>
    <w:p>
      <w:pPr>
        <w:spacing w:after="0" w:line="18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are not revenue generating, the Company tracks the units due from the end-user, valued at retail price, until the defective unit has been returned, but no receivable balance is maintained on the Company’s balance sheet. The retail value of in-transit advance replacement units was $361 and $816, as of June 30, 2009 and 2008, respectively.</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 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warranty accrual during the years ended June 30, 2009 and 2008 are as follows:</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June 30,</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Accruals/additions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Usage</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(324)</w:t>
            </w:r>
          </w:p>
        </w:tc>
        <w:tc>
          <w:tcPr>
            <w:tcW w:w="7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(243)</w:t>
            </w:r>
          </w:p>
        </w:tc>
      </w:tr>
      <w:tr>
        <w:trPr>
          <w:trHeight w:val="216"/>
        </w:trPr>
        <w:tc>
          <w:tcPr>
            <w:tcW w:w="20" w:type="dxa"/>
            <w:vAlign w:val="bottom"/>
          </w:tcPr>
          <w:p>
            <w:pPr>
              <w:spacing w:after="0"/>
              <w:rPr>
                <w:sz w:val="18"/>
                <w:szCs w:val="18"/>
                <w:color w:val="auto"/>
              </w:rPr>
            </w:pPr>
          </w:p>
        </w:tc>
        <w:tc>
          <w:tcPr>
            <w:tcW w:w="4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7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expenses consist of trade shows, magazine advertisements, and other forms</w:t>
      </w:r>
      <w:r>
        <w:rPr>
          <w:rFonts w:ascii="Arial" w:cs="Arial" w:eastAsia="Arial" w:hAnsi="Arial"/>
          <w:sz w:val="18"/>
          <w:szCs w:val="18"/>
          <w:i w:val="1"/>
          <w:iCs w:val="1"/>
          <w:color w:val="auto"/>
        </w:rPr>
        <w:t xml:space="preserve"> </w:t>
      </w:r>
      <w:r>
        <w:rPr>
          <w:rFonts w:ascii="Arial" w:cs="Arial" w:eastAsia="Arial" w:hAnsi="Arial"/>
          <w:sz w:val="18"/>
          <w:szCs w:val="18"/>
          <w:color w:val="auto"/>
        </w:rPr>
        <w:t>of media. Advertising expenses for the fiscal years ended June 30, 2009 and 2008 totaled $786 and $943, respectively, and are included in the caption Sales and Marketing.</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uses the asset and liability method of accounting for income taxes. Under the asset and liability method, deferred tax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 Company’s income tax provision or benefit. During 2009 the Company recorded a valuation allowance of $928 against capital and unrealized loss carryovers, certain state net operating loss carryovers and state research and development credits. During 2008 the Company reversed a $4,700 valuation allowance recorded primarily against deferred tax assets related to deferred revenue, inventory reserves, and accrued liabilities.</w:t>
      </w:r>
    </w:p>
    <w:p>
      <w:pPr>
        <w:spacing w:after="0" w:line="2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first quarter of 2008, the Company adopted FASB issued Interpretation No. 48 (“FIN 48”). Under FIN 48,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Gain on disposal of discontinued operations, net of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Basic weighted average shares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9,213,731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10,694,401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Dilutive common stock equivalents using treasury stock</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method</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103,880</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9,338,320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10,798,281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Disposal of discontinued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Disposal of discontinued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Options to purchase a weighted-average of 1,146,697 and 1,190,269 shares of common stock were outstanding during fiscal 2009 and 2008, respectively, but were not included in the computation of diluted earnings per share as the effect would be anti-dilutive.</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7" w:name="page48"/>
    <w:bookmarkEnd w:id="47"/>
    <w:p>
      <w:pPr>
        <w:spacing w:after="0" w:line="276" w:lineRule="auto"/>
        <w:rPr>
          <w:sz w:val="20"/>
          <w:szCs w:val="20"/>
          <w:color w:val="auto"/>
        </w:rPr>
      </w:pPr>
      <w:r>
        <w:rPr>
          <w:rFonts w:ascii="Arial" w:cs="Arial" w:eastAsia="Arial" w:hAnsi="Arial"/>
          <w:sz w:val="17"/>
          <w:szCs w:val="17"/>
          <w:i w:val="1"/>
          <w:iCs w:val="1"/>
          <w:color w:val="auto"/>
        </w:rPr>
        <w:t xml:space="preserve">Share-Based Payment </w:t>
      </w:r>
      <w:r>
        <w:rPr>
          <w:rFonts w:ascii="Arial" w:cs="Arial" w:eastAsia="Arial" w:hAnsi="Arial"/>
          <w:sz w:val="17"/>
          <w:szCs w:val="17"/>
          <w:color w:val="auto"/>
        </w:rPr>
        <w:t>– The Company applies Financial Accounting Standards Board (“FASB”) SFAS No. 123R, “Share-Based Payments.” SFAS No. 123R</w:t>
      </w:r>
      <w:r>
        <w:rPr>
          <w:rFonts w:ascii="Arial" w:cs="Arial" w:eastAsia="Arial" w:hAnsi="Arial"/>
          <w:sz w:val="17"/>
          <w:szCs w:val="17"/>
          <w:i w:val="1"/>
          <w:iCs w:val="1"/>
          <w:color w:val="auto"/>
        </w:rPr>
        <w:t xml:space="preserve"> </w:t>
      </w:r>
      <w:r>
        <w:rPr>
          <w:rFonts w:ascii="Arial" w:cs="Arial" w:eastAsia="Arial" w:hAnsi="Arial"/>
          <w:sz w:val="17"/>
          <w:szCs w:val="17"/>
          <w:color w:val="auto"/>
        </w:rPr>
        <w:t>is a revision of SFAS No. 123. SFAS No. 123R establishes standards for the accounting of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0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SFAS No. 123R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 2005, the Company adopted SFAS No. 123R and its fair value recognition provisions using the modified prospective transition</w:t>
      </w:r>
    </w:p>
    <w:p>
      <w:pPr>
        <w:spacing w:after="0" w:line="2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123R. See Note 12 for information about the Company’s various share-based compensation plans, the impact of adoption of SFAS No. 123R, and the assumptions used to calculate the fair value of share-based compensation.</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assumptions change in the application of SFAS No. 123R in future periods, the stock-based compensation cost ultimately recorded under SFAS No. 123R may differ significantly from what was recorded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which defines fair value, establishes guidelines for measuring fair value and expands disclosure regarding fair value measurements. SFAS No. 157 does not require new fair value measurements but rather eliminates inconsistencies in guidance found in various prior accounting pronouncements. SFAS No. 157 is effective for financial statements issued for fiscal years beginning after November 15, 2007, on a prospective basis. The adoption of SFAS No. 157 did not have a material effect on our financial statements.</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February 2007, the FASB issued SFAS 159 “The Fair Value Option for Financial Assets and Financial Liabilities.” This statement permits entities to choose to measure many financial instruments and certain other items at fair value that are not currently required to be measured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requires a business entity to report unrealized gains and losses on items for which the fair value option has been elected in earnings at each subsequent reporting date. An entity may decide whether to elect the fair value option for each eligible item on its election date, subject to certain requirements described in the statement. SFAS 159 is effective for fiscal years beginning after November 15, 2007. The adoption of SFAS 159 did not have a material effect on our financial statements.</w:t>
      </w:r>
    </w:p>
    <w:p>
      <w:pPr>
        <w:spacing w:after="0" w:line="1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December 2007, the FASB issued SFAS No. 141(R), “Business Combinations.” SFAS 141(R) requires all business combinations completed after the effective date to be accounted for by applying the acquisition method (previously referred to as the purchase method). Companies applying this method will have to identify the acquirer, determine the acquisition date and purchase price and recognize at their acquisition-date fair values the identifiable assets acquired, liabilities assumed, and any noncontrolling interests in the acquiree. In the case of a bargain purchase the acquirer is required to reevaluate the measurements of the recognized assets and liabilities at the acquisition date and recognize a gain on that date if an excess remains. SFAS 141(R) becomes effective for fiscal periods beginning after December 15, 2008. We do not expect the adoption of SFAS 141(R) to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8" w:name="page49"/>
    <w:bookmarkEnd w:id="48"/>
    <w:p>
      <w:pPr>
        <w:spacing w:after="0" w:line="259" w:lineRule="auto"/>
        <w:rPr>
          <w:sz w:val="20"/>
          <w:szCs w:val="20"/>
          <w:color w:val="auto"/>
        </w:rPr>
      </w:pPr>
      <w:r>
        <w:rPr>
          <w:rFonts w:ascii="Arial" w:cs="Arial" w:eastAsia="Arial" w:hAnsi="Arial"/>
          <w:sz w:val="18"/>
          <w:szCs w:val="18"/>
          <w:color w:val="auto"/>
        </w:rPr>
        <w:t>In June 2009, the FASB issued SFAS No. 167, Amendments to FASB Interpretation No. 46(R), which is effective for us beginning July 1, 2010. This Statement amends FIN 46(R), Consolidation of Variable Interest Entities an interpretation of ARB No. 51, to require revised evaluations of whether entities represent variable interest entities, ongoing assessments of control over such entities, and additional disclosures for variable interests. We believe the adoption of this pronouncement will not have any material impact on our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700" w:type="dxa"/>
            <w:vAlign w:val="bottom"/>
            <w:gridSpan w:val="2"/>
          </w:tcPr>
          <w:p>
            <w:pPr>
              <w:jc w:val="center"/>
              <w:ind w:right="650"/>
              <w:spacing w:after="0"/>
              <w:rPr>
                <w:sz w:val="20"/>
                <w:szCs w:val="20"/>
                <w:color w:val="auto"/>
              </w:rPr>
            </w:pPr>
            <w:r>
              <w:rPr>
                <w:rFonts w:ascii="Arial" w:cs="Arial" w:eastAsia="Arial" w:hAnsi="Arial"/>
                <w:sz w:val="18"/>
                <w:szCs w:val="18"/>
                <w:color w:val="auto"/>
                <w:w w:val="90"/>
              </w:rPr>
              <w:t>Inventories, net of reserves, consist of the following as of June 30, 2009 and 2008:</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ind w:left="4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jc w:val="center"/>
              <w:ind w:right="2970"/>
              <w:spacing w:after="0"/>
              <w:rPr>
                <w:sz w:val="20"/>
                <w:szCs w:val="20"/>
                <w:color w:val="auto"/>
              </w:rPr>
            </w:pPr>
            <w:r>
              <w:rPr>
                <w:rFonts w:ascii="Arial" w:cs="Arial" w:eastAsia="Arial" w:hAnsi="Arial"/>
                <w:sz w:val="18"/>
                <w:szCs w:val="18"/>
                <w:color w:val="auto"/>
                <w:w w:val="89"/>
              </w:rPr>
              <w:t>Raw materials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jc w:val="center"/>
              <w:ind w:right="2910"/>
              <w:spacing w:after="0"/>
              <w:rPr>
                <w:sz w:val="20"/>
                <w:szCs w:val="20"/>
                <w:color w:val="auto"/>
              </w:rPr>
            </w:pPr>
            <w:r>
              <w:rPr>
                <w:rFonts w:ascii="Arial" w:cs="Arial" w:eastAsia="Arial" w:hAnsi="Arial"/>
                <w:sz w:val="18"/>
                <w:szCs w:val="18"/>
                <w:color w:val="auto"/>
                <w:w w:val="88"/>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7,075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shd w:val="clear" w:color="auto" w:fill="CCEEFF"/>
          </w:tcPr>
          <w:p>
            <w:pPr>
              <w:jc w:val="center"/>
              <w:ind w:right="2970"/>
              <w:spacing w:after="0"/>
              <w:rPr>
                <w:sz w:val="20"/>
                <w:szCs w:val="20"/>
                <w:color w:val="auto"/>
              </w:rPr>
            </w:pPr>
            <w:r>
              <w:rPr>
                <w:rFonts w:ascii="Arial" w:cs="Arial" w:eastAsia="Arial" w:hAnsi="Arial"/>
                <w:sz w:val="18"/>
                <w:szCs w:val="18"/>
                <w:color w:val="auto"/>
                <w:w w:val="89"/>
              </w:rPr>
              <w:t>Raw materials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400" w:type="dxa"/>
            <w:vAlign w:val="bottom"/>
          </w:tcPr>
          <w:p>
            <w:pPr>
              <w:jc w:val="center"/>
              <w:ind w:right="2910"/>
              <w:spacing w:after="0"/>
              <w:rPr>
                <w:sz w:val="20"/>
                <w:szCs w:val="20"/>
                <w:color w:val="auto"/>
              </w:rPr>
            </w:pPr>
            <w:r>
              <w:rPr>
                <w:rFonts w:ascii="Arial" w:cs="Arial" w:eastAsia="Arial" w:hAnsi="Arial"/>
                <w:sz w:val="18"/>
                <w:szCs w:val="18"/>
                <w:color w:val="auto"/>
                <w:w w:val="88"/>
              </w:rPr>
              <w:t>Finished goods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4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Long-term inventory represents inventory held in excess of our current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20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$1.8 million and $2.0 million for the years ended June 30, 2009 and 2008, respectively. Consigned inventory represents inventory at distributors and other customers where revenue recognition criteria have not been achieved.</w:t>
      </w:r>
    </w:p>
    <w:p>
      <w:pPr>
        <w:spacing w:after="0" w:line="15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losses incurred on valuation of inventory at lower of cost or market value and write-off of obsolete inventory amounted to $2,293 and $136 during the years ended June 30, 2009 and 2008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are as follows as of June 30, 2009 and 2008:</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As of June 30,</w:t>
            </w:r>
          </w:p>
        </w:tc>
      </w:tr>
      <w:tr>
        <w:trPr>
          <w:trHeight w:val="198"/>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Estimated</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useful lives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to 10 years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8,197</w:t>
            </w: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1 to 6 years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1,309</w:t>
            </w:r>
          </w:p>
        </w:tc>
      </w:tr>
      <w:tr>
        <w:trPr>
          <w:trHeight w:val="223"/>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7"/>
              </w:rPr>
              <w:t>Manufacturing and test equipment</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 to 10 years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16"/>
        </w:trPr>
        <w:tc>
          <w:tcPr>
            <w:tcW w:w="20" w:type="dxa"/>
            <w:vAlign w:val="bottom"/>
          </w:tcPr>
          <w:p>
            <w:pPr>
              <w:spacing w:after="0"/>
              <w:rPr>
                <w:sz w:val="18"/>
                <w:szCs w:val="18"/>
                <w:color w:val="auto"/>
              </w:rPr>
            </w:pPr>
          </w:p>
        </w:tc>
        <w:tc>
          <w:tcPr>
            <w:tcW w:w="26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 at cost</w:t>
            </w:r>
          </w:p>
        </w:tc>
        <w:tc>
          <w:tcPr>
            <w:tcW w:w="1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12,025</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11,038</w:t>
            </w: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depreciation and</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(9,263)</w:t>
            </w: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(8,484)</w:t>
            </w:r>
          </w:p>
        </w:tc>
      </w:tr>
      <w:tr>
        <w:trPr>
          <w:trHeight w:val="27"/>
        </w:trPr>
        <w:tc>
          <w:tcPr>
            <w:tcW w:w="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16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2,554</w:t>
            </w: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fiscal years ended June 30, 2009 and 2008 was $866 and $920,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5. Marketable Securities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tables display the gross unrealized gains (losses) and fair value of the Company’s investments with unrealized gain (losses) that are not deemed to be other-than-temporarily impaired inclusive of the length of time the securities have been in a continuous unrealized gain (loss) position at June 30, 2009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Long-term</w:t>
            </w: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Marketable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Marketable</w:t>
            </w:r>
          </w:p>
        </w:tc>
      </w:tr>
      <w:tr>
        <w:trPr>
          <w:trHeight w:val="241"/>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Cost Basis</w:t>
            </w:r>
          </w:p>
        </w:tc>
        <w:tc>
          <w:tcPr>
            <w:tcW w:w="24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Basis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As of June 30, 2009</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28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2,098</w:t>
            </w:r>
          </w:p>
        </w:tc>
        <w:tc>
          <w:tcPr>
            <w:tcW w:w="12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2008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5,972</w:t>
            </w:r>
          </w:p>
        </w:tc>
        <w:tc>
          <w:tcPr>
            <w:tcW w:w="12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5,922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5,922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11,168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11,168</w:t>
            </w: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18,197</w:t>
            </w:r>
          </w:p>
        </w:tc>
        <w:tc>
          <w:tcPr>
            <w:tcW w:w="12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17,090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5,922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11,168</w:t>
            </w:r>
          </w:p>
        </w:tc>
      </w:tr>
      <w:tr>
        <w:trPr>
          <w:trHeight w:val="21"/>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of June 30, 2009 and 2008, $0 and $12,225, respectively, of the Company’s investments (at cost) were invested in auction rate securities ("ARSs"). As of June 30, 2008, auctions for these securities were not successful. During October 2008, we accepted offers to repurchase our Auction Rate Securities (ARSs), at par value, from the two investment banks that sold them to us. Between November 2008 and January 2009, UBS and Morgan Stanley fulfilled their offers and repurchased our ARSs, at par value, totaling approximately $12.2 million.</w:t>
      </w:r>
    </w:p>
    <w:p>
      <w:pPr>
        <w:spacing w:after="0" w:line="214"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 xml:space="preserve">During the fiscal third quarter of 2008, the Company reclassified its entire ARS investment balance from short-term/current investments to long-term/non-current auction rate securities on its balance sheet due to the Company’s inability to determine when its ARS investments will become liquid. The Company also determined there was a decline in the fair value of its ARS investments of $1,057 which was deemed temporary. The Company determined fair value from a UBS derived pricing model. The Company was advised by UBS that the following variables were used in UBS’s pricing model: (1) type of auction security; (2) security rating; (3) insurance (if any) ; (4) collateral (if any); (5) taxable vs. tax-exempt; (6) estimated duration; (7) nature of the maximum rate formula (e.g. an issuer with a less favorable maximum rate formula would be more likely to refinance); and (8) likelihood of redemption. The Company’s assessment of a fair value of all but one of its ARSs at June 30, 2008 conformed to UBS’s statement of </w:t>
      </w:r>
      <w:r>
        <w:rPr>
          <w:rFonts w:ascii="Arial" w:cs="Arial" w:eastAsia="Arial" w:hAnsi="Arial"/>
          <w:sz w:val="17"/>
          <w:szCs w:val="17"/>
          <w:i w:val="1"/>
          <w:iCs w:val="1"/>
          <w:color w:val="auto"/>
        </w:rPr>
        <w:t>current value</w:t>
      </w:r>
      <w:r>
        <w:rPr>
          <w:rFonts w:ascii="Arial" w:cs="Arial" w:eastAsia="Arial" w:hAnsi="Arial"/>
          <w:sz w:val="17"/>
          <w:szCs w:val="17"/>
          <w:color w:val="auto"/>
        </w:rPr>
        <w:t xml:space="preserve">. The Company chose to follow UBS’s </w:t>
      </w:r>
      <w:r>
        <w:rPr>
          <w:rFonts w:ascii="Arial" w:cs="Arial" w:eastAsia="Arial" w:hAnsi="Arial"/>
          <w:sz w:val="17"/>
          <w:szCs w:val="17"/>
          <w:i w:val="1"/>
          <w:iCs w:val="1"/>
          <w:color w:val="auto"/>
        </w:rPr>
        <w:t xml:space="preserve">current value </w:t>
      </w:r>
      <w:r>
        <w:rPr>
          <w:rFonts w:ascii="Arial" w:cs="Arial" w:eastAsia="Arial" w:hAnsi="Arial"/>
          <w:sz w:val="17"/>
          <w:szCs w:val="17"/>
          <w:color w:val="auto"/>
        </w:rPr>
        <w:t>after determining that using its own discounted cash flow method with the following major assumptions: (1) three month T-Bill plus 120 basis</w:t>
      </w:r>
      <w:r>
        <w:rPr>
          <w:rFonts w:ascii="Arial" w:cs="Arial" w:eastAsia="Arial" w:hAnsi="Arial"/>
          <w:sz w:val="17"/>
          <w:szCs w:val="17"/>
          <w:i w:val="1"/>
          <w:iCs w:val="1"/>
          <w:color w:val="auto"/>
        </w:rPr>
        <w:t xml:space="preserve"> </w:t>
      </w:r>
      <w:r>
        <w:rPr>
          <w:rFonts w:ascii="Arial" w:cs="Arial" w:eastAsia="Arial" w:hAnsi="Arial"/>
          <w:sz w:val="17"/>
          <w:szCs w:val="17"/>
          <w:color w:val="auto"/>
        </w:rPr>
        <w:t>points (generally the minimum rate of annualized interest required by the ARS issuers) and (2) a term of five years (the estimated duration to reach full liquidity), derived a valuation within one percent of UBS’s valuation. One ARS was stated at par value on June 30, 2008 as it has experienced recent partial redemption, albeit minimal.</w:t>
      </w: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year ended June 30, 2008, certain investments in Corporate Bonds was considered other-than-temporarily impaired and $155 was recognized as loss and reported under Other Income, net.</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the unrealized holding losses on the Company’s marketable securities and reported as a separate component of accumulated other comprehensive income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Years ended June 30,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4"/>
              </w:rPr>
              <w:t>Unrealized holding gains (losses), in marketable securities</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400" w:type="dxa"/>
            <w:vAlign w:val="bottom"/>
            <w:vMerge w:val="restart"/>
          </w:tcPr>
          <w:p>
            <w:pPr>
              <w:ind w:left="3240"/>
              <w:spacing w:after="0"/>
              <w:rPr>
                <w:sz w:val="20"/>
                <w:szCs w:val="20"/>
                <w:color w:val="auto"/>
              </w:rPr>
            </w:pPr>
            <w:r>
              <w:rPr>
                <w:rFonts w:ascii="Arial" w:cs="Arial" w:eastAsia="Arial" w:hAnsi="Arial"/>
                <w:sz w:val="18"/>
                <w:szCs w:val="18"/>
                <w:color w:val="auto"/>
              </w:rPr>
              <w:t>F-15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3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We adopted SFAS No. 157 “Fair Value Measurements” (as impacted by SFAS 157-2) on July 1, 2008. This statement defines fair value, establishes a framework to measure fair value, and expands disclosures about fair value measurements. SFAS 157 defines fair value as the price that could be received upon the sale of an asset or paid to transfer a liability in an orderly transaction between market participants at the measurement date and in the principal or most advantageous market for that asset or liability. SFAS 157 establishes a fair value hierarchy used to prioritize the quality and reliability of the information used to determine fair values. Categorization within the fair value hierarchy is based on the lowest level of input that is significant to the fair value measurement. The fair value hierarchy is classified into the following three categories:</w:t>
      </w:r>
    </w:p>
    <w:p>
      <w:pPr>
        <w:spacing w:after="0" w:line="205" w:lineRule="exact"/>
        <w:rPr>
          <w:sz w:val="20"/>
          <w:szCs w:val="20"/>
          <w:color w:val="auto"/>
        </w:rPr>
      </w:pPr>
    </w:p>
    <w:p>
      <w:pPr>
        <w:jc w:val="both"/>
        <w:ind w:left="660" w:hanging="139"/>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1: Valuations based on quoted prices in active markets for identical instruments that we are able to access. Since valuations are based on quoted prices that are readily and regularly available in an active market, valuation of these products does not entail a significant degree of judgment.</w:t>
      </w:r>
    </w:p>
    <w:p>
      <w:pPr>
        <w:spacing w:after="0" w:line="150" w:lineRule="exact"/>
        <w:rPr>
          <w:rFonts w:ascii="Arial" w:cs="Arial" w:eastAsia="Arial" w:hAnsi="Arial"/>
          <w:sz w:val="16"/>
          <w:szCs w:val="16"/>
          <w:color w:val="auto"/>
        </w:rPr>
      </w:pPr>
    </w:p>
    <w:p>
      <w:pPr>
        <w:jc w:val="both"/>
        <w:ind w:left="660" w:hanging="139"/>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Valuations based on quoted prices in active markets for instruments that are similar, or quoted prices in markets that are not active for identical or similar instruments, and model-derived valuations in which all significant inputs and significant value drivers are observable in active markets.</w:t>
      </w:r>
    </w:p>
    <w:p>
      <w:pPr>
        <w:spacing w:after="0" w:line="208" w:lineRule="exact"/>
        <w:rPr>
          <w:rFonts w:ascii="Arial" w:cs="Arial" w:eastAsia="Arial" w:hAnsi="Arial"/>
          <w:sz w:val="18"/>
          <w:szCs w:val="18"/>
          <w:color w:val="auto"/>
        </w:rPr>
      </w:pPr>
    </w:p>
    <w:p>
      <w:pPr>
        <w:ind w:left="660" w:hanging="13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June 30, 2009, financial assets utilizing Level 1 inputs included short term investment securities traded on active securities exchanges. We did not have any financial assets utilizing Level 2 or Level 3 inputs. We did not have any liabilities that were required to be measured at fair value as of June 30, 2009.</w:t>
      </w:r>
    </w:p>
    <w:p>
      <w:pPr>
        <w:spacing w:after="0" w:line="15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Fair value is a market-based measure considered from the perspective of a market participant who holds the asset or owes the liability rather than an entity-specific measure. Therefore, even when market assumptions are not readily available, our own assumptions are set to reflect those that market participants would use in pricing the asset or liability at the measurement date.</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SFAS No. 157 requires that the valuation techniques used by us are consistent with at least one of the three possible approaches: the market approach, income approach and/or cost approach. Our Level 1 valuations are based on the market approach and consist of quoted prices for identical items on active securities exchanges.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financial assets carried at fair value measured on a recurring basis as of June 30, 2009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Quoted Prices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in Active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Significant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Markets for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jc w:val="center"/>
              <w:ind w:right="310"/>
              <w:spacing w:after="0"/>
              <w:rPr>
                <w:sz w:val="20"/>
                <w:szCs w:val="20"/>
                <w:color w:val="auto"/>
              </w:rPr>
            </w:pPr>
            <w:r>
              <w:rPr>
                <w:rFonts w:ascii="Arial" w:cs="Arial" w:eastAsia="Arial" w:hAnsi="Arial"/>
                <w:sz w:val="18"/>
                <w:szCs w:val="18"/>
                <w:b w:val="1"/>
                <w:bCs w:val="1"/>
                <w:color w:val="auto"/>
                <w:w w:val="96"/>
              </w:rPr>
              <w:t>Total Fair</w:t>
            </w: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Identical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observable</w:t>
            </w: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36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1"/>
              </w:rPr>
              <w:t>Value at June</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Assets (Level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inputs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inputs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30, 2009</w:t>
            </w: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and Deferred Rent</w:t>
      </w:r>
    </w:p>
    <w:p>
      <w:pPr>
        <w:spacing w:after="0" w:line="25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Certain operating leases contain rent escalation clauses based on the consumer price index. Rental expense is recognized on a straight-line basis. Rental expense, which was composed of minimum payments under operating lease obligations, was $613 and $569 for the years ended June 30, 2009 and 2008, respectively.</w:t>
      </w:r>
    </w:p>
    <w:p>
      <w:pPr>
        <w:spacing w:after="0" w:line="20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June 5, 2006, the Company entered into a 62-month lease for its corporate headquarters in Salt Lake City, Utah to house its principal administrative, sales, marketing, customer support, and research and development functions. Under the terms of the lease, the Company occupies a 36,279 square-foot facility which commenced in November 2006. The lease agreement provided that the lessor would provide approximately $1,088 for leasehold improvements. This amount was recorded as deferred rent and is being amortized to lease expense over the term of the lease. During the year ended June 30, 2007, the Company completed leasehold improvements in excess of the amounts paid by the lessor. These amounts are being depreciated over the life of the lease.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1" w:name="page52"/>
    <w:bookmarkEnd w:id="51"/>
    <w:p>
      <w:pPr>
        <w:ind w:right="60"/>
        <w:spacing w:after="0" w:line="308" w:lineRule="auto"/>
        <w:rPr>
          <w:sz w:val="20"/>
          <w:szCs w:val="20"/>
          <w:color w:val="auto"/>
        </w:rPr>
      </w:pPr>
      <w:r>
        <w:rPr>
          <w:rFonts w:ascii="Arial" w:cs="Arial" w:eastAsia="Arial" w:hAnsi="Arial"/>
          <w:sz w:val="17"/>
          <w:szCs w:val="17"/>
          <w:color w:val="auto"/>
        </w:rPr>
        <w:t>On October 13, 2008, the Company entered into a 60-month lease for a new warehouse which houses its inventory, fulfillment center and repair center in Salt Lake City, Utah. Under the terms of the lease, the Company occupies a 23,712 square-foot facility which commenced in December 2008.</w:t>
      </w:r>
    </w:p>
    <w:p>
      <w:pPr>
        <w:spacing w:after="0" w:line="1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modified the terms of the Company’s California Avenue warehouse lease agreement dated September 20, 2006. Under the modified terms, effective March 31, 2008, the Company would lease approximately 6,000 square feet at $3 per month until expiration in December 2011. This space is being used by the Company for inventory, document and equipment storage.</w:t>
      </w:r>
    </w:p>
    <w:p>
      <w:pPr>
        <w:spacing w:after="0" w:line="2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leases two warehouses measuring approximately 4,000 square-feet at $4 per month in Hong Kong to support our partners and customers located in the Asia-Pacific region. The lease terms for these warehouses expire in February 2010.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initial terms of one year or more are as follows as of June 30, 2009: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6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w w:val="96"/>
              </w:rPr>
              <w:t>Years Ending June 30,</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2011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4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2013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4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7"/>
        </w:trPr>
        <w:tc>
          <w:tcPr>
            <w:tcW w:w="2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minimum lease payments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240" w:type="dxa"/>
            <w:vAlign w:val="bottom"/>
            <w:tcBorders>
              <w:left w:val="single" w:sz="8" w:color="CCEEFF"/>
            </w:tcBorders>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53"/>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7. Accrued Liabilities</w:t>
            </w:r>
          </w:p>
        </w:tc>
        <w:tc>
          <w:tcPr>
            <w:tcW w:w="326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6700" w:type="dxa"/>
            <w:vAlign w:val="bottom"/>
            <w:gridSpan w:val="3"/>
          </w:tcPr>
          <w:p>
            <w:pPr>
              <w:spacing w:after="0"/>
              <w:rPr>
                <w:sz w:val="20"/>
                <w:szCs w:val="20"/>
                <w:color w:val="auto"/>
              </w:rPr>
            </w:pPr>
            <w:r>
              <w:rPr>
                <w:rFonts w:ascii="Arial" w:cs="Arial" w:eastAsia="Arial" w:hAnsi="Arial"/>
                <w:sz w:val="18"/>
                <w:szCs w:val="18"/>
                <w:color w:val="auto"/>
              </w:rPr>
              <w:t>Accrued liabilities consist of the following as of June 30, 2009 and 2008:</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5"/>
          </w:tcPr>
          <w:p>
            <w:pPr>
              <w:ind w:left="40"/>
              <w:spacing w:after="0"/>
              <w:rPr>
                <w:sz w:val="20"/>
                <w:szCs w:val="20"/>
                <w:color w:val="auto"/>
              </w:rPr>
            </w:pPr>
            <w:r>
              <w:rPr>
                <w:rFonts w:ascii="Arial" w:cs="Arial" w:eastAsia="Arial" w:hAnsi="Arial"/>
                <w:sz w:val="18"/>
                <w:szCs w:val="18"/>
                <w:b w:val="1"/>
                <w:bCs w:val="1"/>
                <w:color w:val="auto"/>
              </w:rPr>
              <w:t>As of June 30,</w:t>
            </w:r>
          </w:p>
        </w:tc>
      </w:tr>
      <w:tr>
        <w:trPr>
          <w:trHeight w:val="223"/>
        </w:trPr>
        <w:tc>
          <w:tcPr>
            <w:tcW w:w="2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120" w:type="dxa"/>
            <w:vAlign w:val="bottom"/>
            <w:tcBorders>
              <w:top w:val="single" w:sz="8" w:color="auto"/>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and other compensation</w:t>
            </w:r>
          </w:p>
        </w:tc>
        <w:tc>
          <w:tcPr>
            <w:tcW w:w="480" w:type="dxa"/>
            <w:vAlign w:val="bottom"/>
            <w:shd w:val="clear" w:color="auto" w:fill="CCEEFF"/>
          </w:tcPr>
          <w:p>
            <w:pPr>
              <w:jc w:val="right"/>
              <w:ind w:right="316"/>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w:t>
            </w:r>
          </w:p>
        </w:tc>
      </w:tr>
      <w:tr>
        <w:trPr>
          <w:trHeight w:val="216"/>
        </w:trPr>
        <w:tc>
          <w:tcPr>
            <w:tcW w:w="23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r>
      <w:tr>
        <w:trPr>
          <w:trHeight w:val="223"/>
        </w:trPr>
        <w:tc>
          <w:tcPr>
            <w:tcW w:w="2300" w:type="dxa"/>
            <w:vAlign w:val="bottom"/>
          </w:tcPr>
          <w:p>
            <w:pPr>
              <w:spacing w:after="0"/>
              <w:rPr>
                <w:sz w:val="19"/>
                <w:szCs w:val="19"/>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left w:val="single" w:sz="8" w:color="CCEEFF"/>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ind w:right="316"/>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3,672</w:t>
            </w:r>
          </w:p>
        </w:tc>
      </w:tr>
      <w:tr>
        <w:trPr>
          <w:trHeight w:val="21"/>
        </w:trPr>
        <w:tc>
          <w:tcPr>
            <w:tcW w:w="2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Included in other accrued liabilities in June 30, 2008, is $1,458 which represents the probable amount that as of the date of the financial statements could be reasonably estimated of the Company’s liability, through trial, associated with the advancement of funds related to the indemnification agreements with two former officers (see Note 8 - </w:t>
      </w:r>
      <w:r>
        <w:rPr>
          <w:rFonts w:ascii="Arial" w:cs="Arial" w:eastAsia="Arial" w:hAnsi="Arial"/>
          <w:sz w:val="18"/>
          <w:szCs w:val="18"/>
          <w:i w:val="1"/>
          <w:iCs w:val="1"/>
          <w:color w:val="auto"/>
        </w:rPr>
        <w:t>Former Officer Indemnification</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establish contingent liabilities when a particular contingency is both probable and estimable. For the contingencies noted below we have accrued amounts considered probable and estimable. The Company is not aware of pending claims or assessments, other than as described below, which may have a material adverse impact on the Company’s financial position or results of operations.</w:t>
      </w:r>
    </w:p>
    <w:p>
      <w:pPr>
        <w:spacing w:after="0" w:line="20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i w:val="1"/>
          <w:iCs w:val="1"/>
          <w:color w:val="auto"/>
        </w:rPr>
        <w:t xml:space="preserve">Outsource Manufacturers. </w:t>
      </w:r>
      <w:r>
        <w:rPr>
          <w:rFonts w:ascii="Arial" w:cs="Arial" w:eastAsia="Arial" w:hAnsi="Arial"/>
          <w:sz w:val="17"/>
          <w:szCs w:val="17"/>
          <w:color w:val="auto"/>
        </w:rPr>
        <w:t>We have manufacturing agreements with manufacturers related to the outsourced manufacturing of its products.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agreements establish annual volume commitments. We are also obligated to repurchase Company-forecasted but unused materials. We have accounted for our current fixed outsourced manufacturing commitments and contingencies as a component of inventory and established a reserve for obsolescence amounting to $1,147 and $769, as of June 30, 2009 and 2008, respectively. The Company has non-cancellable, non-returnable, and long-lead time commitments with its outsourced manufacturers and certain suppliers for inventory components that will be used in production. The Company’s exposure associated with these commitments is approximately $3.2 million.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2" w:name="page53"/>
    <w:bookmarkEnd w:id="52"/>
    <w:p>
      <w:pPr>
        <w:ind w:right="900"/>
        <w:spacing w:after="0" w:line="291"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we are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our business. Such matters are subject to many uncertainties and outcomes that are not</w:t>
      </w:r>
    </w:p>
    <w:p>
      <w:pPr>
        <w:ind w:right="120"/>
        <w:spacing w:after="0" w:line="261" w:lineRule="auto"/>
        <w:rPr>
          <w:sz w:val="20"/>
          <w:szCs w:val="20"/>
          <w:color w:val="auto"/>
        </w:rPr>
      </w:pPr>
      <w:r>
        <w:rPr>
          <w:rFonts w:ascii="Arial" w:cs="Arial" w:eastAsia="Arial" w:hAnsi="Arial"/>
          <w:sz w:val="18"/>
          <w:szCs w:val="18"/>
          <w:color w:val="auto"/>
        </w:rPr>
        <w:t>predictable. However, based on the information available to us, we do not believe any such proceedings will have a material, adverse effect on our business, results of operations, financial position, or liquidity, except as described below.</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Former Officer Indemnification. </w:t>
      </w:r>
      <w:r>
        <w:rPr>
          <w:rFonts w:ascii="Arial" w:cs="Arial" w:eastAsia="Arial" w:hAnsi="Arial"/>
          <w:sz w:val="17"/>
          <w:szCs w:val="17"/>
          <w:color w:val="auto"/>
        </w:rPr>
        <w:t>On July 25, 2007, the U.S. Attorney’s Office for the District of Utah indicted two of our former officers, Frances Flood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Susie Strohm, for allegedly causing us to issue materially misstated financial statements for our 2001 and 2002 fiscal years. On January 31, 2008, the U.S. Attorney’s Office filed a Second Superseding Indictment further alleging perjury in connection with the prior investigation by the SEC into the alleged misstatements. We cooperated fully with the U.S. Attorney’s Office in this matter and were advised that we were neither a target nor a subject of the investigation or indictment. In December 2003, we entered into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$2.2 million in attorneys’ fees and costs to defend against the charges. During August 2008, Ms. Strohm and her counsel filed a lawsuit in the Third Judicial District Court in Salt Lake City, Utah seeking a declaratory judgment and injunctive relief to compel us to continue to advance Ms. Strohm’s attorneys’ fees and costs to defend against the charges, plus interest for amounts previously requested and not paid. Also during August 2008, 2008, Ms. Flood filed a lawsuit in Federal District Court for the District of Utah, seeking similar relief.</w:t>
      </w:r>
    </w:p>
    <w:p>
      <w:pPr>
        <w:spacing w:after="0" w:line="20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federal criminal trial of both former officers commenced on February 2, 2009 and the jury rendered its verdict on February 27, 2009. Flood was convicted on nine counts, including conspiracy to willfully falsify our books and records, willfully making false statements in quarterly and annual reports, willfully making and causing to be made misleading and false statements to our accountants in connection with the accountants’ audits, federal securities fraud, and perjury in connection with testimony given under oath in an official proceeding brought by the SEC in 2003. Strohm was convicted on one count of perjury in connection with testimony given under oath in an official proceeding brought by the SEC in 2003.</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third fiscal quarter of 2009 and in accordance with generally accepted accounting principles, we reversed approximately $1.1 million of this contingent liability as a result of the February 2009 jury verdict in the federal criminal trial. As a result of the jury’s conviction of the two former officers on some or all of the crimes with which they were charged – and based on the Court’s instructions to the jury – it is no longer probable that we will be required to pay the $1.1 million amount.</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Flood</w:t>
      </w:r>
      <w:r>
        <w:rPr>
          <w:rFonts w:ascii="Arial" w:cs="Arial" w:eastAsia="Arial" w:hAnsi="Arial"/>
          <w:sz w:val="18"/>
          <w:szCs w:val="18"/>
          <w:color w:val="auto"/>
        </w:rPr>
        <w:t>: During January 2009, the Federal District Court in the</w:t>
      </w:r>
      <w:r>
        <w:rPr>
          <w:rFonts w:ascii="Arial" w:cs="Arial" w:eastAsia="Arial" w:hAnsi="Arial"/>
          <w:sz w:val="18"/>
          <w:szCs w:val="18"/>
          <w:i w:val="1"/>
          <w:iCs w:val="1"/>
          <w:color w:val="auto"/>
        </w:rPr>
        <w:t xml:space="preserve"> Flood </w:t>
      </w:r>
      <w:r>
        <w:rPr>
          <w:rFonts w:ascii="Arial" w:cs="Arial" w:eastAsia="Arial" w:hAnsi="Arial"/>
          <w:sz w:val="18"/>
          <w:szCs w:val="18"/>
          <w:color w:val="auto"/>
        </w:rPr>
        <w:t>lawsuit issued a preliminary injunction requiring us (1) to pay 60% of Flood’s legal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costs in the criminal proceeding to Flood’s attorneys (as reflected in the invoices submitted by Flood’s attorneys), and (2) to pay the remaining 40% of Flood’s legal fees and costs into a court escrow account. Pursuant to the Court’s order, the Court intends to make a reasonability determination concerning these fees and costs and the Court’s order states that “[t]o the extent fees or costs are found to be unreasonable, the monies held in escrow shall be refunded to ClearOne.” Pursuant to the Court’s order, we paid approximately $368,000 to Flood’s attorneys and approximately $248,000 into the Court’s escrow. Our appeal of the Court’s order is currently pending.</w:t>
      </w:r>
    </w:p>
    <w:p>
      <w:pPr>
        <w:spacing w:after="0" w:line="22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Federal District Court issued a ruling during June 2009 granting Flood’s motion for summary judgment on her claim that we breached her Employment Separation Agreement by stopping the advancement of funds for her defense, and granting our motion to dismiss Flood’s unjust enrichment and promissory estoppel claims. The Court further denied our motion to dismiss Flood’s claim for intentional infliction of emotional distress.</w:t>
      </w:r>
    </w:p>
    <w:p>
      <w:pPr>
        <w:spacing w:after="0" w:line="17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During July 2009 we asserted counterclaims for $3.3 million based on the undertaking Flood signed in August 2003, in which she promised to repay all advanced expenses if it was ultimately adjudged that she did not meet the requisite standard of conduct. During August 2009, we asserted similar counterclaims against Strohm based on her undertaking to meet requisite standard of conduct.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ind w:right="200"/>
        <w:spacing w:after="0" w:line="255" w:lineRule="auto"/>
        <w:rPr>
          <w:sz w:val="20"/>
          <w:szCs w:val="20"/>
          <w:color w:val="auto"/>
        </w:rPr>
      </w:pPr>
      <w:r>
        <w:rPr>
          <w:rFonts w:ascii="Arial" w:cs="Arial" w:eastAsia="Arial" w:hAnsi="Arial"/>
          <w:sz w:val="18"/>
          <w:szCs w:val="18"/>
          <w:i w:val="1"/>
          <w:iCs w:val="1"/>
          <w:color w:val="auto"/>
        </w:rPr>
        <w:t>Strohm</w:t>
      </w:r>
      <w:r>
        <w:rPr>
          <w:rFonts w:ascii="Arial" w:cs="Arial" w:eastAsia="Arial" w:hAnsi="Arial"/>
          <w:sz w:val="18"/>
          <w:szCs w:val="18"/>
          <w:color w:val="auto"/>
        </w:rPr>
        <w:t>: Strohm and her counsel seek approximately $1.1 million in attorneys’ fees and costs incurred in defending the federal criminal proceeding, 18%</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attorneys’ fees and costs. During August, 2009, we asserted counterclaims for $3.2 million against Strohm based on the undertakings she signed in 2003, in which she promised to repay all advanced expenses if it was ultimately adjudged that she did not meet the requisite standard of conduct. Presently before the Court are our motion for summary judgment based on Strohm’s undertakings on the grounds that her conviction establishes that she did not meet the requisite standard of conduct. Also pending before the Court is Strohm’s summary judgment motion seeking mandatory indemnification based on her claim that she was largely successful at trial.</w:t>
      </w:r>
    </w:p>
    <w:p>
      <w:pPr>
        <w:spacing w:after="0" w:line="22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Theft of Intellectual Property and Copyright Complaints. </w:t>
      </w:r>
      <w:r>
        <w:rPr>
          <w:rFonts w:ascii="Arial" w:cs="Arial" w:eastAsia="Arial" w:hAnsi="Arial"/>
          <w:sz w:val="17"/>
          <w:szCs w:val="17"/>
          <w:color w:val="auto"/>
        </w:rPr>
        <w:t>In January 2007, we filed a lawsuit in the Third Judicial District Court, Salt Lake County, State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Utah against WideBand Solutions, Inc. (“WideBand”) and two of its principals, one former employee named Dr. Jun Yang, and Andrew Chiang, who was previously affiliated with an entity which sold certain assets to us (the “Trade Secret Case”). We also brought claims against Biamp Systems Corporation, Inc. (“Biamp”). The matter was subsequently removed to federal court, the United States District Court, District of Utah, Central Division. The case is styled </w:t>
      </w:r>
      <w:r>
        <w:rPr>
          <w:rFonts w:ascii="Arial" w:cs="Arial" w:eastAsia="Arial" w:hAnsi="Arial"/>
          <w:sz w:val="17"/>
          <w:szCs w:val="17"/>
          <w:i w:val="1"/>
          <w:iCs w:val="1"/>
          <w:color w:val="auto"/>
        </w:rPr>
        <w:t xml:space="preserve">ClearOne Communications, Inc. v. Jun Yang, et. al. </w:t>
      </w:r>
      <w:r>
        <w:rPr>
          <w:rFonts w:ascii="Arial" w:cs="Arial" w:eastAsia="Arial" w:hAnsi="Arial"/>
          <w:sz w:val="17"/>
          <w:szCs w:val="17"/>
          <w:color w:val="auto"/>
        </w:rPr>
        <w:t>Civil No. 2:07-co-37 TC. The Complaint brought claims against different combinations of the defendants</w:t>
      </w:r>
      <w:r>
        <w:rPr>
          <w:rFonts w:ascii="Arial" w:cs="Arial" w:eastAsia="Arial" w:hAnsi="Arial"/>
          <w:sz w:val="17"/>
          <w:szCs w:val="17"/>
          <w:i w:val="1"/>
          <w:iCs w:val="1"/>
          <w:color w:val="auto"/>
        </w:rPr>
        <w:t xml:space="preserve"> </w:t>
      </w:r>
      <w:r>
        <w:rPr>
          <w:rFonts w:ascii="Arial" w:cs="Arial" w:eastAsia="Arial" w:hAnsi="Arial"/>
          <w:sz w:val="17"/>
          <w:szCs w:val="17"/>
          <w:color w:val="auto"/>
        </w:rPr>
        <w:t>for, among other things, misappropriation of certain trade secrets, breach of contract, conversion, unjust enrichment and intentional interference with business and contractual relations, primarily in relation to certain algorithms and computer code. The relief being sought included an order enjoining the defendants from further use of our trade secrets and an award consisting of, among other things, compensation and damages. The court subsequently granted leave to add additional defendants to the case, and so WideBand principal Lonny Bowers and a company named Versatile DSP, Inc. owned in whole or in part by defendant Jun Yan, were both added as defendants in the case. The WideBand-relaetd persons and entities have been referred to as the “WideBand Defendants” in the various cases.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2007, we filed a motion for a preliminary injunction in the Trade Secret Case, seeking to enjoin Wideband from licensing certain technology we believe constituted our intellectual property and trade secrets to Harman Music Group, Inc. (“Harman”). On September 13, 2007, the court in the Trade Secret Case granted us leave to add Harman and a former ClearOne employee working for Harman as defendants in that case. For procedural reasons, these claims against Harman and the Harman employee were refiled in Utah state court, the Third Judicial District Court for Salt Lake County, on September 18, 2007 (the “Harman Case”). Like the Intellectual Property Case, the Harman Case also brings claims related to the theft and misuse of ClearOne’s confidential and trade secret information. Harman has asserted a counterclaim in this case for bad-faith initiation of litigation. We believe the counterclaim is without merit and estimate that any potential loss from this counterclaim is remote.</w:t>
      </w:r>
    </w:p>
    <w:p>
      <w:pPr>
        <w:spacing w:after="0" w:line="20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October 30, 2007, the Chief Judge of the United States District Court in the Trade Secret Case, issued a preliminary injunction titled Memorandum Decision and Order (the “Injunction Order”). The Injunction Order “grants ClearOne’s motion for a Preliminary Injunction,” and orders that “Dr. Yang, as well as his agents, servants, officers, employees, entities and those acting under his direction and control, are hereby enjoined from working on or delivering any computer code – either source code or object code – to Harman until the completion of the trial.” In reaching its decision, the Court found that Dr. Yang was subject to a valid and enforceable Confidentiality, Non-Competition, and Invention Assignment Agreement (the “NDA”), and that ClearOne had demonstrated “a substantial likelihood that ClearOne will succeed on its claims that Dr. Yang violated the NDA” and derived the code that WideBand was attempting to license to Harman from code belonging to ClearOne.</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October 2007, we filed a second action against WideBand and the same three principals named as defendants in the Intellectual Property Case, also in the United States District Court, District of Utah, Central Division, this time alleging copyright infringement, vicarious copyright infringement, and contributory copyright infringement (the “Copyright Case”). The claims in the Copyright Case arise out of a copyright issued to us for the same intellectual property, including the algorithms and computer code that is the subject of the claims in the Trade Secret Case. The relief being sought included an order enjoining the defendants from further use of our copyrighted material, and an award consisting of, among other things, compensation and damages related to the copyright infringement. During May 2009, the individual WideBand defendants filed a counterclaim against us in the Copyright Case. ClearOne requested the Court to dismiss with prejudice all of these counterclaims, and the Court granted the motion on August 7, 2009. In light of the judgment in the Trade Secret Case, discussed below, we subsequently voluntarily dismissed the Copyright Case, without prejudice.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ind w:right="60"/>
        <w:spacing w:after="0" w:line="259" w:lineRule="auto"/>
        <w:rPr>
          <w:sz w:val="20"/>
          <w:szCs w:val="20"/>
          <w:color w:val="auto"/>
        </w:rPr>
      </w:pPr>
      <w:r>
        <w:rPr>
          <w:rFonts w:ascii="Arial" w:cs="Arial" w:eastAsia="Arial" w:hAnsi="Arial"/>
          <w:sz w:val="18"/>
          <w:szCs w:val="18"/>
          <w:color w:val="auto"/>
        </w:rPr>
        <w:t>During June 2008, ClearOne filed a separate action in the United States District Court, District of Utah, Central Division, against WideBand Solutions, Inc., a Georgia corporation ("WideBand Georgia") and Donald Bowers. The original Complaint brought claims, among others, for declaratory judgment, fraudulent transfer under Utah Code Ann. § 25-6-1, et. seq., and misappropriation of trade secrets. In August 2009, the Court granted us leave to add additional claims against the defendants, including for trade libel and defamation. This action is still pending.</w:t>
      </w: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June 2008, the United States District Court in the Trade Secret Case entered an order granting ClearOne's request for a temporary restraining order ("TRO") against any sale or transfer of ownership of certain assets of WideBand to WideBand Solutions, Inc., a Georgia Corporation. The TRO provides that "ClearOne has met the elements necessary for issuance of a TRO to preserve the status quo," and imposes certain prohibitions against any sale or transfer of ownership of certain of the WideBand Defendants' assets, consisting of certain computer code and algorithms related thereto. The TRO also states that none of WideBand profits from the Disputed Code shall be transferred or conveyed to the Georgia entity.</w:t>
      </w:r>
    </w:p>
    <w:p>
      <w:pPr>
        <w:spacing w:after="0" w:line="20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October and November 2008, the Trade Secret Case was presented to a jury. On November 5, 2008, the jury returned a unanimous verdict in favor of us and against all of the Defendants. Accordingly, the jury awarded ClearOne approximately $3.5 million in compensatory damages and $7.0 million in punitive damages. Among other things, the jury found that all of the Defendants willfully and maliciously misappropriated our trade secrets. The court left in place the previously-entered preliminary injunction, pending our application for entry of a permanent injunction against the Defendants.</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8, 2009 the court issued a permanent injunction order against all of the defendants. Specifically, the WideBand defendants were prohibited from any further use of our trade secrets, barred from using any of the trade names associated with products that had been found to have used our trade secrets, and were ordered to provide a copy of the permanent injunction to future employers, potential licensors and anyone interested in acquiring WideBand’s assets. Biamp was ordered to destroy and not to use any of the object code that it had previously licensed from WideBand. On April 20, 2009 the court issued a ruling on the parties’ post-verdict motions. Among other things, the court affirmed the jury’s finding that all of the Defendants had acted willfully and maliciously in misappropriating our trade secrets, denied our request for prejudgment interest, and denied Defendants’ post-trial requests to set aside the verdict. The court also ruled that our fiduciary duty claims against Andrew Chiang and Jun Yang were pre-empted by the trade secret act, reducing the damage awards against these two defendants, but for different reasons also increasing the award against Biamp from about $1.6 million to about $3.6 million. On April 21, 2009, the court entered a final Judgment in our favor in the amount of approximately $9.7 million. The WideBand Defendants and Biamp have appealed the Court’s judgment and certain other pre- and post-trial rulings.</w:t>
      </w:r>
    </w:p>
    <w:p>
      <w:pPr>
        <w:spacing w:after="0" w:line="2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During July 2009, the Court issued an award of costs to us in the amount of $75,000. The Court has under consideration our request for an award of attorneys’ fees and related litigation costs, in the approximate amount of $1.9 million.</w:t>
      </w:r>
    </w:p>
    <w:p>
      <w:pPr>
        <w:spacing w:after="0" w:line="19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Biamp has posted a cash bond to secure the judgment against it, in the amount of approximately $3.7 million. Because the WideBand Defendants have not posted a bond, we are pursuing collection and enforcement of our judgment against the WideBand Defendants. As part of the enforcement proceedings, we have initiated collection proceedings in the courts in Massachusetts, Connecticut, and Georgia. No counterclaims or other claims have been asserted against us in the WideBand collection actions.</w:t>
      </w: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July 2009, we filed a motion in the Trade Secret Case seeking contempt and additional injunctive relief against the WideBand Defendants, and Donald D. Bowers, the father of WideBand defendant Lonny Bowers, a company owned in whole or in part by Donald Bowers named DialHD, Inc. (“DialHD”) (a Georgia corporation), and David Sullivan, a resident of Connecticut. We alleged that the WideBand defendants were working in concert with Lonny Bowers’ father, Donald Bowers, to circumvent the Court’s permanent injunction by establishing DialHD as a new company through which to continue to sell products containing our trade secrets. On July 31, 2009, the Court granted the Temporary Restraint Order (TRO) motion, and issued a written order on August 5, 2009. In its written order, the Court prohibited “any further marketing, selling, manufacturing, development, modification, duplication, or transport or delivery of any of the technology contained in the DialHD Infringing Products”and placed a “restriction upon any further marketing, selling, delivery, support, and/or use of the DialHD Infringing Products, including to service any past or existing customers.” The Court further ordered that the WideBand Defendants, along with DialHD, Donald Bowers, and David Sullivan, were not to transfer, hide or dispose of any assets, and were not to transfer any money beyond the jurisdiction of the Court, to preserve evidence, and to communicate the TRO to their suppliers and distributors. The Court has under consideration additional requests for relief from us, including our request for an award of attorneys’ fees and costs from DialHD, Donald Bowers, and David Sullivan.</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spacing w:after="0" w:line="297" w:lineRule="auto"/>
        <w:rPr>
          <w:sz w:val="20"/>
          <w:szCs w:val="20"/>
          <w:color w:val="auto"/>
        </w:rPr>
      </w:pPr>
      <w:r>
        <w:rPr>
          <w:rFonts w:ascii="Arial" w:cs="Arial" w:eastAsia="Arial" w:hAnsi="Arial"/>
          <w:sz w:val="16"/>
          <w:szCs w:val="16"/>
          <w:color w:val="auto"/>
        </w:rPr>
        <w:t>On September 3, 2009, the Court in the Trade Secret Case issued a decision finding Donald Bowers in contempt of Court. More specifically, the Court found that “Donald Bowers is in contempt of court for filing a UCC-1 Financing Statement in Massachusetts on November 6, 2008, thereby encumbering WideBand Solutions’ intellectual property at issue in this trade secret litigation in violation of the court’s June 26, 2008 Order.” Donald Bowers was also found “in contempt of Court for failing to appear at a February 10, 2009 contempt hearing.” The Court awarded us attorneys’ fees and costs, and we have applied for this award in the approximate amount of $57,000. On September 17, 2009, Donald Bowers filed for personal bankruptcy in the state of Georgia.</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While we intend to vigorously pursue collection of the damage awards, there can be no assurance that we will ultimately collect on all or a portion of the award. Furthermore, the jury’s verdict and damage awards are subject to appeal by one or more of the defendants.</w:t>
      </w:r>
    </w:p>
    <w:p>
      <w:pPr>
        <w:spacing w:after="0" w:line="19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i w:val="1"/>
          <w:iCs w:val="1"/>
          <w:color w:val="auto"/>
        </w:rPr>
        <w:t>The Lonny Bowers Connecticut Action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or about July 27, 2009, Lonny Bowers, one of the WideBand Defendants, filed a pro se lawsuit against ClearOne,</w:t>
      </w:r>
      <w:r>
        <w:rPr>
          <w:rFonts w:ascii="Arial" w:cs="Arial" w:eastAsia="Arial" w:hAnsi="Arial"/>
          <w:sz w:val="17"/>
          <w:szCs w:val="17"/>
          <w:i w:val="1"/>
          <w:iCs w:val="1"/>
          <w:color w:val="auto"/>
        </w:rPr>
        <w:t xml:space="preserve"> </w:t>
      </w:r>
      <w:r>
        <w:rPr>
          <w:rFonts w:ascii="Arial" w:cs="Arial" w:eastAsia="Arial" w:hAnsi="Arial"/>
          <w:sz w:val="17"/>
          <w:szCs w:val="17"/>
          <w:color w:val="auto"/>
        </w:rPr>
        <w:t>attorney James E. Magleby (who is one of the lawyers representing us in the WideBand matters), and the Honorable Tena Campbell (the judge in the Trade Secret Case), in the United States District Court for the District of Connecticut. The claims asserted by Lonny Bowers in that case relate to various events occurring in the Trade Secret Case in Utah, including claims that Lonny Bowers’ civil rights have been violated by the defendants. We have filed a motion to dismiss that lawsuit, or in the alternative to have the lawsuit transferred to the United States District Court for the District of Utah. We believe Lonny Bowers’ claims are meritless and estimate that any potential loss from this counterclaim is remote.</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DialHD Georgia Action</w:t>
      </w:r>
      <w:r>
        <w:rPr>
          <w:rFonts w:ascii="Arial" w:cs="Arial" w:eastAsia="Arial" w:hAnsi="Arial"/>
          <w:sz w:val="18"/>
          <w:szCs w:val="18"/>
          <w:color w:val="auto"/>
        </w:rPr>
        <w:t>: During July 2009, DialHD and Donald Bowers filed a lawsuit against us in the Superior Court of Columbia County in the State</w:t>
      </w:r>
      <w:r>
        <w:rPr>
          <w:rFonts w:ascii="Arial" w:cs="Arial" w:eastAsia="Arial" w:hAnsi="Arial"/>
          <w:sz w:val="18"/>
          <w:szCs w:val="18"/>
          <w:i w:val="1"/>
          <w:iCs w:val="1"/>
          <w:color w:val="auto"/>
        </w:rPr>
        <w:t xml:space="preserve"> </w:t>
      </w:r>
      <w:r>
        <w:rPr>
          <w:rFonts w:ascii="Arial" w:cs="Arial" w:eastAsia="Arial" w:hAnsi="Arial"/>
          <w:sz w:val="18"/>
          <w:szCs w:val="18"/>
          <w:color w:val="auto"/>
        </w:rPr>
        <w:t>of Georgia. DialHD is apparently owned in whole or in part by Donald Bowers, who is the father of WideBand defendant Lonny Bowers. The complaint asserts that we have interfered with DialHD’s business relationships, conducted abusive litigation, and engaged in RICO violations. The claims asserted in this case relate to various events occurring in the Trade Secret Case in Utah. We have filed a motion to dismiss that lawsuit, or in the alternative to have the lawsuit transferred to the United States District Court for the District of Utah. Donald Bowers and DialHD have filed a request to amend the compliant, which we have opposed. We believe the asserted and pending claims by Donald Bowers and DialHD are meritless and estimate that any potential loss from this counterclaim is remote.</w:t>
      </w:r>
    </w:p>
    <w:p>
      <w:pPr>
        <w:spacing w:after="0" w:line="2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 xml:space="preserve">The Shareholder Derivative Actions. </w:t>
      </w:r>
      <w:r>
        <w:rPr>
          <w:rFonts w:ascii="Arial" w:cs="Arial" w:eastAsia="Arial" w:hAnsi="Arial"/>
          <w:sz w:val="16"/>
          <w:szCs w:val="16"/>
          <w:color w:val="auto"/>
        </w:rPr>
        <w:t>Between March and August 2003, four shareholder derivative actions were filed in the Third Judicial District Court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Salt Lake County, State of Utah, by certain of our shareholders against various present and past officers and directors and against Ernst &amp; Young. The complaints asserted allegations similar to those asserted in the SEC complaint that was filed on January 15, 2003 with regard to alleged improper revenue recognition practices and the shareholders’ class action that was filed on June 30, 2003 and also alleged that the defendant directors and officers violated their fiduciary duties to us by causing or allowing us to recognize revenue in violation of U.S. GAAP and to issue materially misstated financial statements and that Ernst &amp; Young breached its professional responsibilities to us and acted in violation of U.S. GAAP and generally accepted auditing standards by failing to identify or prevent the alleged revenue recognition violations and by issuing unqualified audit opinions with respect to our fiscal 2002 and 2001 financial statements. One of these actions was dismissed without prejudice during June 2003. As to the other three actions, our Board of Directors appointed a special litigation committee of independent directors to evaluate the claims. The special committee determined that the maintenance of the derivative proceedings against the individual defendants was not in our best interests. Accordingly, during December 2003, we moved to dismiss those claims. During March 2004, our motions were granted, and the derivative claims were dismissed with prejudice as to all defendants except Ernst &amp; Young. We were substituted as the plaintiff in the action and are now pursued in our own name the claims against Ernst &amp; Young.</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April 2009, as a result of the jury’s conviction of former officers, Frances Flood and Susie Strohm on some or all of the crimes with which they were charged, and after further discussion with and upon considering the advice of counsel following communication with them and other factors such as the expense, company resources and time necessary to adequately prosecute the claims, we entered into a confidential settlement agreement and dismissed with prejudice our claim for damages against Ernst &amp; Young.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The Insurance Coverage Action. </w:t>
      </w:r>
      <w:r>
        <w:rPr>
          <w:rFonts w:ascii="Arial" w:cs="Arial" w:eastAsia="Arial" w:hAnsi="Arial"/>
          <w:sz w:val="17"/>
          <w:szCs w:val="17"/>
          <w:color w:val="auto"/>
        </w:rPr>
        <w:t>On February 9, 2004, ClearOne and Edward Dallin Bagley (“Bagley”), a former director and significant shareholder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ClearOne, jointly filed an action in the United States District Court for the District of Utah, Central Division, against National Union Fire Insurance Company of Pittsburgh, Pennsylvania (“National Union”) and Lumbermens Mutual Insurance Company (“Lumbermens Mutual”), the carriers of certain prior period directors and officers’ liability insurance policies, to recover the costs of defending and resolving claims against certain of our present and former directors and officers in connection with the SEC complaint filed on January 15, 2003, the shareholders’ class action filed on June 30, 2003, and the shareholder derivative actions described above, and seeking other damages resulting from the refusal of such carriers to timely pay the amounts owing under such liability insurance policies. This action was consolidated into a declaratory relief action filed by one of the insurance carriers on February 6, 2004 against us and certain of our current and former directors. In this action, the insurers asserted that they are entitled to rescind insurance coverage under our directors and officers’ liability insurance policies, $3.0 million of which was provided by National Union and $2.0 million which was provided by Lumbermens Mutual, based on alleged misstatements in our insurance applications. In February 2005, we entered into a confidential settlement agreement with Lumbermens Mutual pursuant to which ClearOne and Bagley received a lump-sum cash amount and the plaintiffs agreed to dismiss their claims against Lumbermens Mutual with prejudice. The cash settlement was held in a segregated account until the claims involving National Union were resolved, at which time the amounts received in the action were to be allocated between us and Bagley.</w:t>
      </w:r>
    </w:p>
    <w:p>
      <w:pPr>
        <w:spacing w:after="0" w:line="21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ClearOne and Bagley entered into a Joint Prosecution and Defense Agreement in connection with the action under which we were obligated to pay all litigation expenses in the case except those that are solely related to Bagley’s claims. (See “Item 13. Certain Relationships and Related Transactions”).</w:t>
      </w:r>
    </w:p>
    <w:p>
      <w:pPr>
        <w:spacing w:after="0" w:line="15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October 2005, the court granted summary judgment in favor of National Union on its rescission defense and accordingly entered a judgment dismissing all of the claims asserted by us and Mr. Bagley. On February 2, 2006, we and Mr. Bagley appealed the summary judgment ruling to the U.S. Court of Appeals for the Tenth Circuit, and on July 25, 2007, the Tenth Circuit issued its decision reversing the summary judgment as to our claims but affirming it as to Bagley’s claims. The case was remanded back to the district court for trial on our claims for breach of contract and for breach of the implied covenant of good faith and fair dealing and on National Union’s defenses, including its rescission defense.</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April 2009, because the conviction of former CEO Frances Flood on multiple counts of securities fraud supported National Union’s rescission defense and after further discussion with and upon considering the advice of counsel following discussions with them and other factors such as expense, company resources and time necessary to adequately prosecute the claims, we entered into a confidential settlement agreement and dismissed with prejudice all of our claims against National Union.</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October 7, 2009, we entered into an agreement with Bagley, wherein the Joint Prosecution and Defense Agreement was terminated and Bagley waived all his claims to settlement proceeds received from Lumbermens Mutual and National Union. We also released Bagley of any obligations for attorneys’ fees or other expenses that might have been incurred in the litigation against Lumbermens Mutual or National Union.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agreement, we recognized as other income the settlement money received from Lumbermens Mutual during the year ended June 30, 2009.</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These litigations are subject to all of the risks and uncertainties of litigation and there can be no assurance as to the probable result of the litigations.</w:t>
      </w:r>
    </w:p>
    <w:p>
      <w:pPr>
        <w:spacing w:after="0" w:line="26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believes it is adequately accrued for the aforementioned contingent liabilities. While we intend to defend ourselves in the above matters vigorously and diligently, there exists the possibility of adverse outcomes that we estimate could be up to $1.6 million. If these adverse outcomes were to occur, our financial position, results of operations and cash flows could be negatively affected materially for the period in which the adverse outcomes are known.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9.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Buy-Back Program</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30, 2007, the Company announced that its Board of Directors had approved a stock buy-back program to purchase up $3,625 of the Company’s common stock over a 12 month period in open market and private block transactions. On May 1, 2008 the Company announced that its Board of Directors authorized the purchase of up to an additional $1 million of the Company’s common stock. Each of these approved share repurchase programs have expired. In conjunction with these stock buy-back programs, the Company repurchased 835,000 shares for approximately $4,300 during the year ended June 30, 2008. All repurchased shares were immediately retired.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 Program</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11, 2008, we announced that our Board of Directors authorized the repurchase of up to 2,000,000 of our shares in a modified Dutch auction tender offer at a price per share of no less then $4.00 and no greater than $5.00 per share. Under the tender offer, which expired on September 16, 2008, we repurchased 1,342,620 shares, or approximately 13% of shares outstanding, for approximately $6.77 million at a price per share of $5.00 during the year ended June 30, 2009. All repurchased shares were immediately retired.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June 30, 2009, the Company had two share-based compensation plans, one which was replaced on November 20, 2007, and one which became active on the same date. The plans are described below.</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1998 Incentive Plan (the “1998 Plan”) had shares of common stock available for issuance to employees and directors. Provisions of the 1998 Plan included the granting of stock options. Provisions of the 1998 Plan include the granting of incentive and non-qualified stock options.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June 30, 2009, 12,500 and 125,250 of these options that cliff vest after 9.8 and 6.0 years, respectively, remain outstanding.</w:t>
      </w:r>
    </w:p>
    <w:p>
      <w:pPr>
        <w:spacing w:after="0" w:line="21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also has a 2007 Equity Incentive Plan (the “2007 Plan”). Provisions of the 2007 Plan include the granting of up to 1,000,000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in their sole discretion, determine, or in the absence of a Compensation Committee, a properly constituted Compensation Committee or the Board itself.</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have the authority to elect that all unvested options shall vest and become exercisable immediately prior to the event or closing of the transaction. All options outstanding as of June 30, 2009 had contractual lives of ten years. Under the 1998 Plan, 2,500,000 shares were authorized for grant. As of June 30, 2009, there were 1,048,086 options outstanding under the 1998 Plan, which includes the cliff vesting and 3 or 4-year vesting options discussed above. As of June 30, 2009 there were 195,000 options outstanding under the 2007 Plan.</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8" w:name="page59"/>
    <w:bookmarkEnd w:id="58"/>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SFAS No. 123R and the original SFAS No. 123.</w:t>
      </w:r>
    </w:p>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applying the Black-Scholes methodology to the options granted during the fiscal years ended June 30, 2009 and 2008, the Company used the following assumptions:</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8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Years ended June 30,</w:t>
            </w: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average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Expected option life, average</w:t>
            </w:r>
          </w:p>
        </w:tc>
        <w:tc>
          <w:tcPr>
            <w:tcW w:w="1480" w:type="dxa"/>
            <w:vAlign w:val="bottom"/>
          </w:tcPr>
          <w:p>
            <w:pPr>
              <w:ind w:left="420"/>
              <w:spacing w:after="0"/>
              <w:rPr>
                <w:sz w:val="20"/>
                <w:szCs w:val="20"/>
                <w:color w:val="auto"/>
              </w:rPr>
            </w:pPr>
            <w:r>
              <w:rPr>
                <w:rFonts w:ascii="Arial" w:cs="Arial" w:eastAsia="Arial" w:hAnsi="Arial"/>
                <w:sz w:val="18"/>
                <w:szCs w:val="18"/>
                <w:color w:val="auto"/>
              </w:rPr>
              <w:t>3.9 years</w:t>
            </w:r>
          </w:p>
        </w:tc>
        <w:tc>
          <w:tcPr>
            <w:tcW w:w="1500" w:type="dxa"/>
            <w:vAlign w:val="bottom"/>
          </w:tcPr>
          <w:p>
            <w:pPr>
              <w:ind w:left="420"/>
              <w:spacing w:after="0"/>
              <w:rPr>
                <w:sz w:val="20"/>
                <w:szCs w:val="20"/>
                <w:color w:val="auto"/>
              </w:rPr>
            </w:pPr>
            <w:r>
              <w:rPr>
                <w:rFonts w:ascii="Arial" w:cs="Arial" w:eastAsia="Arial" w:hAnsi="Arial"/>
                <w:sz w:val="18"/>
                <w:szCs w:val="18"/>
                <w:color w:val="auto"/>
              </w:rPr>
              <w:t>4.3 years</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 average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73.9%</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0.0%</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Expected annual forfeiture rate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r>
    </w:tbl>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 The expected price volatility is determined using a weighted average of daily historical volatility of the Company’s stock price over the corresponding expected option life. The Company does not currently intend to distribute any dividend payments to shareholders. Under SFAS No. 123R,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annual forfeiture rate for options that will cliff vest after 9.8 or 6.0 years to be 38.0 percent and the annual forfeiture rate for options that vest on 3 or 4 year vesting schedules to be 10.0 percent.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 for the fiscal years ended June 30, 2009 and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2980" w:type="dxa"/>
            <w:vAlign w:val="bottom"/>
          </w:tcPr>
          <w:p>
            <w:pPr>
              <w:ind w:left="1620"/>
              <w:spacing w:after="0"/>
              <w:rPr>
                <w:sz w:val="20"/>
                <w:szCs w:val="20"/>
                <w:color w:val="auto"/>
              </w:rPr>
            </w:pPr>
            <w:r>
              <w:rPr>
                <w:rFonts w:ascii="Arial" w:cs="Arial" w:eastAsia="Arial" w:hAnsi="Arial"/>
                <w:sz w:val="18"/>
                <w:szCs w:val="18"/>
                <w:b w:val="1"/>
                <w:bCs w:val="1"/>
                <w:color w:val="auto"/>
              </w:rPr>
              <w:t>Stock Options</w:t>
            </w: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2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Exercise Price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2007</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1,273,199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319,000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2660" w:type="dxa"/>
            <w:vAlign w:val="bottom"/>
            <w:gridSpan w:val="4"/>
          </w:tcPr>
          <w:p>
            <w:pPr>
              <w:jc w:val="right"/>
              <w:ind w:right="60"/>
              <w:spacing w:after="0"/>
              <w:rPr>
                <w:sz w:val="20"/>
                <w:szCs w:val="20"/>
                <w:color w:val="auto"/>
              </w:rPr>
            </w:pPr>
            <w:r>
              <w:rPr>
                <w:rFonts w:ascii="Arial" w:cs="Arial" w:eastAsia="Arial" w:hAnsi="Arial"/>
                <w:sz w:val="18"/>
                <w:szCs w:val="18"/>
                <w:color w:val="auto"/>
              </w:rPr>
              <w:t>(68,058)</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7.39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2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(96,727)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(228,368)</w:t>
            </w: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2008</w:t>
            </w:r>
          </w:p>
        </w:tc>
        <w:tc>
          <w:tcPr>
            <w:tcW w:w="144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263,500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2660" w:type="dxa"/>
            <w:vAlign w:val="bottom"/>
            <w:gridSpan w:val="4"/>
          </w:tcPr>
          <w:p>
            <w:pPr>
              <w:jc w:val="right"/>
              <w:ind w:right="60"/>
              <w:spacing w:after="0"/>
              <w:rPr>
                <w:sz w:val="20"/>
                <w:szCs w:val="20"/>
                <w:color w:val="auto"/>
              </w:rPr>
            </w:pPr>
            <w:r>
              <w:rPr>
                <w:rFonts w:ascii="Arial" w:cs="Arial" w:eastAsia="Arial" w:hAnsi="Arial"/>
                <w:sz w:val="18"/>
                <w:szCs w:val="18"/>
                <w:color w:val="auto"/>
              </w:rPr>
              <w:t>(29,047)</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2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(149,614)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(40,799)</w:t>
            </w: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2009</w:t>
            </w:r>
          </w:p>
        </w:tc>
        <w:tc>
          <w:tcPr>
            <w:tcW w:w="1440" w:type="dxa"/>
            <w:vAlign w:val="bottom"/>
            <w:tcBorders>
              <w:bottom w:val="single" w:sz="8" w:color="CCEEFF"/>
            </w:tcBorders>
            <w:gridSpan w:val="2"/>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1,243,086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Exercisable</w:t>
            </w:r>
          </w:p>
        </w:tc>
        <w:tc>
          <w:tcPr>
            <w:tcW w:w="1440" w:type="dxa"/>
            <w:vAlign w:val="bottom"/>
            <w:gridSpan w:val="2"/>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946,281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60" w:type="dxa"/>
            <w:vAlign w:val="bottom"/>
            <w:gridSpan w:val="4"/>
          </w:tcPr>
          <w:p>
            <w:pPr>
              <w:jc w:val="right"/>
              <w:ind w:right="2060"/>
              <w:spacing w:after="0"/>
              <w:rPr>
                <w:sz w:val="20"/>
                <w:szCs w:val="20"/>
                <w:color w:val="auto"/>
              </w:rPr>
            </w:pPr>
            <w:r>
              <w:rPr>
                <w:rFonts w:ascii="Arial" w:cs="Arial" w:eastAsia="Arial" w:hAnsi="Arial"/>
                <w:sz w:val="18"/>
                <w:szCs w:val="18"/>
                <w:color w:val="auto"/>
              </w:rPr>
              <w:t>F-24</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following table summarizes information about stock options outstanding as of June 30, 2009:</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gridSpan w:val="5"/>
          </w:tcPr>
          <w:p>
            <w:pPr>
              <w:ind w:left="84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18"/>
                <w:szCs w:val="18"/>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Range</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Number of Shares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00" w:type="dxa"/>
            <w:vAlign w:val="bottom"/>
          </w:tcPr>
          <w:p>
            <w:pPr>
              <w:spacing w:after="0"/>
              <w:rPr>
                <w:sz w:val="20"/>
                <w:szCs w:val="20"/>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Exercisable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 to $4.00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6.3 years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403,037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4.01 to $8.00</w:t>
            </w:r>
          </w:p>
        </w:tc>
        <w:tc>
          <w:tcPr>
            <w:tcW w:w="1560" w:type="dxa"/>
            <w:vAlign w:val="bottom"/>
          </w:tcPr>
          <w:p>
            <w:pPr>
              <w:jc w:val="right"/>
              <w:spacing w:after="0"/>
              <w:rPr>
                <w:sz w:val="20"/>
                <w:szCs w:val="20"/>
                <w:color w:val="auto"/>
              </w:rPr>
            </w:pPr>
            <w:r>
              <w:rPr>
                <w:rFonts w:ascii="Arial" w:cs="Arial" w:eastAsia="Arial" w:hAnsi="Arial"/>
                <w:sz w:val="18"/>
                <w:szCs w:val="18"/>
                <w:color w:val="auto"/>
              </w:rPr>
              <w:t>625,417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6.4 years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418,108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 to $12.00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 years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12.01 to $16.00</w:t>
            </w:r>
          </w:p>
        </w:tc>
        <w:tc>
          <w:tcPr>
            <w:tcW w:w="1560" w:type="dxa"/>
            <w:vAlign w:val="bottom"/>
          </w:tcPr>
          <w:p>
            <w:pPr>
              <w:jc w:val="right"/>
              <w:spacing w:after="0"/>
              <w:rPr>
                <w:sz w:val="20"/>
                <w:szCs w:val="20"/>
                <w:color w:val="auto"/>
              </w:rPr>
            </w:pPr>
            <w:r>
              <w:rPr>
                <w:rFonts w:ascii="Arial" w:cs="Arial" w:eastAsia="Arial" w:hAnsi="Arial"/>
                <w:sz w:val="18"/>
                <w:szCs w:val="18"/>
                <w:color w:val="auto"/>
              </w:rPr>
              <w:t>84,500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0.8 years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73,025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16.01 to $20.00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0.8 years</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Total</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1,243,086</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w w:val="86"/>
              </w:rPr>
              <w:t>5.8 years</w:t>
            </w:r>
          </w:p>
        </w:tc>
        <w:tc>
          <w:tcPr>
            <w:tcW w:w="1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946,281</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non-vested stock options outstanding as of June 30, 2009:</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Average Grant-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tcPr>
          <w:p>
            <w:pPr>
              <w:ind w:left="1300"/>
              <w:spacing w:after="0"/>
              <w:rPr>
                <w:sz w:val="20"/>
                <w:szCs w:val="20"/>
                <w:color w:val="auto"/>
              </w:rPr>
            </w:pPr>
            <w:r>
              <w:rPr>
                <w:rFonts w:ascii="Arial" w:cs="Arial" w:eastAsia="Arial" w:hAnsi="Arial"/>
                <w:sz w:val="18"/>
                <w:szCs w:val="18"/>
                <w:b w:val="1"/>
                <w:bCs w:val="1"/>
                <w:color w:val="auto"/>
              </w:rPr>
              <w:t>Non-vested Shares</w:t>
            </w:r>
          </w:p>
        </w:tc>
        <w:tc>
          <w:tcPr>
            <w:tcW w:w="8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Date 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451,310</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263,500</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(268,391)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prior to vesting</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(149,614)</w:t>
            </w: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Non-vested at June 30, 2009</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296,805</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June 30, 2009, the total compensation cost related to stock options not yet recognized and before the affect of any forfeitures was $507, which is expected to be recognized over approximately the next 3 years on a straight-line basis.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weighted-average estimated grant date fair value of the stock options granted during the fiscal year ended June 30, 2009 and 2008 was $1.64 and $3.69 per share,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Significant Customers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Sales to significant customers that represented more than 10 percent of total revenues are as follows:</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rPr>
              <w:t>Years ended June 30,</w:t>
            </w: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31.0%</w:t>
            </w: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Customer B</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14.4%</w:t>
            </w:r>
          </w:p>
        </w:tc>
      </w:tr>
      <w:tr>
        <w:trPr>
          <w:trHeight w:val="223"/>
        </w:trPr>
        <w:tc>
          <w:tcPr>
            <w:tcW w:w="20" w:type="dxa"/>
            <w:vAlign w:val="bottom"/>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12.0%</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14.4%</w:t>
            </w:r>
          </w:p>
        </w:tc>
      </w:tr>
      <w:tr>
        <w:trPr>
          <w:trHeight w:val="216"/>
        </w:trPr>
        <w:tc>
          <w:tcPr>
            <w:tcW w:w="20" w:type="dxa"/>
            <w:vAlign w:val="bottom"/>
          </w:tcPr>
          <w:p>
            <w:pPr>
              <w:spacing w:after="0"/>
              <w:rPr>
                <w:sz w:val="18"/>
                <w:szCs w:val="18"/>
                <w:color w:val="auto"/>
              </w:rPr>
            </w:pPr>
          </w:p>
        </w:tc>
        <w:tc>
          <w:tcPr>
            <w:tcW w:w="1540" w:type="dxa"/>
            <w:vAlign w:val="bottom"/>
          </w:tcPr>
          <w:p>
            <w:pPr>
              <w:ind w:left="140"/>
              <w:spacing w:after="0" w:line="196" w:lineRule="exact"/>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58.0%</w:t>
            </w:r>
          </w:p>
        </w:tc>
        <w:tc>
          <w:tcPr>
            <w:tcW w:w="15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59.8%</w:t>
            </w: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total gross accounts receivable from significant customers.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b w:val="1"/>
                <w:bCs w:val="1"/>
                <w:color w:val="auto"/>
              </w:rPr>
              <w:t>As of June 30,</w:t>
            </w:r>
          </w:p>
        </w:tc>
        <w:tc>
          <w:tcPr>
            <w:tcW w:w="3420" w:type="dxa"/>
            <w:vAlign w:val="bottom"/>
          </w:tcPr>
          <w:p>
            <w:pPr>
              <w:spacing w:after="0"/>
              <w:rPr>
                <w:sz w:val="20"/>
                <w:szCs w:val="20"/>
                <w:color w:val="auto"/>
              </w:rPr>
            </w:pPr>
          </w:p>
        </w:tc>
      </w:tr>
      <w:tr>
        <w:trPr>
          <w:trHeight w:val="223"/>
        </w:trPr>
        <w:tc>
          <w:tcPr>
            <w:tcW w:w="3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3420" w:type="dxa"/>
            <w:vAlign w:val="bottom"/>
          </w:tcPr>
          <w:p>
            <w:pPr>
              <w:spacing w:after="0"/>
              <w:rPr>
                <w:sz w:val="19"/>
                <w:szCs w:val="19"/>
                <w:color w:val="auto"/>
              </w:rPr>
            </w:pPr>
          </w:p>
        </w:tc>
      </w:tr>
      <w:tr>
        <w:trPr>
          <w:trHeight w:val="216"/>
        </w:trPr>
        <w:tc>
          <w:tcPr>
            <w:tcW w:w="344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19.2%</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Customer B</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15.5%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15.3%</w:t>
            </w:r>
          </w:p>
        </w:tc>
        <w:tc>
          <w:tcPr>
            <w:tcW w:w="3420" w:type="dxa"/>
            <w:vAlign w:val="bottom"/>
          </w:tcPr>
          <w:p>
            <w:pPr>
              <w:spacing w:after="0"/>
              <w:rPr>
                <w:sz w:val="18"/>
                <w:szCs w:val="18"/>
                <w:color w:val="auto"/>
              </w:rPr>
            </w:pPr>
          </w:p>
        </w:tc>
      </w:tr>
      <w:tr>
        <w:trPr>
          <w:trHeight w:val="223"/>
        </w:trPr>
        <w:tc>
          <w:tcPr>
            <w:tcW w:w="3440" w:type="dxa"/>
            <w:vAlign w:val="bottom"/>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9.1%</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w:t>
            </w:r>
          </w:p>
        </w:tc>
        <w:tc>
          <w:tcPr>
            <w:tcW w:w="3420" w:type="dxa"/>
            <w:vAlign w:val="bottom"/>
          </w:tcPr>
          <w:p>
            <w:pPr>
              <w:spacing w:after="0"/>
              <w:rPr>
                <w:sz w:val="19"/>
                <w:szCs w:val="19"/>
                <w:color w:val="auto"/>
              </w:rPr>
            </w:pPr>
          </w:p>
        </w:tc>
      </w:tr>
      <w:tr>
        <w:trPr>
          <w:trHeight w:val="216"/>
        </w:trPr>
        <w:tc>
          <w:tcPr>
            <w:tcW w:w="3440" w:type="dxa"/>
            <w:vAlign w:val="bottom"/>
          </w:tcPr>
          <w:p>
            <w:pPr>
              <w:spacing w:after="0"/>
              <w:rPr>
                <w:sz w:val="18"/>
                <w:szCs w:val="18"/>
                <w:color w:val="auto"/>
              </w:rPr>
            </w:pPr>
          </w:p>
        </w:tc>
        <w:tc>
          <w:tcPr>
            <w:tcW w:w="1560" w:type="dxa"/>
            <w:vAlign w:val="bottom"/>
          </w:tcPr>
          <w:p>
            <w:pPr>
              <w:ind w:left="160"/>
              <w:spacing w:after="0" w:line="196" w:lineRule="exact"/>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43.8%</w:t>
            </w:r>
          </w:p>
        </w:tc>
        <w:tc>
          <w:tcPr>
            <w:tcW w:w="15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50.1%</w:t>
            </w:r>
          </w:p>
        </w:tc>
        <w:tc>
          <w:tcPr>
            <w:tcW w:w="3420" w:type="dxa"/>
            <w:vAlign w:val="bottom"/>
          </w:tcPr>
          <w:p>
            <w:pPr>
              <w:spacing w:after="0"/>
              <w:rPr>
                <w:sz w:val="18"/>
                <w:szCs w:val="18"/>
                <w:color w:val="auto"/>
              </w:rPr>
            </w:pPr>
          </w:p>
        </w:tc>
      </w:tr>
      <w:tr>
        <w:trPr>
          <w:trHeight w:val="21"/>
        </w:trPr>
        <w:tc>
          <w:tcPr>
            <w:tcW w:w="3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844"/>
        </w:trPr>
        <w:tc>
          <w:tcPr>
            <w:tcW w:w="3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F-25</w:t>
            </w: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18"/>
        </w:trPr>
        <w:tc>
          <w:tcPr>
            <w:tcW w:w="34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jc w:val="both"/>
        <w:ind w:right="540"/>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revenues and have a material adverse effect on the Company’s business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Savings and Profit Sharing Plan</w:t>
      </w:r>
    </w:p>
    <w:p>
      <w:pPr>
        <w:spacing w:after="0" w:line="25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has a 401(k) retirement savings and profit sharing plan to which it makes discretionary matching contributions, as authorized by the Board of Directors. All full-time employees who are at least 21 years of age and have a minimum of sixty days of service with the Company are eligible to participate in the plan. The Company’s contribution is determined annually by the board of directors. The Company’s retirement plan contribution expense for the fiscal years ended June 30, 2009 and 2008 totaled $107 and $108,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continuing operations before income taxes consisted of the following:</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Non-U.S.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on income from continuing operations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Years Ended June 30,</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ind w:left="286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9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(1,396)</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8"/>
                <w:szCs w:val="18"/>
                <w:color w:val="auto"/>
              </w:rPr>
              <w:t>U.S. State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(405)</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tcPr>
          <w:p>
            <w:pPr>
              <w:spacing w:after="0"/>
              <w:rPr>
                <w:sz w:val="19"/>
                <w:szCs w:val="19"/>
                <w:color w:val="auto"/>
              </w:rPr>
            </w:pPr>
          </w:p>
        </w:tc>
        <w:tc>
          <w:tcPr>
            <w:tcW w:w="3200" w:type="dxa"/>
            <w:vAlign w:val="bottom"/>
          </w:tcPr>
          <w:p>
            <w:pPr>
              <w:ind w:left="480"/>
              <w:spacing w:after="0"/>
              <w:rPr>
                <w:sz w:val="20"/>
                <w:szCs w:val="20"/>
                <w:color w:val="auto"/>
              </w:rPr>
            </w:pPr>
            <w:r>
              <w:rPr>
                <w:rFonts w:ascii="Arial" w:cs="Arial" w:eastAsia="Arial" w:hAnsi="Arial"/>
                <w:sz w:val="18"/>
                <w:szCs w:val="18"/>
                <w:color w:val="auto"/>
              </w:rPr>
              <w:t>Total current</w:t>
            </w:r>
          </w:p>
        </w:tc>
        <w:tc>
          <w:tcPr>
            <w:tcW w:w="20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(1,457)</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8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3200" w:type="dxa"/>
            <w:vAlign w:val="bottom"/>
          </w:tcPr>
          <w:p>
            <w:pPr>
              <w:ind w:left="140"/>
              <w:spacing w:after="0"/>
              <w:rPr>
                <w:sz w:val="20"/>
                <w:szCs w:val="20"/>
                <w:color w:val="auto"/>
              </w:rPr>
            </w:pPr>
            <w:r>
              <w:rPr>
                <w:rFonts w:ascii="Arial" w:cs="Arial" w:eastAsia="Arial" w:hAnsi="Arial"/>
                <w:sz w:val="18"/>
                <w:szCs w:val="18"/>
                <w:color w:val="auto"/>
              </w:rPr>
              <w:t>U.S. State</w:t>
            </w: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rPr>
                <w:sz w:val="17"/>
                <w:szCs w:val="17"/>
                <w:color w:val="auto"/>
              </w:rPr>
            </w:pPr>
          </w:p>
        </w:tc>
        <w:tc>
          <w:tcPr>
            <w:tcW w:w="32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Change in deferred before valuation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80" w:type="dxa"/>
            <w:vAlign w:val="bottom"/>
            <w:shd w:val="clear" w:color="auto" w:fill="CCEEFF"/>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rPr>
                <w:sz w:val="17"/>
                <w:szCs w:val="17"/>
                <w:color w:val="auto"/>
              </w:rPr>
            </w:pPr>
          </w:p>
        </w:tc>
        <w:tc>
          <w:tcPr>
            <w:tcW w:w="3200" w:type="dxa"/>
            <w:vAlign w:val="bottom"/>
          </w:tcPr>
          <w:p>
            <w:pPr>
              <w:ind w:left="300"/>
              <w:spacing w:after="0" w:line="201" w:lineRule="exact"/>
              <w:rPr>
                <w:sz w:val="20"/>
                <w:szCs w:val="20"/>
                <w:color w:val="auto"/>
              </w:rPr>
            </w:pPr>
            <w:r>
              <w:rPr>
                <w:rFonts w:ascii="Arial" w:cs="Arial" w:eastAsia="Arial" w:hAnsi="Arial"/>
                <w:sz w:val="18"/>
                <w:szCs w:val="18"/>
                <w:color w:val="auto"/>
              </w:rPr>
              <w:t>Decrease (increase) in valuation</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2860"/>
              <w:spacing w:after="0"/>
              <w:rPr>
                <w:sz w:val="20"/>
                <w:szCs w:val="20"/>
                <w:color w:val="auto"/>
              </w:rPr>
            </w:pPr>
            <w:r>
              <w:rPr>
                <w:rFonts w:ascii="Arial" w:cs="Arial" w:eastAsia="Arial" w:hAnsi="Arial"/>
                <w:sz w:val="18"/>
                <w:szCs w:val="18"/>
                <w:color w:val="auto"/>
              </w:rPr>
              <w:t>allowance</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(927)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tcPr>
          <w:p>
            <w:pPr>
              <w:spacing w:after="0"/>
              <w:rPr>
                <w:sz w:val="19"/>
                <w:szCs w:val="19"/>
                <w:color w:val="auto"/>
              </w:rPr>
            </w:pPr>
          </w:p>
        </w:tc>
        <w:tc>
          <w:tcPr>
            <w:tcW w:w="3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(349)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80" w:type="dxa"/>
            <w:vAlign w:val="bottom"/>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80" w:type="dxa"/>
            <w:vAlign w:val="bottom"/>
            <w:vMerge w:val="continue"/>
          </w:tcPr>
          <w:p>
            <w:pPr>
              <w:spacing w:after="0"/>
              <w:rPr>
                <w:sz w:val="22"/>
                <w:szCs w:val="2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(995)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8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4"/>
        </w:trPr>
        <w:tc>
          <w:tcPr>
            <w:tcW w:w="2880" w:type="dxa"/>
            <w:vAlign w:val="bottom"/>
          </w:tcPr>
          <w:p>
            <w:pPr>
              <w:spacing w:after="0"/>
              <w:rPr>
                <w:sz w:val="24"/>
                <w:szCs w:val="24"/>
                <w:color w:val="auto"/>
              </w:rPr>
            </w:pPr>
          </w:p>
        </w:tc>
        <w:tc>
          <w:tcPr>
            <w:tcW w:w="3200" w:type="dxa"/>
            <w:vAlign w:val="bottom"/>
            <w:tcBorders>
              <w:top w:val="single" w:sz="8" w:color="CCEEFF"/>
            </w:tcBorders>
          </w:tcPr>
          <w:p>
            <w:pPr>
              <w:ind w:left="2660"/>
              <w:spacing w:after="0"/>
              <w:rPr>
                <w:sz w:val="20"/>
                <w:szCs w:val="20"/>
                <w:color w:val="auto"/>
              </w:rPr>
            </w:pPr>
            <w:r>
              <w:rPr>
                <w:rFonts w:ascii="Arial" w:cs="Arial" w:eastAsia="Arial" w:hAnsi="Arial"/>
                <w:sz w:val="18"/>
                <w:szCs w:val="18"/>
                <w:color w:val="auto"/>
              </w:rPr>
              <w:t>F-26</w:t>
            </w:r>
          </w:p>
        </w:tc>
        <w:tc>
          <w:tcPr>
            <w:tcW w:w="20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ind w:right="420"/>
        <w:spacing w:after="0" w:line="277" w:lineRule="auto"/>
        <w:rPr>
          <w:sz w:val="20"/>
          <w:szCs w:val="20"/>
          <w:color w:val="auto"/>
        </w:rPr>
      </w:pPr>
      <w:r>
        <w:rPr>
          <w:rFonts w:ascii="Arial" w:cs="Arial" w:eastAsia="Arial" w:hAnsi="Arial"/>
          <w:sz w:val="18"/>
          <w:szCs w:val="18"/>
          <w:color w:val="auto"/>
        </w:rPr>
        <w:t>The following table presents the principal reasons for the difference between the actual effective income tax rate and the expected U.S. federal statutory income tax rate of 34.0 percent on income from continuing operations:</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U.S. federal statutory income tax rate at 34.0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percent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w w:val="97"/>
              </w:rPr>
              <w:t>State income tax (provision) benefit, net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federal income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 effect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Repatriated foreign earnings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Non-deductible SFAS No. 123R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compensation expense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w w:val="93"/>
              </w:rPr>
              <w:t>Foreign earnings or losses taxed at different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rates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Non-deductible items and 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Deferred income taxes are determined based on the differences between the financial reporting and income tax bases of assets and liabilities using enacted income tax rates expected to apply when the differences are expected to be settled or realized. As of June 30, 2009 and 2008, significant components of the net U.S. deferred income tax assets and (liabilities) were as follows: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As of June 30,</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Long-term</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Long-term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research and development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credits</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Alternative minimum tax credits</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Deductible SFAS 123R compensation</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sales returns and doubtful</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accounts</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4"/>
              </w:rPr>
              <w:t>Difference in property and equipment basis</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deferred income tax asset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2,970</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valuation allowance</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deferred income tax asset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has not provided for U.S. deferred income taxes or foreign withholding taxes on undistributed earnings of its non-U.S. subsidiary located in Hong Kong since these earnings are intended to be reinvested indefinitely in operations in Hong Kong, in accordance with APB No. 28. It is not practical to estimate the amount of additional taxes that might be payable on such undistributed earnings. For other non-U.S. subsidiaries the Company will provide for U.S. deferred income taxes or foreign withholding taxes on undistributed earnings. As of June 30, 2009 there are no earnings on which to provide U.S. taxes.</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62" w:name="page63"/>
    <w:bookmarkEnd w:id="62"/>
    <w:p>
      <w:pPr>
        <w:jc w:val="both"/>
        <w:ind w:right="140"/>
        <w:spacing w:after="0" w:line="279" w:lineRule="auto"/>
        <w:rPr>
          <w:sz w:val="20"/>
          <w:szCs w:val="20"/>
          <w:color w:val="auto"/>
        </w:rPr>
      </w:pPr>
      <w:r>
        <w:rPr>
          <w:rFonts w:ascii="Arial" w:cs="Arial" w:eastAsia="Arial" w:hAnsi="Arial"/>
          <w:sz w:val="17"/>
          <w:szCs w:val="17"/>
          <w:color w:val="auto"/>
        </w:rPr>
        <w:t xml:space="preserve">In accordance with Statement of Financial Accounting Standards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the Company’s analyzed its valuation allowance at June 30, 2009 and determined that, based upon available evidence, it is more likely than not that certain of its deferred tax assets may not be realized and, as such, has established a valuation allowance against certain deferred tax assets. These deferred tax assets include capital and unrealized loss carryovers, and certain state net operating loss carryovers and state research and development credits.</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June 30, 2009, the Company had federal alternative minimum tax (“AMT”) credit carryforwards of $409 which have no expiration date. The Company had capital loss carryforwards of $89, which will begin to expire in 2013 if not utilized. The Company had federal and state research credit carryovers of $107 and $745, respectively, which will begin to expire in 2029 and 2016, respectively, if not utilized. The Company has state net operating loss (“NOL”) carryforwards of approximately $4,225 which expire depending on the rules of the various states to which the carryovers relate.</w:t>
      </w:r>
    </w:p>
    <w:p>
      <w:pPr>
        <w:spacing w:after="0" w:line="19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adopted the provisions of FIN 48 on July 1, 2007. This interpretation clarifies the accounting for uncertain tax positions and requires companies to recognize the impact of a tax position in their financial statements if that position is more likely than not of being sustained on audit, based on the technical merits of the position.</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total liability for unrecognized tax benefits at June 30, 2009 and 2008, including temporary tax differences, was $1,262 and $1,209, respectively, of which $1,190 and $1,054, respectively, would favorably impact our effective tax rate if recognized. As of June 30, 2009 and 2008, we accrued $63 and $57, respectively, in interest and penalties related to unrecognized tax benefits. We account for interest expense and penalties for unrecognized tax benefits as part of our income tax provision. We do not anticipate that unrecognized tax benefits will significantly increase or decrease within 12 months of the reporting date.</w:t>
      </w:r>
    </w:p>
    <w:p>
      <w:pPr>
        <w:spacing w:after="0" w:line="215"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During the twelve month period ended June 30, 2009, we increased our liability for unrecognized tax benefits by $47. This increase in our unrecognized tax benefits is a result of utilization of certain tax attributes for which we typically record an unrecognized tax benefit. We recorded an unrecognized tax benefit related to the lapse of applicable statute of limitations of $213, of which $131 favorably impacted our effective tax rate. We also added $179 to our liability for unrecognized tax benefits, of which $97 had an unfavorable impact on our effective tax rate.</w:t>
      </w:r>
    </w:p>
    <w:p>
      <w:pPr>
        <w:spacing w:after="0" w:line="1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As of June 30,</w:t>
            </w:r>
          </w:p>
        </w:tc>
        <w:tc>
          <w:tcPr>
            <w:tcW w:w="4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opening balance</w:t>
            </w:r>
          </w:p>
        </w:tc>
        <w:tc>
          <w:tcPr>
            <w:tcW w:w="13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1,152</w:t>
            </w:r>
          </w:p>
        </w:tc>
        <w:tc>
          <w:tcPr>
            <w:tcW w:w="1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Tax positions taken in a prior period</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increases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Gross decreases</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Tax positions taken in the current period</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Gross increases</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taxing authorities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Lapse of applicable statute of limitations</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8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ending balance</w:t>
            </w: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1,199</w:t>
            </w:r>
          </w:p>
        </w:tc>
        <w:tc>
          <w:tcPr>
            <w:tcW w:w="140" w:type="dxa"/>
            <w:vAlign w:val="bottom"/>
            <w:tcBorders>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U.S. federal income tax returns for 2005 through 2008 are open tax years. The Company also files in various state and foreign jurisdictions. With few exceptions, the Company is no longer subject to state or non-U.S. income tax examinations by tax authorities for years prior to 2005. The Company is currently under audit by the Internal Revenue Service (“IRS”) for its 2008 tax return. As of the report date, the audit by the IRS has not progressed to a point to estimate what, if any, adjustments will be proposed by the IRS.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14. Related-Party Transactions</w:t>
      </w:r>
    </w:p>
    <w:p>
      <w:pPr>
        <w:spacing w:after="0" w:line="25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 xml:space="preserve">The Company and Edward Dallin Bagley, former Chairman of the Board of Directors and significant shareholder of the Company, jointly filed an action against National Union and Lumbermens Mutual. For additional discussion see Note 8 under </w:t>
      </w:r>
      <w:r>
        <w:rPr>
          <w:rFonts w:ascii="Arial" w:cs="Arial" w:eastAsia="Arial" w:hAnsi="Arial"/>
          <w:sz w:val="17"/>
          <w:szCs w:val="17"/>
          <w:i w:val="1"/>
          <w:iCs w:val="1"/>
          <w:color w:val="auto"/>
        </w:rPr>
        <w:t>The Insurance Coverage 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Sales Information</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3"/>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All other countries</w:t>
            </w: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Correction of revenue recognition</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provides a right of return on product sales to distributors and other resellers. The revenue from product sales to distributors and resellers is not recognized until the return privilege has expired, which approximates when the product is sold through to customers of the Company's distributors, rather than when the product is initially shipped to a distributor. The Company estimated at each quarter-end the amount of revenue and costs to be deferred based on the channel inventory information provided by certain distributors. Although only certain distributors provided channel inventory amounts, the Company made estimates with regard to the amount of inventory in the entire channel for all distributors and for all channel inventory items based on information provided by certain distributors.</w:t>
      </w:r>
    </w:p>
    <w:p>
      <w:pPr>
        <w:spacing w:after="0" w:line="22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has corrected the deferral method to defer revenue and associated costs based on the actual channel inventory items reported by the distributors and other channel partners. Further, with respect to distributors and other channel partners not reporting the channel inventory, the revenue and associated costs are deferred until the Company receives payment for the product sales made to such distributors or channel partners.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reflect the effect of correction of this immaterial error on previously issued interim financial statements for the quarters ended September 30, 2008, December 31, 2008, and March 31,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7"/>
          </w:tcPr>
          <w:p>
            <w:pPr>
              <w:ind w:left="80"/>
              <w:spacing w:after="0"/>
              <w:rPr>
                <w:sz w:val="20"/>
                <w:szCs w:val="20"/>
                <w:color w:val="auto"/>
              </w:rPr>
            </w:pPr>
            <w:r>
              <w:rPr>
                <w:rFonts w:ascii="Arial" w:cs="Arial" w:eastAsia="Arial" w:hAnsi="Arial"/>
                <w:sz w:val="18"/>
                <w:szCs w:val="18"/>
                <w:b w:val="1"/>
                <w:bCs w:val="1"/>
                <w:color w:val="auto"/>
                <w:w w:val="96"/>
              </w:rPr>
              <w:t>Quarter ended September 30, 2008 (Unaudited)</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Previously</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reported</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Correction</w:t>
            </w:r>
          </w:p>
        </w:tc>
        <w:tc>
          <w:tcPr>
            <w:tcW w:w="140" w:type="dxa"/>
            <w:vAlign w:val="bottom"/>
          </w:tcPr>
          <w:p>
            <w:pPr>
              <w:spacing w:after="0"/>
              <w:rPr>
                <w:sz w:val="20"/>
                <w:szCs w:val="20"/>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After correction</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10,258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11,082</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(3,625)</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(1,776)</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4"/>
              </w:rPr>
              <w:t>Income from continuing operations before income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7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1,873</w:t>
            </w:r>
          </w:p>
        </w:tc>
        <w:tc>
          <w:tcPr>
            <w:tcW w:w="16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w:t>
            </w: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7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(853)</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720" w:type="dxa"/>
            <w:vAlign w:val="bottom"/>
            <w:vMerge w:val="continue"/>
          </w:tcPr>
          <w:p>
            <w:pPr>
              <w:spacing w:after="0"/>
              <w:rPr>
                <w:sz w:val="20"/>
                <w:szCs w:val="20"/>
                <w:color w:val="auto"/>
              </w:rPr>
            </w:pPr>
          </w:p>
        </w:tc>
        <w:tc>
          <w:tcPr>
            <w:tcW w:w="3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7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720" w:type="dxa"/>
            <w:vAlign w:val="bottom"/>
            <w:vMerge w:val="continue"/>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Basic and diluted earnings per common share</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0.15</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6"/>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60" w:type="dxa"/>
            <w:vAlign w:val="bottom"/>
            <w:gridSpan w:val="3"/>
          </w:tcPr>
          <w:p>
            <w:pPr>
              <w:jc w:val="right"/>
              <w:ind w:right="1060"/>
              <w:spacing w:after="0"/>
              <w:rPr>
                <w:sz w:val="20"/>
                <w:szCs w:val="20"/>
                <w:color w:val="auto"/>
              </w:rPr>
            </w:pPr>
            <w:r>
              <w:rPr>
                <w:rFonts w:ascii="Arial" w:cs="Arial" w:eastAsia="Arial" w:hAnsi="Arial"/>
                <w:sz w:val="18"/>
                <w:szCs w:val="18"/>
                <w:color w:val="auto"/>
              </w:rPr>
              <w:t>F-29</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4" w:name="page65"/>
    <w:bookmarkEnd w:id="64"/>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6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1"/>
              </w:rPr>
              <w:t>Quarter ended December 31, 2008 (Unaudited)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Previously</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reported</w:t>
            </w:r>
          </w:p>
        </w:tc>
        <w:tc>
          <w:tcPr>
            <w:tcW w:w="16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Correction</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After correction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(4,168)</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Income from continuing operations before income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w:t>
            </w:r>
          </w:p>
        </w:tc>
        <w:tc>
          <w:tcPr>
            <w:tcW w:w="16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Basic and diluted earnings per common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3"/>
              </w:rPr>
              <w:t>Quarter ended March 31, 2009 (Unaudited)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Previously</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reported</w:t>
            </w:r>
          </w:p>
        </w:tc>
        <w:tc>
          <w:tcPr>
            <w:tcW w:w="16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Correction</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After correction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(3,605)</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(1,810)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Income from continuing operations before income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Basic and diluted earnings per common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7"/>
              </w:rPr>
              <w:t>As of September 30, 2008 (Unaudited)</w:t>
            </w:r>
          </w:p>
        </w:tc>
      </w:tr>
      <w:tr>
        <w:trPr>
          <w:trHeight w:val="198"/>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0"/>
              </w:rPr>
              <w:t>Previously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After</w:t>
            </w:r>
          </w:p>
        </w:tc>
        <w:tc>
          <w:tcPr>
            <w:tcW w:w="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reported</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Correction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correction</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10,769</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2,999</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4,008</w:t>
            </w: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(10,660)</w:t>
            </w: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(10,846)</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gridSpan w:val="8"/>
          </w:tcPr>
          <w:p>
            <w:pPr>
              <w:jc w:val="right"/>
              <w:ind w:right="460"/>
              <w:spacing w:after="0"/>
              <w:rPr>
                <w:sz w:val="20"/>
                <w:szCs w:val="20"/>
                <w:color w:val="auto"/>
              </w:rPr>
            </w:pPr>
            <w:r>
              <w:rPr>
                <w:rFonts w:ascii="Arial" w:cs="Arial" w:eastAsia="Arial" w:hAnsi="Arial"/>
                <w:sz w:val="18"/>
                <w:szCs w:val="18"/>
                <w:b w:val="1"/>
                <w:bCs w:val="1"/>
                <w:color w:val="auto"/>
                <w:w w:val="98"/>
              </w:rPr>
              <w:t>As of December 31, 2008 (Unaudited)</w:t>
            </w:r>
          </w:p>
        </w:tc>
        <w:tc>
          <w:tcPr>
            <w:tcW w:w="2280" w:type="dxa"/>
            <w:vAlign w:val="bottom"/>
          </w:tcPr>
          <w:p>
            <w:pPr>
              <w:spacing w:after="0"/>
              <w:rPr>
                <w:sz w:val="20"/>
                <w:szCs w:val="20"/>
                <w:color w:val="auto"/>
              </w:rPr>
            </w:pPr>
          </w:p>
        </w:tc>
      </w:tr>
      <w:tr>
        <w:trPr>
          <w:trHeight w:val="198"/>
        </w:trPr>
        <w:tc>
          <w:tcPr>
            <w:tcW w:w="23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Previously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After</w:t>
            </w:r>
          </w:p>
        </w:tc>
        <w:tc>
          <w:tcPr>
            <w:tcW w:w="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41"/>
        </w:trPr>
        <w:tc>
          <w:tcPr>
            <w:tcW w:w="2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reported</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Correction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correction</w:t>
            </w: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3,279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4,442</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(10,056)</w:t>
            </w: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(10,105)</w:t>
            </w:r>
          </w:p>
        </w:tc>
        <w:tc>
          <w:tcPr>
            <w:tcW w:w="2280" w:type="dxa"/>
            <w:vAlign w:val="bottom"/>
          </w:tcPr>
          <w:p>
            <w:pPr>
              <w:spacing w:after="0"/>
              <w:rPr>
                <w:sz w:val="20"/>
                <w:szCs w:val="20"/>
                <w:color w:val="auto"/>
              </w:rPr>
            </w:pPr>
          </w:p>
        </w:tc>
      </w:tr>
      <w:tr>
        <w:trPr>
          <w:trHeight w:val="836"/>
        </w:trPr>
        <w:tc>
          <w:tcPr>
            <w:tcW w:w="2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w w:val="86"/>
              </w:rPr>
              <w:t>F-30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5" w:name="page66"/>
    <w:bookmarkEnd w:id="65"/>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rPr>
              <w:t>As of March 31, 2009 (Unaudited)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0"/>
              </w:rPr>
              <w:t>Previously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After</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reported</w:t>
            </w: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Correction</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Correction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(9,717)</w:t>
            </w: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(9,743)</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On October 7, 2009, the Company executed an agreement with Edward Bagley as further discussed in Note 8 to the financial statements within the section titled </w:t>
      </w:r>
      <w:r>
        <w:rPr>
          <w:rFonts w:ascii="Arial" w:cs="Arial" w:eastAsia="Arial" w:hAnsi="Arial"/>
          <w:sz w:val="18"/>
          <w:szCs w:val="18"/>
          <w:i w:val="1"/>
          <w:iCs w:val="1"/>
          <w:color w:val="auto"/>
        </w:rPr>
        <w:t>The Insurance Coverage Action.</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evaluated subsequent events from the balance sheet date through October 13, 2009, which is the date these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F-31</w:t>
      </w:r>
    </w:p>
    <w:p>
      <w:pPr>
        <w:sectPr>
          <w:pgSz w:w="11900" w:h="16838" w:orient="portrait"/>
          <w:cols w:equalWidth="0" w:num="1">
            <w:col w:w="11140"/>
          </w:cols>
          <w:pgMar w:left="240" w:top="756" w:right="51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FLEXTRONICS CONFIDENTIAL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Flextronics Manufacturing Services Agreement</w:t>
      </w:r>
    </w:p>
    <w:p>
      <w:pPr>
        <w:spacing w:after="0" w:line="256"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7"/>
          <w:szCs w:val="17"/>
          <w:color w:val="auto"/>
        </w:rPr>
        <w:t>This Flextronics Manufacturing Services Agreement ("Agreement") is entered into this 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day of November 2008 ("Effective Date") by and between ClearOne Communications having its place of business at 5225 Wiley Post Way suite 500 Salt Lake City Utah 84116 ("Customer") and Flextronics Industrial, Ltd., having its place of business at Level 3, Alexander House, 35 Cybercity, Ebene, Mauritius, ("Flextronics").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Customer desires to engage Flextronics to perform manufacturing services as further set forth in this Agreement. The parties agree as follows:</w:t>
      </w:r>
    </w:p>
    <w:p>
      <w:pPr>
        <w:spacing w:after="0" w:line="260" w:lineRule="exact"/>
        <w:rPr>
          <w:sz w:val="20"/>
          <w:szCs w:val="20"/>
          <w:color w:val="auto"/>
        </w:rPr>
      </w:pPr>
    </w:p>
    <w:p>
      <w:pPr>
        <w:ind w:left="400" w:hanging="230"/>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left="180" w:right="1160"/>
        <w:spacing w:after="0" w:line="277" w:lineRule="auto"/>
        <w:rPr>
          <w:sz w:val="20"/>
          <w:szCs w:val="20"/>
          <w:color w:val="auto"/>
        </w:rPr>
      </w:pPr>
      <w:r>
        <w:rPr>
          <w:rFonts w:ascii="Arial" w:cs="Arial" w:eastAsia="Arial" w:hAnsi="Arial"/>
          <w:sz w:val="18"/>
          <w:szCs w:val="18"/>
          <w:color w:val="auto"/>
        </w:rPr>
        <w:t>Flextronics and Customer agree that capitalized terms shall have the meanings set forth in this Agreement and Exhibit 1 attached hereto and incorporated herein by reference.</w:t>
      </w:r>
    </w:p>
    <w:p>
      <w:pPr>
        <w:spacing w:after="0" w:line="193" w:lineRule="exact"/>
        <w:rPr>
          <w:sz w:val="20"/>
          <w:szCs w:val="20"/>
          <w:color w:val="auto"/>
        </w:rPr>
      </w:pPr>
    </w:p>
    <w:p>
      <w:pPr>
        <w:ind w:left="400" w:hanging="230"/>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MANUFACTURING SERVICES</w:t>
      </w:r>
    </w:p>
    <w:p>
      <w:pPr>
        <w:spacing w:after="0" w:line="25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Work</w:t>
      </w:r>
      <w:r>
        <w:rPr>
          <w:rFonts w:ascii="Arial" w:cs="Arial" w:eastAsia="Arial" w:hAnsi="Arial"/>
          <w:sz w:val="16"/>
          <w:szCs w:val="16"/>
          <w:color w:val="auto"/>
        </w:rPr>
        <w:t>. Customer hereby engages Flextronics to perform the work (hereinafter "</w:t>
      </w:r>
      <w:r>
        <w:rPr>
          <w:rFonts w:ascii="Arial" w:cs="Arial" w:eastAsia="Arial" w:hAnsi="Arial"/>
          <w:sz w:val="16"/>
          <w:szCs w:val="16"/>
          <w:b w:val="1"/>
          <w:bCs w:val="1"/>
          <w:color w:val="auto"/>
        </w:rPr>
        <w:t>Work</w:t>
      </w:r>
      <w:r>
        <w:rPr>
          <w:rFonts w:ascii="Arial" w:cs="Arial" w:eastAsia="Arial" w:hAnsi="Arial"/>
          <w:sz w:val="16"/>
          <w:szCs w:val="16"/>
          <w:color w:val="auto"/>
        </w:rPr>
        <w:t>"). "</w:t>
      </w:r>
      <w:r>
        <w:rPr>
          <w:rFonts w:ascii="Arial" w:cs="Arial" w:eastAsia="Arial" w:hAnsi="Arial"/>
          <w:sz w:val="16"/>
          <w:szCs w:val="16"/>
          <w:b w:val="1"/>
          <w:bCs w:val="1"/>
          <w:color w:val="auto"/>
        </w:rPr>
        <w:t>Work</w:t>
      </w:r>
      <w:r>
        <w:rPr>
          <w:rFonts w:ascii="Arial" w:cs="Arial" w:eastAsia="Arial" w:hAnsi="Arial"/>
          <w:sz w:val="16"/>
          <w:szCs w:val="16"/>
          <w:color w:val="auto"/>
        </w:rPr>
        <w:t>" shall mean to procure Materials and to manufacture, assemble, and test products (hereinafter "</w:t>
      </w:r>
      <w:r>
        <w:rPr>
          <w:rFonts w:ascii="Arial" w:cs="Arial" w:eastAsia="Arial" w:hAnsi="Arial"/>
          <w:sz w:val="16"/>
          <w:szCs w:val="16"/>
          <w:b w:val="1"/>
          <w:bCs w:val="1"/>
          <w:color w:val="auto"/>
        </w:rPr>
        <w:t>Product(s)</w:t>
      </w:r>
      <w:r>
        <w:rPr>
          <w:rFonts w:ascii="Arial" w:cs="Arial" w:eastAsia="Arial" w:hAnsi="Arial"/>
          <w:sz w:val="16"/>
          <w:szCs w:val="16"/>
          <w:color w:val="auto"/>
        </w:rPr>
        <w:t>") pursuant to detailed written Specifications. Flextronics agrees not to move or transfer manufacturing from one location to another location without Customer's prior written consent, not to be unreasonably withheld. All changes to manufacturing processes are required to be reviewed and approved by Customer prior to implementation by Flextronics, which will be obligated to provide Customer with a clear definition of the proposed manufacturing process change. The "</w:t>
      </w:r>
      <w:r>
        <w:rPr>
          <w:rFonts w:ascii="Arial" w:cs="Arial" w:eastAsia="Arial" w:hAnsi="Arial"/>
          <w:sz w:val="16"/>
          <w:szCs w:val="16"/>
          <w:b w:val="1"/>
          <w:bCs w:val="1"/>
          <w:color w:val="auto"/>
        </w:rPr>
        <w:t>Specifications</w:t>
      </w:r>
      <w:r>
        <w:rPr>
          <w:rFonts w:ascii="Arial" w:cs="Arial" w:eastAsia="Arial" w:hAnsi="Arial"/>
          <w:sz w:val="16"/>
          <w:szCs w:val="16"/>
          <w:color w:val="auto"/>
        </w:rPr>
        <w:t>" for each Product or revision thereof, shall include but are not limited to bill of materials, designs, schematics, assembly drawings, process documentation, test specifications, current revision number, and Approved Vendor List. The Specifications as provided by Customer and included in Flextronics's production document management system and maintained in accordance with the terms of this Agreement are incorporated herein by reference as Exhibit 2.1. This Agreement does not include any new product introduction (NPI) or product prototype services related to the Products. In the event that Customer requires any such services, the parties will enter into a separate agreement. In case of any conflict between the Specifications and this Agreement, this Agreement shall prevail.</w:t>
      </w:r>
    </w:p>
    <w:p>
      <w:pPr>
        <w:spacing w:after="0" w:line="188" w:lineRule="exact"/>
        <w:rPr>
          <w:sz w:val="20"/>
          <w:szCs w:val="20"/>
          <w:color w:val="auto"/>
        </w:rPr>
      </w:pPr>
    </w:p>
    <w:p>
      <w:pPr>
        <w:ind w:right="20" w:firstLine="765"/>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Engineering Changes</w:t>
      </w:r>
      <w:r>
        <w:rPr>
          <w:rFonts w:ascii="Arial" w:cs="Arial" w:eastAsia="Arial" w:hAnsi="Arial"/>
          <w:sz w:val="18"/>
          <w:szCs w:val="18"/>
          <w:u w:val="single" w:color="auto"/>
          <w:color w:val="auto"/>
        </w:rPr>
        <w:t>.</w:t>
      </w:r>
      <w:r>
        <w:rPr>
          <w:rFonts w:ascii="Arial" w:cs="Arial" w:eastAsia="Arial" w:hAnsi="Arial"/>
          <w:sz w:val="18"/>
          <w:szCs w:val="18"/>
          <w:color w:val="auto"/>
        </w:rPr>
        <w:t xml:space="preserve"> Customer may request that Flextronics incorporate engineering changes into the Product by providing Flextronics with a description of the proposed engineering change sufficient to permit Flextronics to evaluate its feasibility and cost. Flextronics agrees only to accept and shall only be responsible for acting upon information or directions pertaining to any level of change to form, fit or function of product, product specification, inspection, material or product disposition, or testing provided by Customer's authorized employees. Customer's authorized employees shall be designated in writing by Customer and provided to Flextronics in the ordinary course of business. Flextronics will proceed with engineering changes when the parties have agreed upon the changes to the Specifications, delivery schedule and Product pricing and the Customer has issued a purchase order for the implementation costs.</w:t>
      </w:r>
    </w:p>
    <w:p>
      <w:pPr>
        <w:spacing w:after="0" w:line="216" w:lineRule="exact"/>
        <w:rPr>
          <w:sz w:val="20"/>
          <w:szCs w:val="20"/>
          <w:color w:val="auto"/>
        </w:rPr>
      </w:pPr>
    </w:p>
    <w:p>
      <w:pPr>
        <w:jc w:val="both"/>
        <w:ind w:right="120" w:firstLine="720"/>
        <w:spacing w:after="0" w:line="28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Tooling; Non-Recurring Expenses; Software</w:t>
      </w:r>
      <w:r>
        <w:rPr>
          <w:rFonts w:ascii="Arial" w:cs="Arial" w:eastAsia="Arial" w:hAnsi="Arial"/>
          <w:sz w:val="17"/>
          <w:szCs w:val="17"/>
          <w:color w:val="auto"/>
        </w:rPr>
        <w:t>. Customer shall pay for or obtain and consign to Flextronics any Product-specific tooling, equipment or software and other reasonably necessary non-recurring expenses, to be set forth in Flextronics's quotation. All software that Customer provides to Flextronics or any test software that Customer engages Flextronics to develop is and shall remain the property of Customer.</w:t>
      </w:r>
    </w:p>
    <w:p>
      <w:pPr>
        <w:spacing w:after="0" w:line="18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Cost Reduction Projects</w:t>
      </w:r>
      <w:r>
        <w:rPr>
          <w:rFonts w:ascii="Arial" w:cs="Arial" w:eastAsia="Arial" w:hAnsi="Arial"/>
          <w:sz w:val="18"/>
          <w:szCs w:val="18"/>
          <w:color w:val="auto"/>
        </w:rPr>
        <w:t>. Flextronics agrees to seek ways to reduce the cost of manufacturing Products by methods such as elimination of Materials, redefinition of Specifications, and re-design of assembly or test methods. Upon implementation of such ways that have been initiated by Flextronics and approved by Customer, Flextronics will receive 50% of the demonstrated cost reduction for six months. Customer will receive 100% of the demonstrated cost reduction upon implementation of such ways initiated by Customer.</w:t>
      </w:r>
    </w:p>
    <w:p>
      <w:pPr>
        <w:spacing w:after="0" w:line="207" w:lineRule="exact"/>
        <w:rPr>
          <w:sz w:val="20"/>
          <w:szCs w:val="20"/>
          <w:color w:val="auto"/>
        </w:rPr>
      </w:pPr>
    </w:p>
    <w:p>
      <w:pPr>
        <w:ind w:left="400" w:hanging="230"/>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FORECASTS; ORDERS; FEES; PAYMENT</w:t>
      </w:r>
    </w:p>
    <w:p>
      <w:pPr>
        <w:spacing w:after="0" w:line="25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Forecast</w:t>
      </w:r>
      <w:r>
        <w:rPr>
          <w:rFonts w:ascii="Arial" w:cs="Arial" w:eastAsia="Arial" w:hAnsi="Arial"/>
          <w:sz w:val="18"/>
          <w:szCs w:val="18"/>
          <w:color w:val="auto"/>
        </w:rPr>
        <w:t>. Customer shall provide Flextronics, on a monthly basis, a rolling twelve (12) month forecast indicating Customer's monthly Product requirements. The first ninety (90) days of the forecast will constitute Customer's written purchase order for all Work to be completed within the first ninety (90) day period. Such purchase orders will be issued in accordance with Section 3.2 below.</w:t>
      </w:r>
    </w:p>
    <w:p>
      <w:pPr>
        <w:spacing w:after="0" w:line="203" w:lineRule="exact"/>
        <w:rPr>
          <w:sz w:val="20"/>
          <w:szCs w:val="20"/>
          <w:color w:val="auto"/>
        </w:rPr>
      </w:pPr>
    </w:p>
    <w:p>
      <w:pPr>
        <w:ind w:right="140" w:firstLine="765"/>
        <w:spacing w:after="0" w:line="28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Purchase Orders; Precedence</w:t>
      </w:r>
      <w:r>
        <w:rPr>
          <w:rFonts w:ascii="Arial" w:cs="Arial" w:eastAsia="Arial" w:hAnsi="Arial"/>
          <w:sz w:val="17"/>
          <w:szCs w:val="17"/>
          <w:color w:val="auto"/>
        </w:rPr>
        <w:t>. Customer may use its standard purchase order form for any notice provided for hereunder; provided that all purchase orders must reference this Agreement and the applicable Specifications. The parties agree that the terms and conditions contained in this Agreement shall prevail over any terms and conditions of any such purchase order, acknowledgment form or other instrument.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28" w:right="23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4" w:lineRule="exact"/>
        <w:rPr>
          <w:sz w:val="20"/>
          <w:szCs w:val="20"/>
          <w:color w:val="auto"/>
        </w:rPr>
      </w:pPr>
    </w:p>
    <w:p>
      <w:pPr>
        <w:ind w:right="20" w:firstLine="765"/>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Purchase Order Acceptance</w:t>
      </w:r>
      <w:r>
        <w:rPr>
          <w:rFonts w:ascii="Arial" w:cs="Arial" w:eastAsia="Arial" w:hAnsi="Arial"/>
          <w:sz w:val="18"/>
          <w:szCs w:val="18"/>
          <w:color w:val="auto"/>
        </w:rPr>
        <w:t>. Purchase orders shall normally be deemed accepted by Flextronics, provided however that Flextronics may reject any purchase order: (a) that is an amended order in accordance with Section 5.2 below because the purchase order is outside of the Flexibility Table; (b) if the fees reflected in the purchase order are inconsistent with the parties' agreement with respect to the fees; (c) if the purchase order represents a significant deviation from the forecast for the same period, unless such deviation is within the parameters of the Flexibility Table; or (d) if a purchase order would extend Flextronics's liability beyond Customer's approved credit line. Flextronics shall notify Customer of rejection of any purchase order within five (5) business e1ays of receipt of such purchase order.</w:t>
      </w:r>
    </w:p>
    <w:p>
      <w:pPr>
        <w:ind w:left="820"/>
        <w:spacing w:after="0"/>
        <w:tabs>
          <w:tab w:leader="none" w:pos="1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b w:val="1"/>
          <w:bCs w:val="1"/>
          <w:u w:val="single" w:color="auto"/>
          <w:color w:val="auto"/>
        </w:rPr>
        <w:t>Fees; Changes; Taxes</w:t>
      </w:r>
      <w:r>
        <w:rPr>
          <w:rFonts w:ascii="Arial" w:cs="Arial" w:eastAsia="Arial" w:hAnsi="Arial"/>
          <w:sz w:val="15"/>
          <w:szCs w:val="15"/>
          <w:color w:val="auto"/>
        </w:rPr>
        <w:t>.</w:t>
      </w:r>
    </w:p>
    <w:p>
      <w:pPr>
        <w:spacing w:after="0" w:line="238" w:lineRule="exact"/>
        <w:rPr>
          <w:sz w:val="20"/>
          <w:szCs w:val="20"/>
          <w:color w:val="auto"/>
        </w:rPr>
      </w:pPr>
    </w:p>
    <w:p>
      <w:pPr>
        <w:ind w:firstLine="656"/>
        <w:spacing w:after="0" w:line="259" w:lineRule="auto"/>
        <w:tabs>
          <w:tab w:leader="none" w:pos="9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fees will be agreed by the parties and will be indicated on the purchase orders issued by Customer and accepted by Flextronics. The initial fees shall be as set forth on the Fee List attached hereto and incorporated herein as Exhibit 3.4 (the "</w:t>
      </w:r>
      <w:r>
        <w:rPr>
          <w:rFonts w:ascii="Arial" w:cs="Arial" w:eastAsia="Arial" w:hAnsi="Arial"/>
          <w:sz w:val="18"/>
          <w:szCs w:val="18"/>
          <w:b w:val="1"/>
          <w:bCs w:val="1"/>
          <w:color w:val="auto"/>
        </w:rPr>
        <w:t>Fee List</w:t>
      </w:r>
      <w:r>
        <w:rPr>
          <w:rFonts w:ascii="Arial" w:cs="Arial" w:eastAsia="Arial" w:hAnsi="Arial"/>
          <w:sz w:val="18"/>
          <w:szCs w:val="18"/>
          <w:color w:val="auto"/>
        </w:rPr>
        <w:t>"). If a Fee List is not attached or completed, then the initial fees shall be as set forth in a quote and purchase orders issued by Customer and accepted by Flextronics in accordance with the terms of this Agreement.</w:t>
      </w:r>
    </w:p>
    <w:p>
      <w:pPr>
        <w:spacing w:after="0" w:line="213" w:lineRule="exact"/>
        <w:rPr>
          <w:rFonts w:ascii="Arial" w:cs="Arial" w:eastAsia="Arial" w:hAnsi="Arial"/>
          <w:sz w:val="18"/>
          <w:szCs w:val="18"/>
          <w:color w:val="auto"/>
        </w:rPr>
      </w:pPr>
    </w:p>
    <w:p>
      <w:pPr>
        <w:ind w:right="220" w:firstLine="656"/>
        <w:spacing w:after="0" w:line="291" w:lineRule="auto"/>
        <w:tabs>
          <w:tab w:leader="none" w:pos="948" w:val="left"/>
        </w:tabs>
        <w:numPr>
          <w:ilvl w:val="1"/>
          <w:numId w:val="30"/>
        </w:numPr>
        <w:rPr>
          <w:rFonts w:ascii="Arial" w:cs="Arial" w:eastAsia="Arial" w:hAnsi="Arial"/>
          <w:sz w:val="16"/>
          <w:szCs w:val="16"/>
          <w:color w:val="auto"/>
        </w:rPr>
      </w:pPr>
      <w:r>
        <w:rPr>
          <w:rFonts w:ascii="Arial" w:cs="Arial" w:eastAsia="Arial" w:hAnsi="Arial"/>
          <w:sz w:val="16"/>
          <w:szCs w:val="16"/>
          <w:color w:val="auto"/>
        </w:rPr>
        <w:t>Customer is responsible for additional fees and costs due to: (a) changes to the Specifications; (b) failure of Customer or its subcontractor to timely provide sufficient quantities or a reasonable quality level of Customer Controlled Materials where applicable to sustain the production schedule; and</w:t>
      </w: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pre-approved expediting charges reasonably necessary because of a change in Customer's requirements.</w:t>
      </w:r>
    </w:p>
    <w:p>
      <w:pPr>
        <w:spacing w:after="0" w:line="237" w:lineRule="exact"/>
        <w:rPr>
          <w:rFonts w:ascii="Arial" w:cs="Arial" w:eastAsia="Arial" w:hAnsi="Arial"/>
          <w:sz w:val="18"/>
          <w:szCs w:val="18"/>
          <w:color w:val="auto"/>
        </w:rPr>
      </w:pPr>
    </w:p>
    <w:p>
      <w:pPr>
        <w:jc w:val="both"/>
        <w:ind w:right="200" w:firstLine="656"/>
        <w:spacing w:after="0" w:line="312" w:lineRule="auto"/>
        <w:tabs>
          <w:tab w:leader="none" w:pos="935"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fees may be reviewed periodically by the parties. Any changes and timing of changes shall be agreed by the parties, such agreement not to be unreasonably withheld or delayed. By way of example only, the fees may be increased if the market price of fuels, Materials, equipment, labor and other production costs, increase beyond normal variations in pricing or currency exchange rates as demonstrated by Flextronics.</w:t>
      </w:r>
    </w:p>
    <w:p>
      <w:pPr>
        <w:spacing w:after="0" w:line="173" w:lineRule="exact"/>
        <w:rPr>
          <w:rFonts w:ascii="Arial" w:cs="Arial" w:eastAsia="Arial" w:hAnsi="Arial"/>
          <w:sz w:val="16"/>
          <w:szCs w:val="16"/>
          <w:color w:val="auto"/>
        </w:rPr>
      </w:pPr>
    </w:p>
    <w:p>
      <w:pPr>
        <w:ind w:right="660" w:firstLine="656"/>
        <w:spacing w:after="0" w:line="277" w:lineRule="auto"/>
        <w:tabs>
          <w:tab w:leader="none" w:pos="9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fees are exclusive of federal, state and local excise, sales, use, VAT, and similar transfer taxes, and any duties, and Customer shall be responsible for all such items. This subsection (d) does not apply to taxes on Flextronics's net income.</w:t>
      </w:r>
    </w:p>
    <w:p>
      <w:pPr>
        <w:spacing w:after="0" w:line="197" w:lineRule="exact"/>
        <w:rPr>
          <w:rFonts w:ascii="Arial" w:cs="Arial" w:eastAsia="Arial" w:hAnsi="Arial"/>
          <w:sz w:val="18"/>
          <w:szCs w:val="18"/>
          <w:color w:val="auto"/>
        </w:rPr>
      </w:pPr>
    </w:p>
    <w:p>
      <w:pPr>
        <w:ind w:right="20" w:firstLine="656"/>
        <w:spacing w:after="0" w:line="291" w:lineRule="auto"/>
        <w:tabs>
          <w:tab w:leader="none" w:pos="935"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Fees List will be based on the exchange rate(s) for converting the purchase price for Inventory denominated in the Parts Purchase Currency(ies) into the Functional Currency. The fees will be adjusted, on a monthly basis based on changes in the Exchange Rate(s) as reported on the last business day of each month, for the following month to the extent that such Exchange Rates change more than +/- .75% from the prior month (the "Currency Window"). "Exchange Rate(s)" is defined as the closing currency exchange rate(s) as reported on Reuters' page FIX on the last business day of the current month prior to the following month. "Functional Currency" means the currency in which all payments are to be made pursuant to Section 3.5 below. "Parts Purchase Currency(ies)" means U.S. Dollars, Japanese Yen and/or Euros to the extent such currencies are different from the Functional Currency and are used to purchase Inventory needed for the performance of the Work forecasted to be completed during the applicable month.</w:t>
      </w:r>
    </w:p>
    <w:p>
      <w:pPr>
        <w:spacing w:after="0" w:line="1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u w:val="single" w:color="auto"/>
          <w:color w:val="auto"/>
        </w:rPr>
        <w:t xml:space="preserve">Payment. </w:t>
      </w:r>
      <w:r>
        <w:rPr>
          <w:rFonts w:ascii="Arial" w:cs="Arial" w:eastAsia="Arial" w:hAnsi="Arial"/>
          <w:sz w:val="16"/>
          <w:szCs w:val="16"/>
          <w:color w:val="auto"/>
        </w:rPr>
        <w:t>Customer agrees to pay all invoices in U.S. Dollars within thirty (30) days of the date of the invoice.</w:t>
      </w:r>
    </w:p>
    <w:p>
      <w:pPr>
        <w:spacing w:after="0" w:line="25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u w:val="single" w:color="auto"/>
          <w:color w:val="auto"/>
        </w:rPr>
        <w:t>Late Payment.</w:t>
      </w:r>
      <w:r>
        <w:rPr>
          <w:rFonts w:ascii="Arial" w:cs="Arial" w:eastAsia="Arial" w:hAnsi="Arial"/>
          <w:sz w:val="16"/>
          <w:szCs w:val="16"/>
          <w:color w:val="auto"/>
        </w:rPr>
        <w:t xml:space="preserve"> Customer agrees to pay one and one-half percent (1.5%) monthly interest on all late payments. Furthermore, if Customer is late with payments, or Flextronics has reasonable cause to believe Customer may not be able to pay, Flextronics may (a) stop all Work under this Agreement until assurances of payment satisfactory to Flextronics are received or payment is received; (b) demand prepayment for purchase orders; (c) delay shipments; and</w:t>
      </w:r>
    </w:p>
    <w:p>
      <w:pPr>
        <w:spacing w:after="0" w:line="2" w:lineRule="exact"/>
        <w:rPr>
          <w:sz w:val="20"/>
          <w:szCs w:val="20"/>
          <w:color w:val="auto"/>
        </w:rPr>
      </w:pPr>
    </w:p>
    <w:p>
      <w:pPr>
        <w:jc w:val="both"/>
        <w:ind w:right="360" w:firstLine="8"/>
        <w:spacing w:after="0" w:line="255"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extent that Flextronics's personnel cannot be reassigned to other billable work during such stoppage and/or in the event restart cost are incurred, invoice Customer for additional fees before the Work can resume. Customer agrees to provide all necessary financial information required by Flextronics from time to time in order to make a proper assessment of the creditworthiness of Customer.</w:t>
      </w:r>
    </w:p>
    <w:p>
      <w:pPr>
        <w:spacing w:after="0" w:line="2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u w:val="single" w:color="auto"/>
          <w:color w:val="auto"/>
        </w:rPr>
        <w:t>Letter of Credit or Escrow Account.</w:t>
      </w:r>
      <w:r>
        <w:rPr>
          <w:rFonts w:ascii="Arial" w:cs="Arial" w:eastAsia="Arial" w:hAnsi="Arial"/>
          <w:sz w:val="18"/>
          <w:szCs w:val="18"/>
          <w:color w:val="auto"/>
        </w:rPr>
        <w:t xml:space="preserve"> Upon Flextronics's request at any time during the term of this Agreement, Customer agrees to obtain and maintain a stand-by letter of credit or escrow account on behalf of Flextronics to minimize the financial risk to Flextronics for its performance of the Work under this Agreement. The stand-by letter of credit or escrow account shall be for a minimum period of time of six (6) months and shall be for a total amount that is equal to the total value of the risks associated with Inventory, Special Inventory, and the accounts receivable from Customer. The calculation shall be based upon the forecast provided by Customer pursuant to Section 3.1. The draw down procedures under the stand-by letter of credit or the escrow account shall be determined solely by Flextronics. Flextronics will, in good faith, review Customer's creditworthiness periodically and may provide more favorable terms once it feels it is prudent to do so.</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FLEXTRONICS CONFIDENTIAL</w:t>
      </w:r>
    </w:p>
    <w:p>
      <w:pPr>
        <w:spacing w:after="0" w:line="231" w:lineRule="exact"/>
        <w:rPr>
          <w:sz w:val="20"/>
          <w:szCs w:val="20"/>
          <w:color w:val="auto"/>
        </w:rPr>
      </w:pPr>
    </w:p>
    <w:p>
      <w:pPr>
        <w:ind w:left="400" w:hanging="230"/>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MATERIALS PROCUREMENT; CUSTOMER RESPONSIIBILITY FOR MATERIALS</w:t>
      </w:r>
    </w:p>
    <w:p>
      <w:pPr>
        <w:spacing w:after="0" w:line="25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Authorization to Procure Materials. Inventory and Special Inventory</w:t>
      </w:r>
      <w:r>
        <w:rPr>
          <w:rFonts w:ascii="Arial" w:cs="Arial" w:eastAsia="Arial" w:hAnsi="Arial"/>
          <w:sz w:val="18"/>
          <w:szCs w:val="18"/>
          <w:color w:val="auto"/>
        </w:rPr>
        <w:t>. Customer's accepted purchase orders and forecast will constitute authorization for Flextronics to procure, without Customer's prior approval, (a) Inventory to manufacture the Products covered by such purchase orders based on the Lead Time and (b) certain Special Inventory based on Customer's purchase orders and forecast as follows: Long Lead-Time Materials as required based on the Lead Time when such purchase orders are placed and Minimum Order Inventory as required by the supplier. Flextronics will only purchase Economic Order Inventory with the prior approval of Customer.</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Customer Controlled Materials</w:t>
      </w:r>
      <w:r>
        <w:rPr>
          <w:rFonts w:ascii="Arial" w:cs="Arial" w:eastAsia="Arial" w:hAnsi="Arial"/>
          <w:sz w:val="16"/>
          <w:szCs w:val="16"/>
          <w:color w:val="auto"/>
        </w:rPr>
        <w:t>. Customer may direct Flextronics to purchase Customer Controlled Materials in accordance with the Customer Controlled Materials Terms. Customer acknowledges that the Customer Controlled Materials Terms will directly impact Flextronics's ability to perform under this Agreement and to provide Customer with the flexibility Customer is requiring pursuant to the terms of this Agreement. In the event that Flextronics reasonably believes that Customer Controlled Materials Terms will create an additional cost that is not covered by this Agreement, then Flextronics will notify Customer and the parties will agree to either (a) compensate Flextronics for such additional costs, (b) amend this Agreement to conform to the Customer Controlled Materials Terms or (c) amend the Customer Controlled Materials Terms to conform to this Agreement, in each case at no additional charge to Flextronics. Customer agrees to provide copies to Flextronics of all Customer Controlled Materials Terms upon the execution of this Agreement and promptly upon execution of any new agreements with suppliers. Customer agrees not to make any modifications or additions to the Customer Controlled Materials Terms or enter into new Customer Controlled Materials Terms with suppliers that will negatively impact Flextronics's procurement activities.</w:t>
      </w:r>
    </w:p>
    <w:p>
      <w:pPr>
        <w:spacing w:after="0" w:line="187" w:lineRule="exact"/>
        <w:rPr>
          <w:sz w:val="20"/>
          <w:szCs w:val="20"/>
          <w:color w:val="auto"/>
        </w:rPr>
      </w:pPr>
    </w:p>
    <w:p>
      <w:pPr>
        <w:ind w:right="80" w:firstLine="765"/>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Preferred Supplier</w:t>
      </w:r>
      <w:r>
        <w:rPr>
          <w:rFonts w:ascii="Arial" w:cs="Arial" w:eastAsia="Arial" w:hAnsi="Arial"/>
          <w:sz w:val="18"/>
          <w:szCs w:val="18"/>
          <w:color w:val="auto"/>
        </w:rPr>
        <w:t>. Customer shall provide to Flextronics and maintain an Approved Vendor List. Flextronics shall purchase from vendors on a current AVL the Materials required to manufacture the Product. Customer shall give Flextronics every opportunity to be included on AVL's for Materials that Flextronics can supply, and if Flextronics is competitive with other suppliers with respect to reasonable and unbiased criteria for acceptance established by Customer, Flextronics shall be included on such AVL's. If Flextronics is on an AVL and its prices and quality are competitive with other vendors, Customer will raise no objection to Flextronics sourcing Materials from itself. For purposes of this Section 4.3 only, the term "Flextronics" includes any companies affiliated with Flextronics.</w:t>
      </w:r>
    </w:p>
    <w:p>
      <w:pPr>
        <w:spacing w:after="0" w:line="21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Customer Responsibility for Inventory and Special Inventory</w:t>
      </w:r>
      <w:r>
        <w:rPr>
          <w:rFonts w:ascii="Arial" w:cs="Arial" w:eastAsia="Arial" w:hAnsi="Arial"/>
          <w:sz w:val="18"/>
          <w:szCs w:val="18"/>
          <w:color w:val="auto"/>
        </w:rPr>
        <w:t>. Customer is responsible under the conditions provided in this Agreement for all Materials, Inventory and Special Inventory purchased by Flextronics under this Section 4.</w:t>
      </w:r>
    </w:p>
    <w:p>
      <w:pPr>
        <w:spacing w:after="0" w:line="189" w:lineRule="exact"/>
        <w:rPr>
          <w:sz w:val="20"/>
          <w:szCs w:val="20"/>
          <w:color w:val="auto"/>
        </w:rPr>
      </w:pPr>
    </w:p>
    <w:p>
      <w:pPr>
        <w:ind w:right="160" w:firstLine="765"/>
        <w:spacing w:after="0" w:line="261"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Materials Warranties</w:t>
      </w:r>
      <w:r>
        <w:rPr>
          <w:rFonts w:ascii="Arial" w:cs="Arial" w:eastAsia="Arial" w:hAnsi="Arial"/>
          <w:sz w:val="18"/>
          <w:szCs w:val="18"/>
          <w:color w:val="auto"/>
        </w:rPr>
        <w:t>. Flextronics shall endeavor to obtain and pass through to Customer the following warranties with regard to the Materials (other than the Production Materials): (i) conformance of the Materials with the vendor's specifications and/or with the Specifications; (ii) that the Materials will be free from defects in workmanship; (iii) that the Materials will comply with Environmental Regulations; and (iv) that the Materials will not infringe the intellectual property rights of third parties.</w:t>
      </w:r>
    </w:p>
    <w:p>
      <w:pPr>
        <w:spacing w:after="0" w:line="207" w:lineRule="exact"/>
        <w:rPr>
          <w:sz w:val="20"/>
          <w:szCs w:val="20"/>
          <w:color w:val="auto"/>
        </w:rPr>
      </w:pPr>
    </w:p>
    <w:p>
      <w:pPr>
        <w:ind w:left="400" w:hanging="230"/>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SHIPMENTS, SCHEDULE CHANGE, CANCELLATION, STORAGE</w:t>
      </w:r>
    </w:p>
    <w:p>
      <w:pPr>
        <w:spacing w:after="0" w:line="2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Shipments</w:t>
      </w:r>
      <w:r>
        <w:rPr>
          <w:rFonts w:ascii="Arial" w:cs="Arial" w:eastAsia="Arial" w:hAnsi="Arial"/>
          <w:sz w:val="17"/>
          <w:szCs w:val="17"/>
          <w:color w:val="auto"/>
        </w:rPr>
        <w:t>. All Products delivered pursuant to the terms of this Agreement shall be suitably packed for shipment in accordance with the Specifications and marked for shipment to Customer's destination specified in the applicable purchase order. Shipments will be made EXW (Ex works, Incoterms 2000) Flextronics's facility (unless otherwise expressly agreed by the parties, in writing, and designated in a top level assembly quote), at which time risk of loss and title will pass to Customer. All freight, insurance and other shipping expenses, as well as any special packing expenses not included in the original quotation for the Products, will be paid by Customer. In the event Customer designates a freight carrier to be utilized by Flextronics, Customer agrees to designate only freight carriers that are currently in compliance with all applicable laws relating to anti-terrorism security measures and to adhere to the C-TPAT (Customs-Trade Partnership Against Terrorism) security recommendations and guidelines as outlined by the United States Bureau of Customs and Border Protection and to prohibit the freight carriage to be sub-contracted to any carrier that is not in compliance with the C-TPAT guidelines. Any deviations from the requirements specified on the purchase order, relevant drawings and specifications must be documented by Flextronics and submitted to Customer for acceptance consideration prior to shipment.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FLEXTRONICS CONFIDENTIAL</w:t>
      </w:r>
    </w:p>
    <w:p>
      <w:pPr>
        <w:spacing w:after="0" w:line="2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u w:val="single" w:color="auto"/>
          <w:color w:val="auto"/>
        </w:rPr>
        <w:t>Quantity Increases and Shipment Schedule Changes</w:t>
      </w:r>
      <w:r>
        <w:rPr>
          <w:rFonts w:ascii="Arial" w:cs="Arial" w:eastAsia="Arial" w:hAnsi="Arial"/>
          <w:sz w:val="16"/>
          <w:szCs w:val="16"/>
          <w:color w:val="auto"/>
        </w:rPr>
        <w:t>.</w:t>
      </w:r>
    </w:p>
    <w:p>
      <w:pPr>
        <w:spacing w:after="0" w:line="256" w:lineRule="exact"/>
        <w:rPr>
          <w:sz w:val="20"/>
          <w:szCs w:val="20"/>
          <w:color w:val="auto"/>
        </w:rPr>
      </w:pPr>
    </w:p>
    <w:p>
      <w:pPr>
        <w:ind w:right="620" w:firstLine="656"/>
        <w:spacing w:after="0" w:line="277" w:lineRule="auto"/>
        <w:tabs>
          <w:tab w:leader="none" w:pos="9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accepted purchase order, Customer may (i) increase the quantity of Products or (ii) reschedule the quantity of Products and their shipment date as provided in the flexibility table below (the "Flexibility Table"):</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Maximum Allowable Variance From Accepted Purchase Order Quantities/Shipment Dates</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840" w:type="dxa"/>
            <w:vAlign w:val="bottom"/>
          </w:tcPr>
          <w:p>
            <w:pPr>
              <w:ind w:left="160"/>
              <w:spacing w:after="0"/>
              <w:rPr>
                <w:sz w:val="20"/>
                <w:szCs w:val="20"/>
                <w:color w:val="auto"/>
              </w:rPr>
            </w:pPr>
            <w:r>
              <w:rPr>
                <w:rFonts w:ascii="Arial" w:cs="Arial" w:eastAsia="Arial" w:hAnsi="Arial"/>
                <w:sz w:val="18"/>
                <w:szCs w:val="18"/>
                <w:color w:val="auto"/>
              </w:rPr>
              <w:t># of days before</w:t>
            </w:r>
          </w:p>
        </w:tc>
        <w:tc>
          <w:tcPr>
            <w:tcW w:w="1820" w:type="dxa"/>
            <w:vAlign w:val="bottom"/>
          </w:tcPr>
          <w:p>
            <w:pPr>
              <w:ind w:left="320"/>
              <w:spacing w:after="0"/>
              <w:rPr>
                <w:sz w:val="20"/>
                <w:szCs w:val="20"/>
                <w:color w:val="auto"/>
              </w:rPr>
            </w:pPr>
            <w:r>
              <w:rPr>
                <w:rFonts w:ascii="Arial" w:cs="Arial" w:eastAsia="Arial" w:hAnsi="Arial"/>
                <w:sz w:val="18"/>
                <w:szCs w:val="18"/>
                <w:color w:val="auto"/>
              </w:rPr>
              <w:t>Allowable</w:t>
            </w:r>
          </w:p>
        </w:tc>
        <w:tc>
          <w:tcPr>
            <w:tcW w:w="2220" w:type="dxa"/>
            <w:vAlign w:val="bottom"/>
          </w:tcPr>
          <w:p>
            <w:pPr>
              <w:ind w:left="740"/>
              <w:spacing w:after="0"/>
              <w:rPr>
                <w:sz w:val="20"/>
                <w:szCs w:val="20"/>
                <w:color w:val="auto"/>
              </w:rPr>
            </w:pPr>
            <w:r>
              <w:rPr>
                <w:rFonts w:ascii="Arial" w:cs="Arial" w:eastAsia="Arial" w:hAnsi="Arial"/>
                <w:sz w:val="18"/>
                <w:szCs w:val="18"/>
                <w:color w:val="auto"/>
              </w:rPr>
              <w:t>Maximum</w:t>
            </w:r>
          </w:p>
        </w:tc>
        <w:tc>
          <w:tcPr>
            <w:tcW w:w="2100" w:type="dxa"/>
            <w:vAlign w:val="bottom"/>
          </w:tcPr>
          <w:p>
            <w:pPr>
              <w:ind w:left="660"/>
              <w:spacing w:after="0"/>
              <w:rPr>
                <w:sz w:val="20"/>
                <w:szCs w:val="20"/>
                <w:color w:val="auto"/>
              </w:rPr>
            </w:pPr>
            <w:r>
              <w:rPr>
                <w:rFonts w:ascii="Arial" w:cs="Arial" w:eastAsia="Arial" w:hAnsi="Arial"/>
                <w:sz w:val="18"/>
                <w:szCs w:val="18"/>
                <w:color w:val="auto"/>
              </w:rPr>
              <w:t>Maximum</w:t>
            </w:r>
          </w:p>
        </w:tc>
      </w:tr>
      <w:tr>
        <w:trPr>
          <w:trHeight w:val="216"/>
        </w:trPr>
        <w:tc>
          <w:tcPr>
            <w:tcW w:w="1840" w:type="dxa"/>
            <w:vAlign w:val="bottom"/>
          </w:tcPr>
          <w:p>
            <w:pPr>
              <w:ind w:left="160"/>
              <w:spacing w:after="0"/>
              <w:rPr>
                <w:sz w:val="20"/>
                <w:szCs w:val="20"/>
                <w:color w:val="auto"/>
              </w:rPr>
            </w:pPr>
            <w:r>
              <w:rPr>
                <w:rFonts w:ascii="Arial" w:cs="Arial" w:eastAsia="Arial" w:hAnsi="Arial"/>
                <w:sz w:val="18"/>
                <w:szCs w:val="18"/>
                <w:color w:val="auto"/>
              </w:rPr>
              <w:t>Shipment Date</w:t>
            </w:r>
          </w:p>
        </w:tc>
        <w:tc>
          <w:tcPr>
            <w:tcW w:w="1820" w:type="dxa"/>
            <w:vAlign w:val="bottom"/>
          </w:tcPr>
          <w:p>
            <w:pPr>
              <w:ind w:left="320"/>
              <w:spacing w:after="0"/>
              <w:rPr>
                <w:sz w:val="20"/>
                <w:szCs w:val="20"/>
                <w:color w:val="auto"/>
              </w:rPr>
            </w:pPr>
            <w:r>
              <w:rPr>
                <w:rFonts w:ascii="Arial" w:cs="Arial" w:eastAsia="Arial" w:hAnsi="Arial"/>
                <w:sz w:val="18"/>
                <w:szCs w:val="18"/>
                <w:color w:val="auto"/>
              </w:rPr>
              <w:t>Quantity</w:t>
            </w:r>
          </w:p>
        </w:tc>
        <w:tc>
          <w:tcPr>
            <w:tcW w:w="2220" w:type="dxa"/>
            <w:vAlign w:val="bottom"/>
          </w:tcPr>
          <w:p>
            <w:pPr>
              <w:ind w:left="740"/>
              <w:spacing w:after="0"/>
              <w:rPr>
                <w:sz w:val="20"/>
                <w:szCs w:val="20"/>
                <w:color w:val="auto"/>
              </w:rPr>
            </w:pPr>
            <w:r>
              <w:rPr>
                <w:rFonts w:ascii="Arial" w:cs="Arial" w:eastAsia="Arial" w:hAnsi="Arial"/>
                <w:sz w:val="18"/>
                <w:szCs w:val="18"/>
                <w:color w:val="auto"/>
              </w:rPr>
              <w:t>Reschedule</w:t>
            </w:r>
          </w:p>
        </w:tc>
        <w:tc>
          <w:tcPr>
            <w:tcW w:w="2100" w:type="dxa"/>
            <w:vAlign w:val="bottom"/>
          </w:tcPr>
          <w:p>
            <w:pPr>
              <w:ind w:left="660"/>
              <w:spacing w:after="0"/>
              <w:rPr>
                <w:sz w:val="20"/>
                <w:szCs w:val="20"/>
                <w:color w:val="auto"/>
              </w:rPr>
            </w:pPr>
            <w:r>
              <w:rPr>
                <w:rFonts w:ascii="Arial" w:cs="Arial" w:eastAsia="Arial" w:hAnsi="Arial"/>
                <w:sz w:val="18"/>
                <w:szCs w:val="18"/>
                <w:color w:val="auto"/>
              </w:rPr>
              <w:t>Reschedule</w:t>
            </w:r>
          </w:p>
        </w:tc>
      </w:tr>
      <w:tr>
        <w:trPr>
          <w:trHeight w:val="237"/>
        </w:trPr>
        <w:tc>
          <w:tcPr>
            <w:tcW w:w="1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on Purchase Order</w:t>
            </w:r>
          </w:p>
        </w:tc>
        <w:tc>
          <w:tcPr>
            <w:tcW w:w="1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Increases</w:t>
            </w:r>
          </w:p>
        </w:tc>
        <w:tc>
          <w:tcPr>
            <w:tcW w:w="22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Quantity</w:t>
            </w:r>
          </w:p>
        </w:tc>
        <w:tc>
          <w:tcPr>
            <w:tcW w:w="21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Period</w:t>
            </w:r>
          </w:p>
        </w:tc>
      </w:tr>
      <w:tr>
        <w:trPr>
          <w:trHeight w:val="216"/>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0-14</w:t>
            </w:r>
          </w:p>
        </w:tc>
        <w:tc>
          <w:tcPr>
            <w:tcW w:w="1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0%</w:t>
            </w:r>
          </w:p>
        </w:tc>
        <w:tc>
          <w:tcPr>
            <w:tcW w:w="22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0</w:t>
            </w:r>
          </w:p>
        </w:tc>
      </w:tr>
      <w:tr>
        <w:trPr>
          <w:trHeight w:val="216"/>
        </w:trPr>
        <w:tc>
          <w:tcPr>
            <w:tcW w:w="1840" w:type="dxa"/>
            <w:vAlign w:val="bottom"/>
          </w:tcPr>
          <w:p>
            <w:pPr>
              <w:ind w:left="160"/>
              <w:spacing w:after="0"/>
              <w:rPr>
                <w:sz w:val="20"/>
                <w:szCs w:val="20"/>
                <w:color w:val="auto"/>
              </w:rPr>
            </w:pPr>
            <w:r>
              <w:rPr>
                <w:rFonts w:ascii="Arial" w:cs="Arial" w:eastAsia="Arial" w:hAnsi="Arial"/>
                <w:sz w:val="18"/>
                <w:szCs w:val="18"/>
                <w:color w:val="auto"/>
              </w:rPr>
              <w:t>15-30</w:t>
            </w:r>
          </w:p>
        </w:tc>
        <w:tc>
          <w:tcPr>
            <w:tcW w:w="1820" w:type="dxa"/>
            <w:vAlign w:val="bottom"/>
          </w:tcPr>
          <w:p>
            <w:pPr>
              <w:ind w:left="320"/>
              <w:spacing w:after="0"/>
              <w:rPr>
                <w:sz w:val="20"/>
                <w:szCs w:val="20"/>
                <w:color w:val="auto"/>
              </w:rPr>
            </w:pPr>
            <w:r>
              <w:rPr>
                <w:rFonts w:ascii="Arial" w:cs="Arial" w:eastAsia="Arial" w:hAnsi="Arial"/>
                <w:sz w:val="18"/>
                <w:szCs w:val="18"/>
                <w:color w:val="auto"/>
              </w:rPr>
              <w:t>10%</w:t>
            </w:r>
          </w:p>
        </w:tc>
        <w:tc>
          <w:tcPr>
            <w:tcW w:w="2220" w:type="dxa"/>
            <w:vAlign w:val="bottom"/>
          </w:tcPr>
          <w:p>
            <w:pPr>
              <w:ind w:left="740"/>
              <w:spacing w:after="0"/>
              <w:rPr>
                <w:sz w:val="20"/>
                <w:szCs w:val="20"/>
                <w:color w:val="auto"/>
              </w:rPr>
            </w:pPr>
            <w:r>
              <w:rPr>
                <w:rFonts w:ascii="Arial" w:cs="Arial" w:eastAsia="Arial" w:hAnsi="Arial"/>
                <w:sz w:val="18"/>
                <w:szCs w:val="18"/>
                <w:color w:val="auto"/>
              </w:rPr>
              <w:t>0%</w:t>
            </w:r>
          </w:p>
        </w:tc>
        <w:tc>
          <w:tcPr>
            <w:tcW w:w="2100" w:type="dxa"/>
            <w:vAlign w:val="bottom"/>
          </w:tcPr>
          <w:p>
            <w:pPr>
              <w:ind w:left="660"/>
              <w:spacing w:after="0"/>
              <w:rPr>
                <w:sz w:val="20"/>
                <w:szCs w:val="20"/>
                <w:color w:val="auto"/>
              </w:rPr>
            </w:pPr>
            <w:r>
              <w:rPr>
                <w:rFonts w:ascii="Arial" w:cs="Arial" w:eastAsia="Arial" w:hAnsi="Arial"/>
                <w:sz w:val="18"/>
                <w:szCs w:val="18"/>
                <w:color w:val="auto"/>
              </w:rPr>
              <w:t>0</w:t>
            </w:r>
          </w:p>
        </w:tc>
      </w:tr>
      <w:tr>
        <w:trPr>
          <w:trHeight w:val="216"/>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31-60</w:t>
            </w:r>
          </w:p>
        </w:tc>
        <w:tc>
          <w:tcPr>
            <w:tcW w:w="1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w:t>
            </w:r>
          </w:p>
        </w:tc>
        <w:tc>
          <w:tcPr>
            <w:tcW w:w="22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w:t>
            </w:r>
          </w:p>
        </w:tc>
        <w:tc>
          <w:tcPr>
            <w:tcW w:w="2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30 days</w:t>
            </w:r>
          </w:p>
        </w:tc>
      </w:tr>
      <w:tr>
        <w:trPr>
          <w:trHeight w:val="230"/>
        </w:trPr>
        <w:tc>
          <w:tcPr>
            <w:tcW w:w="1840" w:type="dxa"/>
            <w:vAlign w:val="bottom"/>
          </w:tcPr>
          <w:p>
            <w:pPr>
              <w:ind w:left="160"/>
              <w:spacing w:after="0"/>
              <w:rPr>
                <w:sz w:val="20"/>
                <w:szCs w:val="20"/>
                <w:color w:val="auto"/>
              </w:rPr>
            </w:pPr>
            <w:r>
              <w:rPr>
                <w:rFonts w:ascii="Arial" w:cs="Arial" w:eastAsia="Arial" w:hAnsi="Arial"/>
                <w:sz w:val="18"/>
                <w:szCs w:val="18"/>
                <w:color w:val="auto"/>
              </w:rPr>
              <w:t>61-90</w:t>
            </w:r>
          </w:p>
        </w:tc>
        <w:tc>
          <w:tcPr>
            <w:tcW w:w="1820" w:type="dxa"/>
            <w:vAlign w:val="bottom"/>
          </w:tcPr>
          <w:p>
            <w:pPr>
              <w:ind w:left="320"/>
              <w:spacing w:after="0"/>
              <w:rPr>
                <w:sz w:val="20"/>
                <w:szCs w:val="20"/>
                <w:color w:val="auto"/>
              </w:rPr>
            </w:pPr>
            <w:r>
              <w:rPr>
                <w:rFonts w:ascii="Arial" w:cs="Arial" w:eastAsia="Arial" w:hAnsi="Arial"/>
                <w:sz w:val="18"/>
                <w:szCs w:val="18"/>
                <w:color w:val="auto"/>
              </w:rPr>
              <w:t>30%</w:t>
            </w:r>
          </w:p>
        </w:tc>
        <w:tc>
          <w:tcPr>
            <w:tcW w:w="2220" w:type="dxa"/>
            <w:vAlign w:val="bottom"/>
          </w:tcPr>
          <w:p>
            <w:pPr>
              <w:ind w:left="740"/>
              <w:spacing w:after="0"/>
              <w:rPr>
                <w:sz w:val="20"/>
                <w:szCs w:val="20"/>
                <w:color w:val="auto"/>
              </w:rPr>
            </w:pPr>
            <w:r>
              <w:rPr>
                <w:rFonts w:ascii="Arial" w:cs="Arial" w:eastAsia="Arial" w:hAnsi="Arial"/>
                <w:sz w:val="18"/>
                <w:szCs w:val="18"/>
                <w:color w:val="auto"/>
              </w:rPr>
              <w:t>20%</w:t>
            </w:r>
          </w:p>
        </w:tc>
        <w:tc>
          <w:tcPr>
            <w:tcW w:w="2100" w:type="dxa"/>
            <w:vAlign w:val="bottom"/>
          </w:tcPr>
          <w:p>
            <w:pPr>
              <w:ind w:left="660"/>
              <w:spacing w:after="0"/>
              <w:rPr>
                <w:sz w:val="20"/>
                <w:szCs w:val="20"/>
                <w:color w:val="auto"/>
              </w:rPr>
            </w:pPr>
            <w:r>
              <w:rPr>
                <w:rFonts w:ascii="Arial" w:cs="Arial" w:eastAsia="Arial" w:hAnsi="Arial"/>
                <w:sz w:val="18"/>
                <w:szCs w:val="18"/>
                <w:color w:val="auto"/>
              </w:rPr>
              <w:t>30 days</w:t>
            </w:r>
          </w:p>
        </w:tc>
      </w:tr>
    </w:tbl>
    <w:p>
      <w:pPr>
        <w:spacing w:after="0" w:line="21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Any decrease in quantity is considered a cancellation, unless the decreased quantity is rescheduled for delivery at a later date in accordance with the Flexibility Table. Quantity cancellations are governed by the terms of Section 5.3 below. Any purchase order quantities increased or rescheduled pursuant to this Section 5.2 (a) may not be subsequently increased or rescheduled.</w:t>
      </w:r>
    </w:p>
    <w:p>
      <w:pPr>
        <w:spacing w:after="0" w:line="208" w:lineRule="exact"/>
        <w:rPr>
          <w:sz w:val="20"/>
          <w:szCs w:val="20"/>
          <w:color w:val="auto"/>
        </w:rPr>
      </w:pPr>
    </w:p>
    <w:p>
      <w:pPr>
        <w:ind w:right="40" w:firstLine="656"/>
        <w:spacing w:after="0" w:line="270" w:lineRule="auto"/>
        <w:tabs>
          <w:tab w:leader="none" w:pos="938"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reschedules to push out delivery dates outside of the table in subsection (a) require Flextronics's prior written approval, which, in its sole discretion, mayor may not be granted. If Customer does not request prior approval from Flextronics for such reschedules, or if Customer and Flextronics do not agree in writing to specific terms with respect to any approved reschedule, then Customer will pay Flextronics the Monthly Charges for any such reschedule, calculated as of the first day after such reschedule for any Inventory and/or Special Inventory that was procured by Flextronics to support the original delivery schedule that is not used to manufacture Product pursuant to an accepted purchase order within thirty (30) days of such reschedule. In addition, if Flextronics notifies Customer that such Inventory and/or Special Inventory has remained in Flextronics's possession for more than ninety (90) days since such reschedule, then Customer agrees to immediately purchase any affected Inventory and/or Special Inventory upon receipt of the notice by paying the Affected Inventory Costs. In addition, any finished Products that have already been manufactured to support the original delivery schedule will be treated as cancelled as provided in Sections 5.3 and 5.4 below.</w:t>
      </w:r>
    </w:p>
    <w:p>
      <w:pPr>
        <w:spacing w:after="0" w:line="208" w:lineRule="exact"/>
        <w:rPr>
          <w:rFonts w:ascii="Arial" w:cs="Arial" w:eastAsia="Arial" w:hAnsi="Arial"/>
          <w:sz w:val="17"/>
          <w:szCs w:val="17"/>
          <w:color w:val="auto"/>
        </w:rPr>
      </w:pPr>
    </w:p>
    <w:p>
      <w:pPr>
        <w:ind w:right="60" w:firstLine="656"/>
        <w:spacing w:after="0" w:line="302" w:lineRule="auto"/>
        <w:tabs>
          <w:tab w:leader="none" w:pos="9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Flextronics will use reasonable commercial efforts to meet any quantity increases, which are subject to Materials and capacity availability. All reschedules or quantity increases outside of the table in subsection (a) require FIextronics's approval, which, in its sole discretion, mayor may not be granted. If Flextronics agrees to accept a reschedule to pull in a delivery date or an increase in quantities in excess of the flexibility table in subsection (a) and if there are extra costs to meet such reschedule or increase, Flextronics will inform Customer for its acceptance and approval in advance.</w:t>
      </w:r>
    </w:p>
    <w:p>
      <w:pPr>
        <w:spacing w:after="0" w:line="181" w:lineRule="exact"/>
        <w:rPr>
          <w:rFonts w:ascii="Arial" w:cs="Arial" w:eastAsia="Arial" w:hAnsi="Arial"/>
          <w:sz w:val="16"/>
          <w:szCs w:val="16"/>
          <w:color w:val="auto"/>
        </w:rPr>
      </w:pPr>
    </w:p>
    <w:p>
      <w:pPr>
        <w:ind w:right="280" w:firstLine="656"/>
        <w:spacing w:after="0" w:line="302" w:lineRule="auto"/>
        <w:tabs>
          <w:tab w:leader="none" w:pos="9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delays in the normal production or interruption in the workflow process caused by Customer's changes to the Specifications or failure to provide sufficient quantities or a reasonable quality level of Customer Controlled Materials where applicable to sustain the production schedule, will be considered a reschedule of any affected purchase orders for purposes of this Section 5.2 for the period of such delay. In addition, Customer shall be responsible for costs related to adjusting foreign currency hedging contracts due to changes in cash flows resulting from such delays.</w:t>
      </w:r>
    </w:p>
    <w:p>
      <w:pPr>
        <w:spacing w:after="0" w:line="177" w:lineRule="exact"/>
        <w:rPr>
          <w:rFonts w:ascii="Arial" w:cs="Arial" w:eastAsia="Arial" w:hAnsi="Arial"/>
          <w:sz w:val="16"/>
          <w:szCs w:val="16"/>
          <w:color w:val="auto"/>
        </w:rPr>
      </w:pPr>
    </w:p>
    <w:p>
      <w:pPr>
        <w:ind w:right="80" w:firstLine="656"/>
        <w:spacing w:after="0" w:line="282"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purposes of calculating the amount of Inventory and Special Inventory subject to subsection (b), the "</w:t>
      </w:r>
      <w:r>
        <w:rPr>
          <w:rFonts w:ascii="Arial" w:cs="Arial" w:eastAsia="Arial" w:hAnsi="Arial"/>
          <w:sz w:val="18"/>
          <w:szCs w:val="18"/>
          <w:b w:val="1"/>
          <w:bCs w:val="1"/>
          <w:color w:val="auto"/>
        </w:rPr>
        <w:t>Lead Time</w:t>
      </w:r>
      <w:r>
        <w:rPr>
          <w:rFonts w:ascii="Arial" w:cs="Arial" w:eastAsia="Arial" w:hAnsi="Arial"/>
          <w:sz w:val="18"/>
          <w:szCs w:val="18"/>
          <w:color w:val="auto"/>
        </w:rPr>
        <w:t>" shall be calculated as the Lead Time at the time of procurement of the Inventory and Special Inventory.</w:t>
      </w:r>
    </w:p>
    <w:p>
      <w:pPr>
        <w:spacing w:after="0" w:line="18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u w:val="single" w:color="auto"/>
          <w:color w:val="auto"/>
        </w:rPr>
        <w:t>Cancellation of Orders and Customer Responsibility for Inventory</w:t>
      </w:r>
      <w:r>
        <w:rPr>
          <w:rFonts w:ascii="Arial" w:cs="Arial" w:eastAsia="Arial" w:hAnsi="Arial"/>
          <w:sz w:val="16"/>
          <w:szCs w:val="16"/>
          <w:color w:val="auto"/>
        </w:rPr>
        <w:t>.</w:t>
      </w:r>
    </w:p>
    <w:p>
      <w:pPr>
        <w:spacing w:after="0" w:line="256" w:lineRule="exact"/>
        <w:rPr>
          <w:sz w:val="20"/>
          <w:szCs w:val="20"/>
          <w:color w:val="auto"/>
        </w:rPr>
      </w:pPr>
    </w:p>
    <w:p>
      <w:pPr>
        <w:ind w:firstLine="656"/>
        <w:spacing w:after="0" w:line="285" w:lineRule="auto"/>
        <w:tabs>
          <w:tab w:leader="none" w:pos="938" w:val="left"/>
        </w:tabs>
        <w:numPr>
          <w:ilvl w:val="1"/>
          <w:numId w:val="37"/>
        </w:numPr>
        <w:rPr>
          <w:rFonts w:ascii="Arial" w:cs="Arial" w:eastAsia="Arial" w:hAnsi="Arial"/>
          <w:sz w:val="16"/>
          <w:szCs w:val="16"/>
          <w:color w:val="auto"/>
        </w:rPr>
      </w:pPr>
      <w:r>
        <w:rPr>
          <w:rFonts w:ascii="Arial" w:cs="Arial" w:eastAsia="Arial" w:hAnsi="Arial"/>
          <w:sz w:val="16"/>
          <w:szCs w:val="16"/>
          <w:color w:val="auto"/>
        </w:rPr>
        <w:t>Customer may not cancel all or any portion of Product quantity of an accepted purchase order without Flextronics's prior written approval, which, in its sole discretion, mayor may not be granted. If Customer does not request prior approval, or if Customer and Flextronics do not agree in writing to specific terms with respect to any approved cancellation, then Customer will pay Flextronics Monthly Charges for any such cancellation, calculated as of the first day after such cancellation for any Product or Inventory or Special Inventory procured by Flextronics to support the original delivery schedule. In addition, if Flextronics notifies Customer that such Product, Inventory and/or Special Inventory has remained in Flextronics's possession for more than thirty</w:t>
      </w:r>
    </w:p>
    <w:p>
      <w:pPr>
        <w:spacing w:after="0" w:line="2" w:lineRule="exact"/>
        <w:rPr>
          <w:rFonts w:ascii="Arial" w:cs="Arial" w:eastAsia="Arial" w:hAnsi="Arial"/>
          <w:sz w:val="16"/>
          <w:szCs w:val="16"/>
          <w:color w:val="auto"/>
        </w:rPr>
      </w:pPr>
    </w:p>
    <w:p>
      <w:pPr>
        <w:ind w:right="180" w:firstLine="8"/>
        <w:spacing w:after="0" w:line="253" w:lineRule="auto"/>
        <w:tabs>
          <w:tab w:leader="none" w:pos="3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days since such cancellation, then Customer agrees to immediately purchase from Flextronics such Product, Inventory and/or Special Inventory by paying the Affected Inventory Costs. In addition, Flextronics shall calculate the cost or gain of unwinding any currency hedging contracts entered into by Flextronics to support the cancelled purchase order(s). Should the unwinding result in a loss to Flextronics, Customer agrees to cover such loss amount for Flextronics immediately upon receipt of an invoice for such amount. Should the unwinding result in a gain to Flextronics, a credit note will be immediately issued to Customer.</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9" w:right="27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8" w:lineRule="exact"/>
        <w:rPr>
          <w:sz w:val="20"/>
          <w:szCs w:val="20"/>
          <w:color w:val="auto"/>
        </w:rPr>
      </w:pPr>
    </w:p>
    <w:p>
      <w:pPr>
        <w:ind w:right="520" w:firstLine="656"/>
        <w:spacing w:after="0" w:line="277" w:lineRule="auto"/>
        <w:tabs>
          <w:tab w:leader="none" w:pos="9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forecast for any period is less than the previous forecast supplied over the same period, that amount will be considered canceled and Customer will be responsible for any Special Inventory purchased or ordered by Flextronics to support the forecast.</w:t>
      </w:r>
    </w:p>
    <w:p>
      <w:pPr>
        <w:spacing w:after="0" w:line="197" w:lineRule="exact"/>
        <w:rPr>
          <w:rFonts w:ascii="Arial" w:cs="Arial" w:eastAsia="Arial" w:hAnsi="Arial"/>
          <w:sz w:val="18"/>
          <w:szCs w:val="18"/>
          <w:color w:val="auto"/>
        </w:rPr>
      </w:pPr>
    </w:p>
    <w:p>
      <w:pPr>
        <w:ind w:right="460" w:firstLine="656"/>
        <w:spacing w:after="0" w:line="308" w:lineRule="auto"/>
        <w:tabs>
          <w:tab w:leader="none" w:pos="938"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Products that have been ordered by Customer and that have not been picked up in accordance with the agreed upon shipment dates shall be considered cancelled and Customer will be responsible for such Products in the same manner as set forth above in Section 5.3(a).</w:t>
      </w:r>
    </w:p>
    <w:p>
      <w:pPr>
        <w:spacing w:after="0" w:line="173" w:lineRule="exact"/>
        <w:rPr>
          <w:rFonts w:ascii="Arial" w:cs="Arial" w:eastAsia="Arial" w:hAnsi="Arial"/>
          <w:sz w:val="17"/>
          <w:szCs w:val="17"/>
          <w:color w:val="auto"/>
        </w:rPr>
      </w:pPr>
    </w:p>
    <w:p>
      <w:pPr>
        <w:ind w:right="20" w:firstLine="656"/>
        <w:spacing w:after="0" w:line="264" w:lineRule="auto"/>
        <w:tabs>
          <w:tab w:leader="none" w:pos="9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calculating the amount of Inventory and Special Inventory subject to subsection (a), the "Lead Time" shall be calculated as the Lead Time at the time of (1) procurement of the Inventory and Special Inventory; (ii) cancellation of the purchase order or (iii) termination of this Agreement, whichever is longer.</w:t>
      </w: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u w:val="single" w:color="auto"/>
          <w:color w:val="auto"/>
        </w:rPr>
        <w:t>Mitigation of Inventory and Special Inventory</w:t>
      </w:r>
      <w:r>
        <w:rPr>
          <w:rFonts w:ascii="Arial" w:cs="Arial" w:eastAsia="Arial" w:hAnsi="Arial"/>
          <w:sz w:val="17"/>
          <w:szCs w:val="17"/>
          <w:color w:val="auto"/>
        </w:rPr>
        <w:t>. Prior to invoicing Customer for the amounts due pursuant to Sections 5.2 or 5.3, Flextronics will use reasonable commercial efforts for a period of thirty (30) days, to return unused Inventory and Special Inventory and to cancel pending orders for such inventory, and to otherwise mitigate the amounts payable by Customer. Customer shall pay amounts due under this Section 5 within ten (10) days of receipt of an invoice. Flextronics will ship the Inventory and Special Inventory paid for by Customer under this Section 5.4 to Customer promptly upon said payment by Customer. In the event Customer does not pay within ten (10) days, Flextronics will be entitled to dispose of such Inventory and Special Inventory in a commercially reasonable manner and credit to Customer any monies received from third parties. Flextronics shall then submit an invoice for the balance amount due and Customer agrees to pay said amount within ten (10) days of its receipt of the invoice.</w:t>
      </w:r>
    </w:p>
    <w:p>
      <w:pPr>
        <w:spacing w:after="0" w:line="199"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For the avoidance of doubt, Flextronics's failure to invoice Customer for any of the charges set forth in this Section 5 does not constitute a waiver of Flextronics's right to charge Customer for the same event or other similar events in the future.</w:t>
      </w:r>
    </w:p>
    <w:p>
      <w:pPr>
        <w:spacing w:after="0" w:line="189" w:lineRule="exact"/>
        <w:rPr>
          <w:sz w:val="20"/>
          <w:szCs w:val="20"/>
          <w:color w:val="auto"/>
        </w:rPr>
      </w:pPr>
    </w:p>
    <w:p>
      <w:pPr>
        <w:ind w:left="400" w:hanging="230"/>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PRODUCT ACCEPTANCE AND EXPRESS LIMITED WARRANTY</w:t>
      </w:r>
    </w:p>
    <w:p>
      <w:pPr>
        <w:spacing w:after="0" w:line="25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Product Acceptance</w:t>
      </w:r>
      <w:r>
        <w:rPr>
          <w:rFonts w:ascii="Arial" w:cs="Arial" w:eastAsia="Arial" w:hAnsi="Arial"/>
          <w:sz w:val="16"/>
          <w:szCs w:val="16"/>
          <w:color w:val="auto"/>
        </w:rPr>
        <w:t>. The Products delivered by Flextronics will be inspected and tested as required by Customer within (15) days of receipt at the "ship to" location on the applicable purchase order. If Products do not comply with the express limited warranty set forth in Section 6.2 below, Customer has the right to reject such Products during said period. Products not rejected during said period will be deemed accepted. Customer may return defective Products, freight collect, after obtaining a return material authorization number from Flextronics to be displayed on the shipping container and completing a failure report. Rejected Products will be promptly repaired or replaced, at Flextronics's option, and returned freight pre-paid. Customer shall bear all of the risk, and all costs and expenses, associated with Products that have been returned to Flextronics for which there is no defect found.</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Express Limited Warranty</w:t>
      </w:r>
      <w:r>
        <w:rPr>
          <w:rFonts w:ascii="Arial" w:cs="Arial" w:eastAsia="Arial" w:hAnsi="Arial"/>
          <w:sz w:val="18"/>
          <w:szCs w:val="18"/>
          <w:color w:val="auto"/>
        </w:rPr>
        <w:t>. This Section 6.2 sets forth Flextronics's sole and exclusive warranty and Customer's sole and exclusive remedies with respect to a breach by Flextronics of such warranty.</w:t>
      </w:r>
    </w:p>
    <w:p>
      <w:pPr>
        <w:spacing w:after="0" w:line="193" w:lineRule="exact"/>
        <w:rPr>
          <w:sz w:val="20"/>
          <w:szCs w:val="20"/>
          <w:color w:val="auto"/>
        </w:rPr>
      </w:pPr>
    </w:p>
    <w:p>
      <w:pPr>
        <w:ind w:right="80" w:firstLine="656"/>
        <w:spacing w:after="0" w:line="264" w:lineRule="auto"/>
        <w:tabs>
          <w:tab w:leader="none" w:pos="9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Flextronics warrants that the Products will have been manufactured in accordance with the applicable Specifications and will be free from defects in workmanship for a period of two (2) years from the date of shipment. In addition, Flextronics warrants that Production Materials are in compliance with Environmental Regulations.</w:t>
      </w:r>
    </w:p>
    <w:p>
      <w:pPr>
        <w:spacing w:after="0" w:line="208" w:lineRule="exact"/>
        <w:rPr>
          <w:rFonts w:ascii="Arial" w:cs="Arial" w:eastAsia="Arial" w:hAnsi="Arial"/>
          <w:sz w:val="18"/>
          <w:szCs w:val="18"/>
          <w:color w:val="auto"/>
        </w:rPr>
      </w:pPr>
    </w:p>
    <w:p>
      <w:pPr>
        <w:ind w:firstLine="656"/>
        <w:spacing w:after="0" w:line="273" w:lineRule="auto"/>
        <w:tabs>
          <w:tab w:leader="none" w:pos="948"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Notwithstanding anything else in this Agreement, this express limited warranty does not apply to, and Flextronics makes no representations or warranties whatsoever with respect to: (i) Materials and/or Customer Controlled Materials; (ii) defects resulting from the Specifications or the design of the Products; (iii) Product that has been abused, damaged, altered or misused by any person or entity after title passes to Customer; (iv) first articles, prototypes, pre-production units, test units or other similar Products; (v) defects resulting from tooling, designs or instructions produced or supplied by Customer, or </w:t>
      </w:r>
      <w:r>
        <w:rPr>
          <w:rFonts w:ascii="Arial" w:cs="Arial" w:eastAsia="Arial" w:hAnsi="Arial"/>
          <w:sz w:val="17"/>
          <w:szCs w:val="17"/>
          <w:i w:val="1"/>
          <w:iCs w:val="1"/>
          <w:color w:val="auto"/>
        </w:rPr>
        <w:t>(vi)</w:t>
      </w:r>
      <w:r>
        <w:rPr>
          <w:rFonts w:ascii="Arial" w:cs="Arial" w:eastAsia="Arial" w:hAnsi="Arial"/>
          <w:sz w:val="17"/>
          <w:szCs w:val="17"/>
          <w:color w:val="auto"/>
        </w:rPr>
        <w:t xml:space="preserve"> the compliance of Materials or Products with any Environmental Regulations. Customer shall be liable for costs or expenses incurred by Flextronics related to the foregoing exclusions to Flextronics's express limited warranty.</w:t>
      </w:r>
    </w:p>
    <w:p>
      <w:pPr>
        <w:spacing w:after="0" w:line="205" w:lineRule="exact"/>
        <w:rPr>
          <w:rFonts w:ascii="Arial" w:cs="Arial" w:eastAsia="Arial" w:hAnsi="Arial"/>
          <w:sz w:val="17"/>
          <w:szCs w:val="17"/>
          <w:color w:val="auto"/>
        </w:rPr>
      </w:pPr>
    </w:p>
    <w:p>
      <w:pPr>
        <w:ind w:right="200" w:firstLine="656"/>
        <w:spacing w:after="0" w:line="257" w:lineRule="auto"/>
        <w:tabs>
          <w:tab w:leader="none" w:pos="9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Upon any failure of a Product to comply with this express limited warranty, Flextronics's sole obligation, and Customer's sole remedy, is for Flextronics, at its option, to promptly repair or replace such unit and return it to Customer freight prepaid. Customer shall return Products </w:t>
      </w:r>
      <w:r>
        <w:rPr>
          <w:rFonts w:ascii="Arial" w:cs="Arial" w:eastAsia="Arial" w:hAnsi="Arial"/>
          <w:sz w:val="18"/>
          <w:szCs w:val="18"/>
          <w:i w:val="1"/>
          <w:iCs w:val="1"/>
          <w:color w:val="auto"/>
        </w:rPr>
        <w:t>covered</w:t>
      </w:r>
      <w:r>
        <w:rPr>
          <w:rFonts w:ascii="Arial" w:cs="Arial" w:eastAsia="Arial" w:hAnsi="Arial"/>
          <w:sz w:val="18"/>
          <w:szCs w:val="18"/>
          <w:color w:val="auto"/>
        </w:rPr>
        <w:t xml:space="preserve"> by this warranty freight prepaid after completing a failure report and obtaining a return material authorization number from Flextronics to be displayed on the shipping container. Customer shall bear all of the risk, and all costs and expenses, associated with Products that </w:t>
      </w:r>
      <w:r>
        <w:rPr>
          <w:rFonts w:ascii="Arial" w:cs="Arial" w:eastAsia="Arial" w:hAnsi="Arial"/>
          <w:sz w:val="18"/>
          <w:szCs w:val="18"/>
          <w:i w:val="1"/>
          <w:iCs w:val="1"/>
          <w:color w:val="auto"/>
        </w:rPr>
        <w:t>have</w:t>
      </w:r>
      <w:r>
        <w:rPr>
          <w:rFonts w:ascii="Arial" w:cs="Arial" w:eastAsia="Arial" w:hAnsi="Arial"/>
          <w:sz w:val="18"/>
          <w:szCs w:val="18"/>
          <w:color w:val="auto"/>
        </w:rPr>
        <w:t xml:space="preserve"> been returned to Flextronics for which there is no defect found.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8" w:lineRule="exact"/>
        <w:rPr>
          <w:sz w:val="20"/>
          <w:szCs w:val="20"/>
          <w:color w:val="auto"/>
        </w:rPr>
      </w:pPr>
    </w:p>
    <w:p>
      <w:pPr>
        <w:ind w:right="160" w:firstLine="656"/>
        <w:spacing w:after="0" w:line="259" w:lineRule="auto"/>
        <w:tabs>
          <w:tab w:leader="none" w:pos="9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Customer will provide its own warranties directly to any of its end users or other third parties. Customer will not pass through to end users or other third parties the warranties made by Flextronics under this Agreement. Furthermore, Customer will not make any representations to end users or other third parties on behalf of Flextronics, and Customer will expressly indicate that the end users and third parties must look solely to Customer in connection with any problems, warranty claim or other matters concerning the Product.</w:t>
      </w:r>
    </w:p>
    <w:p>
      <w:pPr>
        <w:spacing w:after="0" w:line="210" w:lineRule="exact"/>
        <w:rPr>
          <w:sz w:val="20"/>
          <w:szCs w:val="20"/>
          <w:color w:val="auto"/>
        </w:rPr>
      </w:pPr>
    </w:p>
    <w:p>
      <w:pPr>
        <w:ind w:firstLine="765"/>
        <w:spacing w:after="0" w:line="281"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u w:val="single" w:color="auto"/>
          <w:color w:val="auto"/>
        </w:rPr>
        <w:t>No Representations or Other Warranties</w:t>
      </w:r>
      <w:r>
        <w:rPr>
          <w:rFonts w:ascii="Arial" w:cs="Arial" w:eastAsia="Arial" w:hAnsi="Arial"/>
          <w:sz w:val="17"/>
          <w:szCs w:val="17"/>
          <w:color w:val="auto"/>
        </w:rPr>
        <w:t>. FLEXTRONICS MAKES NO REPRESENTATIONS AND NO OTHER WARRANTIES OR CONDITIONS ON THE PERFORMANCE OF THE WORK, OR THE PRODUCTS, EXPRESS, IMPLIED, STATUTORY, OR IN ANY OTHER PROVISION OF THIS AGREEMENT OR COMMUNICATION WITH CUSTOMER, AND FLEXTRONICS SPECIFICALLY DISCLAIMS ANY IMPLIED WARRANTY OR CONDITION OF MERCHANTABILITY OR FITNESS FOR A PARTICULAR PURPOSE OR NONINFRINGEMENT.</w:t>
      </w:r>
    </w:p>
    <w:p>
      <w:pPr>
        <w:spacing w:after="0" w:line="192" w:lineRule="exact"/>
        <w:rPr>
          <w:sz w:val="20"/>
          <w:szCs w:val="20"/>
          <w:color w:val="auto"/>
        </w:rPr>
      </w:pPr>
    </w:p>
    <w:p>
      <w:pPr>
        <w:ind w:left="400" w:hanging="230"/>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INTELLECTUAL PROPERTY LICENSES</w:t>
      </w:r>
    </w:p>
    <w:p>
      <w:pPr>
        <w:spacing w:after="0" w:line="252" w:lineRule="exact"/>
        <w:rPr>
          <w:sz w:val="20"/>
          <w:szCs w:val="20"/>
          <w:color w:val="auto"/>
        </w:rPr>
      </w:pPr>
    </w:p>
    <w:p>
      <w:pPr>
        <w:ind w:right="140" w:firstLine="765"/>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Licenses</w:t>
      </w:r>
      <w:r>
        <w:rPr>
          <w:rFonts w:ascii="Arial" w:cs="Arial" w:eastAsia="Arial" w:hAnsi="Arial"/>
          <w:sz w:val="18"/>
          <w:szCs w:val="18"/>
          <w:color w:val="auto"/>
        </w:rPr>
        <w:t>. Customer hereby grants Flextronics a non-exclusive license during the term of this Agreement to use Customer's patents, trade secrets and other intellectual property as necessary to perform Flextronics's obligations under this Agreement.</w:t>
      </w:r>
    </w:p>
    <w:p>
      <w:pPr>
        <w:spacing w:after="0" w:line="189" w:lineRule="exact"/>
        <w:rPr>
          <w:sz w:val="20"/>
          <w:szCs w:val="20"/>
          <w:color w:val="auto"/>
        </w:rPr>
      </w:pPr>
    </w:p>
    <w:p>
      <w:pPr>
        <w:ind w:right="80" w:firstLine="765"/>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No Other Licenses</w:t>
      </w:r>
      <w:r>
        <w:rPr>
          <w:rFonts w:ascii="Arial" w:cs="Arial" w:eastAsia="Arial" w:hAnsi="Arial"/>
          <w:sz w:val="18"/>
          <w:szCs w:val="18"/>
          <w:color w:val="auto"/>
        </w:rPr>
        <w:t>. Except as otherwise specifically provided in this Agreement, each party acknowledges and agrees that no licenses or rights under any of the intellectual property rights of the other party are given or intended to be given to such other party.</w:t>
      </w:r>
    </w:p>
    <w:p>
      <w:pPr>
        <w:spacing w:after="0" w:line="189" w:lineRule="exact"/>
        <w:rPr>
          <w:sz w:val="20"/>
          <w:szCs w:val="20"/>
          <w:color w:val="auto"/>
        </w:rPr>
      </w:pPr>
    </w:p>
    <w:p>
      <w:pPr>
        <w:ind w:left="400" w:hanging="230"/>
        <w:spacing w:after="0"/>
        <w:tabs>
          <w:tab w:leader="none" w:pos="4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TERM AND TERMINATION</w:t>
      </w:r>
    </w:p>
    <w:p>
      <w:pPr>
        <w:spacing w:after="0" w:line="252"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The term of this Agreement shall commence on the date hereof above and shall continue for two (2) years thereafter until terminated as provided in Section 8.2 (Termination) or 10.8 (Force Majeure). After the expiration of the initial term hereunder (unless this Agreement has been terminated), this Agreement shall be automatically renewed for separate but successive one-year terms unless either party provides written notice to the other party that it does not intend to renew this Agreement one hundred and twenty (120) days or more prior to the end of any term.</w:t>
      </w:r>
    </w:p>
    <w:p>
      <w:pPr>
        <w:spacing w:after="0" w:line="19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by either party (a) for convenience upon (120) days written notice to the other party, or (b) if the other party defaults in any payment to the terminating party and such default continues without a cure for a period of fifteen (15) days after the delivery of written notice thereof by the terminating party to the other party, (c) if the other party defaults in the performance of any other material term or condition of this Agreement and such default continues unremedied for a period of thirty (30) days after the delivery of written notice thereof by the terminating party to the other party, or (d) pursuant to Section 10.8 (Force Majeure).</w:t>
      </w:r>
    </w:p>
    <w:p>
      <w:pPr>
        <w:spacing w:after="0" w:line="21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Effect of Expiration or Termination</w:t>
      </w:r>
      <w:r>
        <w:rPr>
          <w:rFonts w:ascii="Arial" w:cs="Arial" w:eastAsia="Arial" w:hAnsi="Arial"/>
          <w:sz w:val="16"/>
          <w:szCs w:val="16"/>
          <w:color w:val="auto"/>
        </w:rPr>
        <w:t>. Expiration or termination of this Agreement under any of the foregoing provisions: (a) shall not affect the amounts due under this Agreement by either party that exist as of the date of expiration or termination, and (b) as of such date the provisions of Sections 5.2, 5.3, and 5.4 shall apply with respect to payment and shipment to Customer of finished Products, Inventory, and Special Inventory in existence as of such date, and (c) shall not affect Flextronics's express limited warranty in Section 6.2 above. Termination of this Agreement, settling of accounts in the manner set forth in the foregoing sentence shall be the exclusive remedy of the parties for breach of this Agreement, except for breaches of Section 6.2, 9.1, 9.2, or 10.1. Sections 1, 3.5, 3.6, 3.7, 4, 5.2, 5.3, 5.4, 6.2, 6.3, 7, 8, 9, and 10 shall be the only terms that shall survive any termination or expiration of this Agreement.</w:t>
      </w:r>
    </w:p>
    <w:p>
      <w:pPr>
        <w:spacing w:after="0" w:line="183" w:lineRule="exact"/>
        <w:rPr>
          <w:sz w:val="20"/>
          <w:szCs w:val="20"/>
          <w:color w:val="auto"/>
        </w:rPr>
      </w:pPr>
    </w:p>
    <w:p>
      <w:pPr>
        <w:ind w:left="400" w:hanging="230"/>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INDEMNIFICATION; LIABILITY LIMITATION</w:t>
      </w:r>
    </w:p>
    <w:p>
      <w:pPr>
        <w:spacing w:after="0" w:line="252"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u w:val="single" w:color="auto"/>
          <w:color w:val="auto"/>
        </w:rPr>
        <w:t>Indemnification by Flextronics</w:t>
      </w:r>
      <w:r>
        <w:rPr>
          <w:rFonts w:ascii="Arial" w:cs="Arial" w:eastAsia="Arial" w:hAnsi="Arial"/>
          <w:sz w:val="16"/>
          <w:szCs w:val="16"/>
          <w:color w:val="auto"/>
        </w:rPr>
        <w:t>. Flextronics agrees to defend, indemnify and hold harmless,</w:t>
      </w:r>
    </w:p>
    <w:p>
      <w:pPr>
        <w:spacing w:after="0" w:line="252" w:lineRule="exact"/>
        <w:rPr>
          <w:sz w:val="20"/>
          <w:szCs w:val="20"/>
          <w:color w:val="auto"/>
        </w:rPr>
      </w:pPr>
    </w:p>
    <w:p>
      <w:pPr>
        <w:ind w:left="180" w:right="120"/>
        <w:spacing w:after="0" w:line="266" w:lineRule="auto"/>
        <w:rPr>
          <w:sz w:val="20"/>
          <w:szCs w:val="20"/>
          <w:color w:val="auto"/>
        </w:rPr>
      </w:pPr>
      <w:r>
        <w:rPr>
          <w:rFonts w:ascii="Arial" w:cs="Arial" w:eastAsia="Arial" w:hAnsi="Arial"/>
          <w:sz w:val="18"/>
          <w:szCs w:val="18"/>
          <w:color w:val="auto"/>
        </w:rPr>
        <w:t>Customer and all directors, officers, employees, and agents (each, a "</w:t>
      </w:r>
      <w:r>
        <w:rPr>
          <w:rFonts w:ascii="Arial" w:cs="Arial" w:eastAsia="Arial" w:hAnsi="Arial"/>
          <w:sz w:val="18"/>
          <w:szCs w:val="18"/>
          <w:b w:val="1"/>
          <w:bCs w:val="1"/>
          <w:color w:val="auto"/>
        </w:rPr>
        <w:t>Customer Indemnitee</w:t>
      </w:r>
      <w:r>
        <w:rPr>
          <w:rFonts w:ascii="Arial" w:cs="Arial" w:eastAsia="Arial" w:hAnsi="Arial"/>
          <w:sz w:val="18"/>
          <w:szCs w:val="18"/>
          <w:color w:val="auto"/>
        </w:rPr>
        <w:t>") from and against all claims, actions, losses, expenses, damages or other liabilities, including reasonable attorneys' fees (collectively, "</w:t>
      </w:r>
      <w:r>
        <w:rPr>
          <w:rFonts w:ascii="Arial" w:cs="Arial" w:eastAsia="Arial" w:hAnsi="Arial"/>
          <w:sz w:val="18"/>
          <w:szCs w:val="18"/>
          <w:b w:val="1"/>
          <w:bCs w:val="1"/>
          <w:color w:val="auto"/>
        </w:rPr>
        <w:t>Damages</w:t>
      </w:r>
      <w:r>
        <w:rPr>
          <w:rFonts w:ascii="Arial" w:cs="Arial" w:eastAsia="Arial" w:hAnsi="Arial"/>
          <w:sz w:val="18"/>
          <w:szCs w:val="18"/>
          <w:color w:val="auto"/>
        </w:rPr>
        <w:t>") incurred by or assessed against any of the foregoing, but solely to the extent the same arise out of third-party claims relating to:</w:t>
      </w:r>
    </w:p>
    <w:p>
      <w:pPr>
        <w:spacing w:after="0" w:line="207" w:lineRule="exact"/>
        <w:rPr>
          <w:sz w:val="20"/>
          <w:szCs w:val="20"/>
          <w:color w:val="auto"/>
        </w:rPr>
      </w:pPr>
    </w:p>
    <w:p>
      <w:pPr>
        <w:ind w:right="200" w:firstLine="656"/>
        <w:spacing w:after="0" w:line="286" w:lineRule="auto"/>
        <w:tabs>
          <w:tab w:leader="none" w:pos="938"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actual or threatened injury or damage to any person or property caused, or alleged to be caused, by a Product sold by Flextronics to Customer hereunder, but solely to the extent such injury or damage has been caused by the breach by Flextronics of its express limited warranties related to Flextronics's workmanship and manufacture in accordance with the Specifications only as further set forth in Section 6.2;</w:t>
      </w:r>
    </w:p>
    <w:p>
      <w:pPr>
        <w:spacing w:after="0" w:line="192" w:lineRule="exact"/>
        <w:rPr>
          <w:rFonts w:ascii="Arial" w:cs="Arial" w:eastAsia="Arial" w:hAnsi="Arial"/>
          <w:sz w:val="17"/>
          <w:szCs w:val="17"/>
          <w:color w:val="auto"/>
        </w:rPr>
      </w:pPr>
    </w:p>
    <w:p>
      <w:pPr>
        <w:ind w:right="200" w:firstLine="656"/>
        <w:spacing w:after="0" w:line="312" w:lineRule="auto"/>
        <w:tabs>
          <w:tab w:leader="none" w:pos="948"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infringement of the intellectual property rights of any third party but solely to the extent that such infringement is caused by a process that Flextronics uses to manufacture, assemble and/or test the Products; provided that, Flextronics shall not have any obligation to indemnify Customer if such claim would not have arisen but for Flextronics's manufacture, assembly or test of the Product in accordance with the Specifications; or</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8" w:lineRule="exact"/>
        <w:rPr>
          <w:sz w:val="20"/>
          <w:szCs w:val="20"/>
          <w:color w:val="auto"/>
        </w:rPr>
      </w:pPr>
    </w:p>
    <w:p>
      <w:pPr>
        <w:ind w:right="360" w:firstLine="656"/>
        <w:spacing w:after="0" w:line="286" w:lineRule="auto"/>
        <w:tabs>
          <w:tab w:leader="none" w:pos="938"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noncompliance with any Environmental Regulations but solely to the extent that such non-compliance is caused by a process or Production Materials that Flextronics uses to manufacture the Products; provided that, Flextronics shall not have any obligation to indemnify Customer if such claim would not have arisen but for Flextronics's manufacture of the Product in accordance with the Specifications.</w:t>
      </w:r>
    </w:p>
    <w:p>
      <w:pPr>
        <w:spacing w:after="0" w:line="189" w:lineRule="exact"/>
        <w:rPr>
          <w:sz w:val="20"/>
          <w:szCs w:val="20"/>
          <w:color w:val="auto"/>
        </w:rPr>
      </w:pPr>
    </w:p>
    <w:p>
      <w:pPr>
        <w:jc w:val="both"/>
        <w:ind w:right="120" w:firstLine="765"/>
        <w:spacing w:after="0" w:line="26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Indemnification by Customer</w:t>
      </w:r>
      <w:r>
        <w:rPr>
          <w:rFonts w:ascii="Arial" w:cs="Arial" w:eastAsia="Arial" w:hAnsi="Arial"/>
          <w:sz w:val="18"/>
          <w:szCs w:val="18"/>
          <w:color w:val="auto"/>
        </w:rPr>
        <w:t>. Customer agrees to defend, indemnify and hold harmless, Flextronics and its affiliates, and all directors, officers, employees and agents (each, a "</w:t>
      </w:r>
      <w:r>
        <w:rPr>
          <w:rFonts w:ascii="Arial" w:cs="Arial" w:eastAsia="Arial" w:hAnsi="Arial"/>
          <w:sz w:val="18"/>
          <w:szCs w:val="18"/>
          <w:b w:val="1"/>
          <w:bCs w:val="1"/>
          <w:color w:val="auto"/>
        </w:rPr>
        <w:t>Flextronics Indemnitee</w:t>
      </w:r>
      <w:r>
        <w:rPr>
          <w:rFonts w:ascii="Arial" w:cs="Arial" w:eastAsia="Arial" w:hAnsi="Arial"/>
          <w:sz w:val="18"/>
          <w:szCs w:val="18"/>
          <w:color w:val="auto"/>
        </w:rPr>
        <w:t>") from and against all Damages incurred by or assessed against any of the foregoing to the extent the same arise out of, are in connection with, are caused by or are related to third-party claims relating to:</w:t>
      </w:r>
    </w:p>
    <w:p>
      <w:pPr>
        <w:spacing w:after="0" w:line="207" w:lineRule="exact"/>
        <w:rPr>
          <w:sz w:val="20"/>
          <w:szCs w:val="20"/>
          <w:color w:val="auto"/>
        </w:rPr>
      </w:pPr>
    </w:p>
    <w:p>
      <w:pPr>
        <w:ind w:right="60" w:firstLine="656"/>
        <w:spacing w:after="0" w:line="264" w:lineRule="auto"/>
        <w:tabs>
          <w:tab w:leader="none" w:pos="9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failure of any Product (and Materials contained therein) sold by Flextronics hereunder to comply with any safety standards and/or Environmental Regulations to the extent that such failure has not been caused by Flextronics's breach of its express limited warranties set forth in Section 6.2 hereof;</w:t>
      </w:r>
    </w:p>
    <w:p>
      <w:pPr>
        <w:spacing w:after="0" w:line="208" w:lineRule="exact"/>
        <w:rPr>
          <w:rFonts w:ascii="Arial" w:cs="Arial" w:eastAsia="Arial" w:hAnsi="Arial"/>
          <w:sz w:val="18"/>
          <w:szCs w:val="18"/>
          <w:color w:val="auto"/>
        </w:rPr>
      </w:pPr>
    </w:p>
    <w:p>
      <w:pPr>
        <w:ind w:right="320" w:firstLine="656"/>
        <w:spacing w:after="0" w:line="264" w:lineRule="auto"/>
        <w:tabs>
          <w:tab w:leader="none" w:pos="9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actual or threatened injury or damage to any person or property caused, or alleged to be caused, by a Product, but only to the extent such injury or damage has not been caused by Flextronics's breach of its express limited warranties related to Flextronics's workmanship and manufacture in accordance with the Specifications only as further set forth in Section 6.2 hereof; or</w:t>
      </w:r>
    </w:p>
    <w:p>
      <w:pPr>
        <w:spacing w:after="0" w:line="208" w:lineRule="exact"/>
        <w:rPr>
          <w:rFonts w:ascii="Arial" w:cs="Arial" w:eastAsia="Arial" w:hAnsi="Arial"/>
          <w:sz w:val="18"/>
          <w:szCs w:val="18"/>
          <w:color w:val="auto"/>
        </w:rPr>
      </w:pPr>
    </w:p>
    <w:p>
      <w:pPr>
        <w:ind w:right="120" w:firstLine="656"/>
        <w:spacing w:after="0" w:line="277" w:lineRule="auto"/>
        <w:tabs>
          <w:tab w:leader="none" w:pos="9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infringement of the intellectual property rights of any third party by any Product except to the extent such infringement is the responsibility of Flextronics pursuant to Section 9.1(b) above.</w:t>
      </w:r>
    </w:p>
    <w:p>
      <w:pPr>
        <w:spacing w:after="0" w:line="193" w:lineRule="exact"/>
        <w:rPr>
          <w:sz w:val="20"/>
          <w:szCs w:val="20"/>
          <w:color w:val="auto"/>
        </w:rPr>
      </w:pPr>
    </w:p>
    <w:p>
      <w:pPr>
        <w:ind w:right="20" w:firstLine="765"/>
        <w:spacing w:after="0" w:line="25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Procedures for Indemnification</w:t>
      </w:r>
      <w:r>
        <w:rPr>
          <w:rFonts w:ascii="Arial" w:cs="Arial" w:eastAsia="Arial" w:hAnsi="Arial"/>
          <w:sz w:val="18"/>
          <w:szCs w:val="18"/>
          <w:color w:val="auto"/>
        </w:rPr>
        <w:t>. With respect to any third-party claims, either party shall give the other party prompt notice of any third-party claim and cooperate with the indemnifying party at its expense. The indemnifying party shall have the right to assume the defense (at its own expense) of any such claim through counsel of its own choosing by so notifying the party seeking indemnification within thirty (30) calendar days of the first receipt of such notice. The party seeking indemnification shall have the right to participate in the defense thereof and to employ counsel, at its own expense, separate from the counsel employed by the indemnifying party. The indemnifying party shall not, without the prior written consent of the indemnified party, agree to the settlement, compromise or discharge of such third-party claim.</w:t>
      </w:r>
    </w:p>
    <w:p>
      <w:pPr>
        <w:spacing w:after="0" w:line="215" w:lineRule="exact"/>
        <w:rPr>
          <w:sz w:val="20"/>
          <w:szCs w:val="20"/>
          <w:color w:val="auto"/>
        </w:rPr>
      </w:pPr>
    </w:p>
    <w:p>
      <w:pPr>
        <w:ind w:firstLine="765"/>
        <w:spacing w:after="0" w:line="289"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b w:val="1"/>
          <w:bCs w:val="1"/>
          <w:u w:val="single" w:color="auto"/>
          <w:color w:val="auto"/>
        </w:rPr>
        <w:t>Sale of Products Enjoined</w:t>
      </w:r>
      <w:r>
        <w:rPr>
          <w:rFonts w:ascii="Arial" w:cs="Arial" w:eastAsia="Arial" w:hAnsi="Arial"/>
          <w:sz w:val="16"/>
          <w:szCs w:val="16"/>
          <w:color w:val="auto"/>
        </w:rPr>
        <w:t>. Should the use of any Products be enjoined for a cause stated in Section 9.1(b) or 9.2(c) above, or in the event the indemnifying party desires to minimize its liabilities under this Section 9, in addition to its indemnification obligations set forth in this Section 9, the indemnifying party's sole responsibility is to either substitute a fully equivalent Product or process (as applicable) not subject to such injunction, modify such Product or process (as applicable) so that it no longer is subject to such injunction, or obtain the right to continue using the enjoined process or Product (as applicable). In the event that any of the foregoing remedies cannot be effected on commercially reasonable terms, then, all accepted purchase orders and the current forecast will be considered cancelled and Customer shall purchase all Products, Inventory and Special Inventory as provided in Sections 5.3 and 5.4 hereof. Any changes to any Products or process must be made in accordance with Section 2.2 above. Notwithstanding the foregoing, in the event that a third party makes an infringement claim, but does not obtain an injunction, the indemnifying party shall not be required to substitute a fully equivalent Product or process (as applicable) or modify the Product or process (as applicable) if the indemnifying party obtains an opinion from competent patent counsel reasonably acceptable to the other party that such Product or process is not infringing or that the patents alleged to have been infringed are invalid.</w:t>
      </w:r>
    </w:p>
    <w:p>
      <w:pPr>
        <w:spacing w:after="0" w:line="18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b w:val="1"/>
          <w:bCs w:val="1"/>
          <w:u w:val="single" w:color="auto"/>
          <w:color w:val="auto"/>
        </w:rPr>
        <w:t>No Other Liability</w:t>
      </w:r>
      <w:r>
        <w:rPr>
          <w:rFonts w:ascii="Arial" w:cs="Arial" w:eastAsia="Arial" w:hAnsi="Arial"/>
          <w:sz w:val="18"/>
          <w:szCs w:val="18"/>
          <w:b w:val="1"/>
          <w:bCs w:val="1"/>
          <w:color w:val="auto"/>
        </w:rPr>
        <w:t>. EXCEPT WITH REGARD TO A BREACH OF SECTIONS 9.1 AND 9.2 ABOVE OR SECTION 10.1 BELOW, IN NO EVENT SHALL EITHER PARTY BE LIABLE TO THE OTHER FOR ANY "COVER" DAMAGES (INCLUDING INTERNAL COVER DAMAGES WHICH THE PARTIES AGREE MAY NOT BE CONSIDERED "DIRECT" DAMAGES), OR ANY INCIDENTAL, CONSEQUENTIAL, SPECIAL OR PUNITIVE DAMAGES OF ANY KIND OR NATURE ARISING OUT OF THIS AGREEMENT OR THE SALE OF PRODUCTS, WHETHER SUCH LIABILITY IS ASSERTED ON THE BASIS OF CONTRACT, TORT (INCLUDING THE POSSIBILITY OF NEGLIGENCE OR STRICT LIABILITY), OR OTHERWISE, EVEN IF THE PARTY HAS BEEN WARNED OF THE POSSIBILITY OF ANY SUCH LOSS OR DAMAGE, AND EVEN IF ANY OF THE LIMITED REMEDIES IN THIS AGREEMENT FAIL OF THEIR ESSENTIAL PURPOSE.</w:t>
      </w:r>
    </w:p>
    <w:p>
      <w:pPr>
        <w:spacing w:after="0" w:line="212" w:lineRule="exact"/>
        <w:rPr>
          <w:sz w:val="20"/>
          <w:szCs w:val="20"/>
          <w:color w:val="auto"/>
        </w:rPr>
      </w:pPr>
    </w:p>
    <w:p>
      <w:pPr>
        <w:ind w:right="960" w:firstLine="648"/>
        <w:spacing w:after="0" w:line="282" w:lineRule="auto"/>
        <w:rPr>
          <w:sz w:val="20"/>
          <w:szCs w:val="20"/>
          <w:color w:val="auto"/>
        </w:rPr>
      </w:pPr>
      <w:r>
        <w:rPr>
          <w:rFonts w:ascii="Arial" w:cs="Arial" w:eastAsia="Arial" w:hAnsi="Arial"/>
          <w:sz w:val="18"/>
          <w:szCs w:val="18"/>
          <w:b w:val="1"/>
          <w:bCs w:val="1"/>
          <w:color w:val="auto"/>
        </w:rPr>
        <w:t>THE FOREGOING SECTION 9 STATES THE ENTIRE LIABILITY OF THE PARTIES TO EACH OTHER CONCERNING INFRINGEMENT OF PATENT, COPYRIGHT, TRADE SECRET OR OTHER INTELLECTUAL PROPERTY RIGHTS.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auto"/>
        </w:rPr>
        <w:t>FLEXTRONICS CONFIDENTIAL</w:t>
      </w:r>
    </w:p>
    <w:p>
      <w:pPr>
        <w:spacing w:after="0" w:line="231" w:lineRule="exact"/>
        <w:rPr>
          <w:sz w:val="20"/>
          <w:szCs w:val="20"/>
          <w:color w:val="auto"/>
        </w:rPr>
      </w:pPr>
    </w:p>
    <w:p>
      <w:pPr>
        <w:ind w:left="480" w:hanging="310"/>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Each party shall refrain from using any and all Confidential Information of the disclosing party for any purposes or activities other than those specifically authorized in this Agreement. Except as otherwise specifically permitted herein or pursuant to written permission of the party to this Agreement owning the Confidential Information, no party shall disclose or facilitate disclosure of Confidential Information of the disclosing party to anyone without the prior written consent of the disclosing party, except to its employees, consultants, parent company, and subsidiaries of its parent company who need to know such information for carrying out the activities contemplated by this Agreement and who have agreed in writing to confidentiality terms that are no less restrictive than the requirements of this Section. Notwithstanding the foregoing, the receiving party may disclose Confidential Information of the disclosing party pursuant to a subpoena or other court process only (i) after having given the disclosing party prompt notice of the receiving party's receipt of such subpoena or other process and (ii) after the receiving party has given the disclosing party a reasonable opportunity to oppose such subpoena or other process or to obtain a protective order. Confidential Information of the disclosing party in the custody or control of the receiving party shall be promptly returned or destroyed upon the earlier of (i) the disclosing party's written request or (ii) termination of this Agreement. Confidential Information disclosed pursuant to this Agreement shall be maintained confidential for a period of three (3) years after the disclosure thereof. The existence and terms of this Agreement shall be confidential in perpetuity.</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u w:val="single" w:color="auto"/>
          <w:color w:val="auto"/>
        </w:rPr>
        <w:t>Use of a Party's Name is Prohibited</w:t>
      </w:r>
      <w:r>
        <w:rPr>
          <w:rFonts w:ascii="Arial" w:cs="Arial" w:eastAsia="Arial" w:hAnsi="Arial"/>
          <w:sz w:val="16"/>
          <w:szCs w:val="16"/>
          <w:color w:val="auto"/>
        </w:rPr>
        <w:t>. The existence and terms of this Agreement are Confidential Information and protected pursuant to Section</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10.1 above. Accordingly, neither party may use the other party's name or identity or any other Confidential Information in any advertising, promotion or other public announcement without the prior express written consent of such party.</w:t>
      </w:r>
    </w:p>
    <w:p>
      <w:pPr>
        <w:spacing w:after="0" w:line="207" w:lineRule="exact"/>
        <w:rPr>
          <w:sz w:val="20"/>
          <w:szCs w:val="20"/>
          <w:color w:val="auto"/>
        </w:rPr>
      </w:pPr>
    </w:p>
    <w:p>
      <w:pPr>
        <w:ind w:firstLine="765"/>
        <w:spacing w:after="0" w:line="29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u w:val="single" w:color="auto"/>
          <w:color w:val="auto"/>
        </w:rPr>
        <w:t>Entire Agreement; Severability</w:t>
      </w:r>
      <w:r>
        <w:rPr>
          <w:rFonts w:ascii="Arial" w:cs="Arial" w:eastAsia="Arial" w:hAnsi="Arial"/>
          <w:sz w:val="16"/>
          <w:szCs w:val="16"/>
          <w:color w:val="auto"/>
        </w:rPr>
        <w:t>. This Agreement constitutes the entire agreement between the Parties with respect to the transactions contemplated hereby and supersedes all prior agreements and understandings between the parties relating to such transactions. If the scope of any of the provisions of this Agreement is too broad in any respect whatsoever to permit enforcement to its full extent, then such provisions shall be enforced to the maximum extent permitted by law, and the parties hereto consent and agree that such scope may be judicially modified accordingly and that the whole of such provisions of this Agreement shall not thereby fail, but that the scope of such provisions shall be curtailed only to the extent necessary to conform to law.</w:t>
      </w:r>
    </w:p>
    <w:p>
      <w:pPr>
        <w:spacing w:after="0" w:line="18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Amendments; Waiver</w:t>
      </w:r>
      <w:r>
        <w:rPr>
          <w:rFonts w:ascii="Arial" w:cs="Arial" w:eastAsia="Arial" w:hAnsi="Arial"/>
          <w:sz w:val="18"/>
          <w:szCs w:val="18"/>
          <w:u w:val="single" w:color="auto"/>
          <w:color w:val="auto"/>
        </w:rPr>
        <w:t>.</w:t>
      </w:r>
      <w:r>
        <w:rPr>
          <w:rFonts w:ascii="Arial" w:cs="Arial" w:eastAsia="Arial" w:hAnsi="Arial"/>
          <w:sz w:val="18"/>
          <w:szCs w:val="18"/>
          <w:color w:val="auto"/>
        </w:rPr>
        <w:t xml:space="preserve"> This Agreement may be amended only by written consent of both parties. The failure by either party to enforce any provision of this Agreement will not constitute a waiver of future enforcement of that or any other provision. Neither party will be deemed to have waived any rights or remedies hereunder unless such waiver is in writing and signed by a duly authorized representative of the party against which such waiver is asserted.</w:t>
      </w:r>
    </w:p>
    <w:p>
      <w:pPr>
        <w:spacing w:after="0" w:line="207" w:lineRule="exact"/>
        <w:rPr>
          <w:sz w:val="20"/>
          <w:szCs w:val="20"/>
          <w:color w:val="auto"/>
        </w:rPr>
      </w:pPr>
    </w:p>
    <w:p>
      <w:pPr>
        <w:ind w:right="200" w:firstLine="765"/>
        <w:spacing w:after="0" w:line="314"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u w:val="single" w:color="auto"/>
          <w:color w:val="auto"/>
        </w:rPr>
        <w:t>Independent Contractor</w:t>
      </w:r>
      <w:r>
        <w:rPr>
          <w:rFonts w:ascii="Arial" w:cs="Arial" w:eastAsia="Arial" w:hAnsi="Arial"/>
          <w:sz w:val="16"/>
          <w:szCs w:val="16"/>
          <w:color w:val="auto"/>
        </w:rPr>
        <w:t>. Neither party shall, for any purpose, be deemed to be an agent of the other party and the relationship between the parties shall only be that of independent contractors. Neither party shall have any right or authority to assume or create any obligations or to make any representations or warranties on behalf of any other party, whether express or implied, or to bind the other party in any respect whatsoever.</w:t>
      </w:r>
    </w:p>
    <w:p>
      <w:pPr>
        <w:spacing w:after="0" w:line="16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Each party shall pay their own expenses in connection with the negotiation of this Agreement. All fees and expenses incurred in connection with the resolution of Disputes shall be allocated as further provided in Section 10.11 below.</w:t>
      </w:r>
    </w:p>
    <w:p>
      <w:pPr>
        <w:spacing w:after="0" w:line="189" w:lineRule="exact"/>
        <w:rPr>
          <w:sz w:val="20"/>
          <w:szCs w:val="20"/>
          <w:color w:val="auto"/>
        </w:rPr>
      </w:pPr>
    </w:p>
    <w:p>
      <w:pPr>
        <w:ind w:right="260" w:firstLine="765"/>
        <w:spacing w:after="0" w:line="314"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.-Flextronics and Customer agree to maintain appropriate insurance to cover their respective risks under this Agreement with coverage amounts commensurate with levels in their respective markets. Customer specifically agrees to maintain insurance coverage for any finished Products or Materials the title and risk of loss of which passes to Customer pursuant to this Agreement and which is stored on the premises of Flextronics.</w:t>
      </w:r>
    </w:p>
    <w:p>
      <w:pPr>
        <w:spacing w:after="0" w:line="169" w:lineRule="exact"/>
        <w:rPr>
          <w:sz w:val="20"/>
          <w:szCs w:val="20"/>
          <w:color w:val="auto"/>
        </w:rPr>
      </w:pPr>
    </w:p>
    <w:p>
      <w:pPr>
        <w:ind w:right="100" w:firstLine="765"/>
        <w:spacing w:after="0" w:line="273"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In the event that either party is prevented from performing or is unable to perform any of its obligations under this Agreement (other than a payment obligation) due to any act of God, acts or decrees of governmental or military bodies, fire, casualty, flood, earthquake, war, strike, lockout, epidemic, destruction of production facilities, riot, insurrection, Materials unavailability, or any other cause beyond the reasonable control of the party invoking this section (collectively, a "</w:t>
      </w:r>
      <w:r>
        <w:rPr>
          <w:rFonts w:ascii="Arial" w:cs="Arial" w:eastAsia="Arial" w:hAnsi="Arial"/>
          <w:sz w:val="17"/>
          <w:szCs w:val="17"/>
          <w:b w:val="1"/>
          <w:bCs w:val="1"/>
          <w:color w:val="auto"/>
        </w:rPr>
        <w:t>Force Majeure</w:t>
      </w:r>
      <w:r>
        <w:rPr>
          <w:rFonts w:ascii="Arial" w:cs="Arial" w:eastAsia="Arial" w:hAnsi="Arial"/>
          <w:sz w:val="17"/>
          <w:szCs w:val="17"/>
          <w:color w:val="auto"/>
        </w:rPr>
        <w:t>"), and if such party shall have used its commercially reasonable efforts to mitigate its effects, such party shall give prompt written notice to the other party, its performance shall be excused, and the time for the performance shall be extended for the period of delay or inability to perform due to such occurrences. Regardless of the excuse of Force Majeure, if such party is not able to perform within ninety (90) days after such event, the other party may terminate the Agreement.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4" w:lineRule="exact"/>
        <w:rPr>
          <w:sz w:val="20"/>
          <w:szCs w:val="20"/>
          <w:color w:val="auto"/>
        </w:rPr>
      </w:pPr>
    </w:p>
    <w:p>
      <w:pPr>
        <w:ind w:firstLine="855"/>
        <w:spacing w:after="0" w:line="261"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b w:val="1"/>
          <w:bCs w:val="1"/>
          <w:u w:val="single" w:color="auto"/>
          <w:color w:val="auto"/>
        </w:rPr>
        <w:t>Successors, Assignment</w:t>
      </w:r>
      <w:r>
        <w:rPr>
          <w:rFonts w:ascii="Arial" w:cs="Arial" w:eastAsia="Arial" w:hAnsi="Arial"/>
          <w:sz w:val="18"/>
          <w:szCs w:val="18"/>
          <w:color w:val="auto"/>
        </w:rPr>
        <w:t>. This Agreement shall be binding upon and inure to the benefit of the parties hereto and their respective successors, assigns and legal representatives. Neither party shall have the right to assign or otherwise transfer its rights or obligations under this Agreement except with the prior written consent of the other party, not to be unreasonably withheld. Notwithstanding the foregoing, Flextronics may assign some or all of its rights and obligations under this Agreement to an affiliated Flextronics entity.</w:t>
      </w:r>
    </w:p>
    <w:p>
      <w:pPr>
        <w:spacing w:after="0" w:line="207" w:lineRule="exact"/>
        <w:rPr>
          <w:sz w:val="20"/>
          <w:szCs w:val="20"/>
          <w:color w:val="auto"/>
        </w:rPr>
      </w:pPr>
    </w:p>
    <w:p>
      <w:pPr>
        <w:ind w:left="180" w:right="160" w:firstLine="648"/>
        <w:spacing w:after="0" w:line="281"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required or permitted under this Agreement will be in writing and will be deemed received (a) when delivered personally; (b) when sent by confirmed facsimile; (c) five (5) days after having been sent by registered or certified mail, return receipt requested, postage prepaid; or (d) one (1) day after deposit with a commercial overnight carrier. All communications will be sent to the addresses set forth above or to such other address as may be designated by a party by giving written notice to the other party pursuant to this section.</w:t>
      </w:r>
    </w:p>
    <w:p>
      <w:pPr>
        <w:spacing w:after="0" w:line="192" w:lineRule="exact"/>
        <w:rPr>
          <w:sz w:val="20"/>
          <w:szCs w:val="20"/>
          <w:color w:val="auto"/>
        </w:rPr>
      </w:pPr>
    </w:p>
    <w:p>
      <w:pPr>
        <w:ind w:left="820"/>
        <w:spacing w:after="0"/>
        <w:tabs>
          <w:tab w:leader="none" w:pos="22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b w:val="1"/>
          <w:bCs w:val="1"/>
          <w:u w:val="single" w:color="auto"/>
          <w:color w:val="auto"/>
        </w:rPr>
        <w:t>Disputes Resolution; Waiver of Jury Trial</w:t>
      </w:r>
      <w:r>
        <w:rPr>
          <w:rFonts w:ascii="Arial" w:cs="Arial" w:eastAsia="Arial" w:hAnsi="Arial"/>
          <w:sz w:val="16"/>
          <w:szCs w:val="16"/>
          <w:color w:val="auto"/>
        </w:rPr>
        <w:t>.</w:t>
      </w:r>
    </w:p>
    <w:p>
      <w:pPr>
        <w:spacing w:after="0" w:line="256" w:lineRule="exact"/>
        <w:rPr>
          <w:sz w:val="20"/>
          <w:szCs w:val="20"/>
          <w:color w:val="auto"/>
        </w:rPr>
      </w:pPr>
    </w:p>
    <w:p>
      <w:pPr>
        <w:ind w:right="60" w:firstLine="656"/>
        <w:spacing w:after="0" w:line="259" w:lineRule="auto"/>
        <w:tabs>
          <w:tab w:leader="none" w:pos="938"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Except as otherwise provided in this Agreement, the following binding dispute resolution procedures shall be the exclusive means used by the parties to resolve all disputes, differences, controversies and claims arising out of or relating to the Agreement or any other aspect of the relationship between Flextronics and Customer or their respective affiliates and subsidiaries (collectively, "</w:t>
      </w:r>
      <w:r>
        <w:rPr>
          <w:rFonts w:ascii="Arial" w:cs="Arial" w:eastAsia="Arial" w:hAnsi="Arial"/>
          <w:sz w:val="18"/>
          <w:szCs w:val="18"/>
          <w:b w:val="1"/>
          <w:bCs w:val="1"/>
          <w:color w:val="auto"/>
        </w:rPr>
        <w:t>Disputes</w:t>
      </w:r>
      <w:r>
        <w:rPr>
          <w:rFonts w:ascii="Arial" w:cs="Arial" w:eastAsia="Arial" w:hAnsi="Arial"/>
          <w:sz w:val="18"/>
          <w:szCs w:val="18"/>
          <w:color w:val="auto"/>
        </w:rPr>
        <w:t>"). Either party may, by written notice to the other party, refer any Disputes for resolution in the manner set forth below.</w:t>
      </w:r>
    </w:p>
    <w:p>
      <w:pPr>
        <w:spacing w:after="0" w:line="209" w:lineRule="exact"/>
        <w:rPr>
          <w:rFonts w:ascii="Arial" w:cs="Arial" w:eastAsia="Arial" w:hAnsi="Arial"/>
          <w:sz w:val="18"/>
          <w:szCs w:val="18"/>
          <w:color w:val="auto"/>
        </w:rPr>
      </w:pPr>
    </w:p>
    <w:p>
      <w:pPr>
        <w:ind w:right="100" w:firstLine="656"/>
        <w:spacing w:after="0" w:line="282" w:lineRule="auto"/>
        <w:tabs>
          <w:tab w:leader="none" w:pos="93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and all Disputes shall be referred to arbitration under the rules and procedures of Judicial Arbiter Group, Inc. ("</w:t>
      </w:r>
      <w:r>
        <w:rPr>
          <w:rFonts w:ascii="Arial" w:cs="Arial" w:eastAsia="Arial" w:hAnsi="Arial"/>
          <w:sz w:val="18"/>
          <w:szCs w:val="18"/>
          <w:b w:val="1"/>
          <w:bCs w:val="1"/>
          <w:color w:val="auto"/>
        </w:rPr>
        <w:t>JAG</w:t>
      </w:r>
      <w:r>
        <w:rPr>
          <w:rFonts w:ascii="Arial" w:cs="Arial" w:eastAsia="Arial" w:hAnsi="Arial"/>
          <w:sz w:val="18"/>
          <w:szCs w:val="18"/>
          <w:color w:val="auto"/>
        </w:rPr>
        <w:t>"), who shall act as the arbitration administrator (the "</w:t>
      </w:r>
      <w:r>
        <w:rPr>
          <w:rFonts w:ascii="Arial" w:cs="Arial" w:eastAsia="Arial" w:hAnsi="Arial"/>
          <w:sz w:val="18"/>
          <w:szCs w:val="18"/>
          <w:b w:val="1"/>
          <w:bCs w:val="1"/>
          <w:color w:val="auto"/>
        </w:rPr>
        <w:t>Arbitration Administrator</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80" w:firstLine="656"/>
        <w:spacing w:after="0" w:line="314" w:lineRule="auto"/>
        <w:tabs>
          <w:tab w:leader="none" w:pos="935"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parties shall agree on a single arbitrator (the "</w:t>
      </w:r>
      <w:r>
        <w:rPr>
          <w:rFonts w:ascii="Arial" w:cs="Arial" w:eastAsia="Arial" w:hAnsi="Arial"/>
          <w:sz w:val="16"/>
          <w:szCs w:val="16"/>
          <w:b w:val="1"/>
          <w:bCs w:val="1"/>
          <w:color w:val="auto"/>
        </w:rPr>
        <w:t>Arbitrator</w:t>
      </w:r>
      <w:r>
        <w:rPr>
          <w:rFonts w:ascii="Arial" w:cs="Arial" w:eastAsia="Arial" w:hAnsi="Arial"/>
          <w:sz w:val="16"/>
          <w:szCs w:val="16"/>
          <w:color w:val="auto"/>
        </w:rPr>
        <w:t>"). The Arbitrator shall be a retired judge selected by the parties from a roster of arbitrators provided by the Arbitration Administrator. If the parties cannot agree on an Arbitrator within seven (7) days of delivery of the demand for arbitration ("</w:t>
      </w:r>
      <w:r>
        <w:rPr>
          <w:rFonts w:ascii="Arial" w:cs="Arial" w:eastAsia="Arial" w:hAnsi="Arial"/>
          <w:sz w:val="16"/>
          <w:szCs w:val="16"/>
          <w:b w:val="1"/>
          <w:bCs w:val="1"/>
          <w:color w:val="auto"/>
        </w:rPr>
        <w:t>Demand</w:t>
      </w:r>
      <w:r>
        <w:rPr>
          <w:rFonts w:ascii="Arial" w:cs="Arial" w:eastAsia="Arial" w:hAnsi="Arial"/>
          <w:sz w:val="16"/>
          <w:szCs w:val="16"/>
          <w:color w:val="auto"/>
        </w:rPr>
        <w:t>") (or such other time period as the parties may agree), the Arbitration Administrator will select an independent Arbitrator.</w:t>
      </w:r>
    </w:p>
    <w:p>
      <w:pPr>
        <w:spacing w:after="0" w:line="173" w:lineRule="exact"/>
        <w:rPr>
          <w:rFonts w:ascii="Arial" w:cs="Arial" w:eastAsia="Arial" w:hAnsi="Arial"/>
          <w:sz w:val="16"/>
          <w:szCs w:val="16"/>
          <w:color w:val="auto"/>
        </w:rPr>
      </w:pPr>
    </w:p>
    <w:p>
      <w:pPr>
        <w:ind w:right="200" w:firstLine="656"/>
        <w:spacing w:after="0" w:line="277" w:lineRule="auto"/>
        <w:tabs>
          <w:tab w:leader="none" w:pos="948" w:val="left"/>
        </w:tabs>
        <w:numPr>
          <w:ilvl w:val="1"/>
          <w:numId w:val="50"/>
        </w:numPr>
        <w:rPr>
          <w:rFonts w:ascii="Arial" w:cs="Arial" w:eastAsia="Arial" w:hAnsi="Arial"/>
          <w:sz w:val="18"/>
          <w:szCs w:val="18"/>
          <w:color w:val="auto"/>
        </w:rPr>
      </w:pPr>
      <w:r>
        <w:rPr>
          <w:rFonts w:ascii="Arial" w:cs="Arial" w:eastAsia="Arial" w:hAnsi="Arial"/>
          <w:sz w:val="18"/>
          <w:szCs w:val="18"/>
          <w:color w:val="auto"/>
        </w:rPr>
        <w:t>Unless otherwise mutually agreed to by the parties, the place of arbitration shall be Denver, Colorado, although the arbitrators may be selected from rosters outside Denver.</w:t>
      </w:r>
    </w:p>
    <w:p>
      <w:pPr>
        <w:spacing w:after="0" w:line="197" w:lineRule="exact"/>
        <w:rPr>
          <w:rFonts w:ascii="Arial" w:cs="Arial" w:eastAsia="Arial" w:hAnsi="Arial"/>
          <w:sz w:val="18"/>
          <w:szCs w:val="18"/>
          <w:color w:val="auto"/>
        </w:rPr>
      </w:pPr>
    </w:p>
    <w:p>
      <w:pPr>
        <w:ind w:right="120" w:firstLine="656"/>
        <w:spacing w:after="0" w:line="273" w:lineRule="auto"/>
        <w:tabs>
          <w:tab w:leader="none" w:pos="935"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Federal Arbitration Act shall govern the arbitrability of all Disputes. The Federal Rules of Civil Procedure and the Federal Rules of Evidence (the "</w:t>
      </w:r>
      <w:r>
        <w:rPr>
          <w:rFonts w:ascii="Arial" w:cs="Arial" w:eastAsia="Arial" w:hAnsi="Arial"/>
          <w:sz w:val="17"/>
          <w:szCs w:val="17"/>
          <w:b w:val="1"/>
          <w:bCs w:val="1"/>
          <w:color w:val="auto"/>
        </w:rPr>
        <w:t>Federal Rules</w:t>
      </w:r>
      <w:r>
        <w:rPr>
          <w:rFonts w:ascii="Arial" w:cs="Arial" w:eastAsia="Arial" w:hAnsi="Arial"/>
          <w:sz w:val="17"/>
          <w:szCs w:val="17"/>
          <w:color w:val="auto"/>
        </w:rPr>
        <w:t>"), to the extent not inconsistent with this Agreement, govern the conduct of the arbitration. To the extent that the Federal Arbitration Act and Federal Rules do not provide an applicable procedure, Colorado law shall govern the procedures for arbitration and enforcement of an award, and then only to the extent not inconsistent with the terms of this Section. Disputes between the parties shall be subject to arbitration notwithstanding that a party to this Agreement is also a party to a pending court action or special proceeding with a third party, arising out of the same transaction or series of related transactions and there is a possibility of conflicting rulings on a common issue of law or fact.</w:t>
      </w:r>
    </w:p>
    <w:p>
      <w:pPr>
        <w:spacing w:after="0" w:line="205" w:lineRule="exact"/>
        <w:rPr>
          <w:rFonts w:ascii="Arial" w:cs="Arial" w:eastAsia="Arial" w:hAnsi="Arial"/>
          <w:sz w:val="17"/>
          <w:szCs w:val="17"/>
          <w:color w:val="auto"/>
        </w:rPr>
      </w:pPr>
    </w:p>
    <w:p>
      <w:pPr>
        <w:ind w:left="920" w:hanging="264"/>
        <w:spacing w:after="0"/>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Unless otherwise mutually agreed to by the parties, each party shall allow and participate in discovery as follows:</w:t>
      </w:r>
    </w:p>
    <w:p>
      <w:pPr>
        <w:spacing w:after="0" w:line="252" w:lineRule="exact"/>
        <w:rPr>
          <w:rFonts w:ascii="Arial" w:cs="Arial" w:eastAsia="Arial" w:hAnsi="Arial"/>
          <w:sz w:val="18"/>
          <w:szCs w:val="18"/>
          <w:color w:val="auto"/>
        </w:rPr>
      </w:pPr>
    </w:p>
    <w:p>
      <w:pPr>
        <w:ind w:right="100" w:firstLine="8"/>
        <w:spacing w:after="0" w:line="312" w:lineRule="auto"/>
        <w:tabs>
          <w:tab w:leader="none" w:pos="66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Non-Expert Discovery.</w:t>
      </w:r>
      <w:r>
        <w:rPr>
          <w:rFonts w:ascii="Arial" w:cs="Arial" w:eastAsia="Arial" w:hAnsi="Arial"/>
          <w:sz w:val="16"/>
          <w:szCs w:val="16"/>
          <w:color w:val="auto"/>
        </w:rPr>
        <w:t xml:space="preserve"> Each party may (1) conduct three (3) non-expert depositions of no more than five (5) hours of testimony each, with any deponents employed by any party to appear for deposition in Denver, Colorado; (2) propound a single set of requests for production of documents containing no more than twenty (20) individual requests; (3) propound up to twenty written interrogatories; and (4) propound up to ten (10) requests for admission.</w:t>
      </w:r>
    </w:p>
    <w:p>
      <w:pPr>
        <w:spacing w:after="0" w:line="173" w:lineRule="exact"/>
        <w:rPr>
          <w:rFonts w:ascii="Arial" w:cs="Arial" w:eastAsia="Arial" w:hAnsi="Arial"/>
          <w:sz w:val="16"/>
          <w:szCs w:val="16"/>
          <w:color w:val="auto"/>
        </w:rPr>
      </w:pPr>
    </w:p>
    <w:p>
      <w:pPr>
        <w:ind w:right="380" w:firstLine="8"/>
        <w:spacing w:after="0" w:line="264" w:lineRule="auto"/>
        <w:tabs>
          <w:tab w:leader="none" w:pos="71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Expert Discovery</w:t>
      </w:r>
      <w:r>
        <w:rPr>
          <w:rFonts w:ascii="Arial" w:cs="Arial" w:eastAsia="Arial" w:hAnsi="Arial"/>
          <w:sz w:val="18"/>
          <w:szCs w:val="18"/>
          <w:color w:val="auto"/>
        </w:rPr>
        <w:t>. Each party may select a witness who is retained or specially employed to provide expert testimony and an additional expert witness to testify with respect to damages issues, if any. The parties shall exchange expert reports and documents under the same requirements as Federal Rules of Civil Procedure 26(a)(2) &amp;(4).</w:t>
      </w:r>
    </w:p>
    <w:p>
      <w:pPr>
        <w:spacing w:after="0" w:line="208" w:lineRule="exact"/>
        <w:rPr>
          <w:rFonts w:ascii="Arial" w:cs="Arial" w:eastAsia="Arial" w:hAnsi="Arial"/>
          <w:sz w:val="18"/>
          <w:szCs w:val="18"/>
          <w:color w:val="auto"/>
        </w:rPr>
      </w:pPr>
    </w:p>
    <w:p>
      <w:pPr>
        <w:ind w:right="20" w:firstLine="8"/>
        <w:spacing w:after="0" w:line="264" w:lineRule="auto"/>
        <w:tabs>
          <w:tab w:leader="none" w:pos="76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Additional Discovery</w:t>
      </w:r>
      <w:r>
        <w:rPr>
          <w:rFonts w:ascii="Arial" w:cs="Arial" w:eastAsia="Arial" w:hAnsi="Arial"/>
          <w:sz w:val="18"/>
          <w:szCs w:val="18"/>
          <w:color w:val="auto"/>
        </w:rPr>
        <w:t>. The Arbitrator may, on application by either party, authorize additional discovery only if deemed essential to avoid injustice. In the event that remote witnesses might otherwise be unable to attend the arbitration, arrangements shall be made to allow their live testimony by video conference during the arbitration hearing.</w:t>
      </w:r>
    </w:p>
    <w:p>
      <w:pPr>
        <w:spacing w:after="0" w:line="208" w:lineRule="exact"/>
        <w:rPr>
          <w:rFonts w:ascii="Arial" w:cs="Arial" w:eastAsia="Arial" w:hAnsi="Arial"/>
          <w:sz w:val="18"/>
          <w:szCs w:val="18"/>
          <w:color w:val="auto"/>
        </w:rPr>
      </w:pPr>
    </w:p>
    <w:p>
      <w:pPr>
        <w:jc w:val="both"/>
        <w:ind w:right="20" w:firstLine="656"/>
        <w:spacing w:after="0" w:line="302" w:lineRule="auto"/>
        <w:tabs>
          <w:tab w:leader="none" w:pos="945"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Arbitrator shall render an award within six (6) months after the date of appointment, unless the parties agree to extend such time. The award shall be accompanied by a written opinion setting forth the findings of fact and conclusions of law. The Arbitrator shall have authority to award compensatory damages only, and shall not award any punitive, exemplary, or multiple damages. The award (subject to clarification or correction by the arbitrator as allowed by statute and/or the Federal Rules) shall be final and binding upon the parties, subject solely to the review procedures provided in this Section.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8" w:lineRule="exact"/>
        <w:rPr>
          <w:sz w:val="20"/>
          <w:szCs w:val="20"/>
          <w:color w:val="auto"/>
        </w:rPr>
      </w:pPr>
    </w:p>
    <w:p>
      <w:pPr>
        <w:ind w:left="960" w:hanging="30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Either party may seek arbitral review of the award. Arbitral review may be had as to any element of the award.</w:t>
      </w:r>
    </w:p>
    <w:p>
      <w:pPr>
        <w:spacing w:after="0" w:line="252" w:lineRule="exact"/>
        <w:rPr>
          <w:rFonts w:ascii="Arial" w:cs="Arial" w:eastAsia="Arial" w:hAnsi="Arial"/>
          <w:sz w:val="18"/>
          <w:szCs w:val="18"/>
          <w:color w:val="auto"/>
        </w:rPr>
      </w:pPr>
    </w:p>
    <w:p>
      <w:pPr>
        <w:ind w:firstLine="656"/>
        <w:spacing w:after="0" w:line="259" w:lineRule="auto"/>
        <w:tabs>
          <w:tab w:leader="none" w:pos="9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This Agreement's arbitration provisions are to be performed in Denver, Colorado. Any judicial proceeding arising out of or relating to this Agreement or the relationship of the parties, including without limitation any proceeding to enforce this Section, to review or confirm the award in arbitration, or for preliminary injunctive relief, shall be brought exclusively in a court of competent jurisdiction in the county of Denver, Colorado (the </w:t>
      </w:r>
      <w:r>
        <w:rPr>
          <w:rFonts w:ascii="Arial" w:cs="Arial" w:eastAsia="Arial" w:hAnsi="Arial"/>
          <w:sz w:val="18"/>
          <w:szCs w:val="18"/>
          <w:b w:val="1"/>
          <w:bCs w:val="1"/>
          <w:color w:val="auto"/>
        </w:rPr>
        <w:t>"Enforcing</w:t>
      </w:r>
      <w:r>
        <w:rPr>
          <w:rFonts w:ascii="Arial" w:cs="Arial" w:eastAsia="Arial" w:hAnsi="Arial"/>
          <w:sz w:val="18"/>
          <w:szCs w:val="18"/>
          <w:color w:val="auto"/>
        </w:rPr>
        <w:t xml:space="preserve"> </w:t>
      </w:r>
      <w:r>
        <w:rPr>
          <w:rFonts w:ascii="Arial" w:cs="Arial" w:eastAsia="Arial" w:hAnsi="Arial"/>
          <w:sz w:val="18"/>
          <w:szCs w:val="18"/>
          <w:b w:val="1"/>
          <w:bCs w:val="1"/>
          <w:color w:val="auto"/>
        </w:rPr>
        <w:t>Court</w:t>
      </w:r>
      <w:r>
        <w:rPr>
          <w:rFonts w:ascii="Arial" w:cs="Arial" w:eastAsia="Arial" w:hAnsi="Arial"/>
          <w:sz w:val="18"/>
          <w:szCs w:val="18"/>
          <w:color w:val="auto"/>
        </w:rPr>
        <w:t>"). By execution and delivery of this Agreement, each party accepts the jurisdiction of the Enforcing Court.</w:t>
      </w:r>
    </w:p>
    <w:p>
      <w:pPr>
        <w:spacing w:after="0" w:line="213" w:lineRule="exact"/>
        <w:rPr>
          <w:rFonts w:ascii="Arial" w:cs="Arial" w:eastAsia="Arial" w:hAnsi="Arial"/>
          <w:sz w:val="18"/>
          <w:szCs w:val="18"/>
          <w:color w:val="auto"/>
        </w:rPr>
      </w:pPr>
    </w:p>
    <w:p>
      <w:pPr>
        <w:ind w:left="920" w:hanging="264"/>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Each party shall pay their own expenses in connection with the resolution of Disputes pursuant to this Section, including attorneys' fees.</w:t>
      </w:r>
    </w:p>
    <w:p>
      <w:pPr>
        <w:spacing w:after="0" w:line="263" w:lineRule="exact"/>
        <w:rPr>
          <w:rFonts w:ascii="Arial" w:cs="Arial" w:eastAsia="Arial" w:hAnsi="Arial"/>
          <w:sz w:val="17"/>
          <w:szCs w:val="17"/>
          <w:color w:val="auto"/>
        </w:rPr>
      </w:pPr>
    </w:p>
    <w:p>
      <w:pPr>
        <w:ind w:right="60" w:firstLine="656"/>
        <w:spacing w:after="0" w:line="271" w:lineRule="auto"/>
        <w:tabs>
          <w:tab w:leader="none" w:pos="948"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Notwithstanding anything contained in this Section to the contrary, in the event of any Dispute, prior to referring such Dispute to arbitration pursuant to Subsection (b) of this Section, Customer and Flextronics shall attempt in good faith to resolve any and all controversies or claims relating to such Disputes promptly by negotiation commencing within ten (10) calendar days of the written notice of such Disputes by either party, including referring such matter to Customer's then-current President and Flextronics's then current executive in charge of manufacturing operations in the region in which the primary activities of this Agreement are performed by Flextronics. The representatives of the parties shall meet at a mutually acceptable time and place and thereafter as often as they reasonably deem necessary to exchange relevant information and to attempt to resolve the Dispute for a period of four (4) weeks. In the event that the parties are unable to resolve such Dispute pursuant to this Subsection (k), the provisions of Subsections (a) through U) of this Section, inclusive, as well as Subsections (I), (m) and (n) of this Section shall apply.</w:t>
      </w:r>
    </w:p>
    <w:p>
      <w:pPr>
        <w:spacing w:after="0" w:line="206" w:lineRule="exact"/>
        <w:rPr>
          <w:sz w:val="20"/>
          <w:szCs w:val="20"/>
          <w:color w:val="auto"/>
        </w:rPr>
      </w:pPr>
    </w:p>
    <w:p>
      <w:pPr>
        <w:jc w:val="both"/>
        <w:ind w:right="200" w:firstLine="656"/>
        <w:spacing w:after="0" w:line="264" w:lineRule="auto"/>
        <w:tabs>
          <w:tab w:leader="none" w:pos="9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parties agree that the existence, conduct and content of any arbitration pursuant to this Section shall be kept confidential and no party shall disclose to any person any information about such arbitration, except as may be required by law or by any governmental authority or for financial reporting purposes in each party's financial statements.</w:t>
      </w:r>
    </w:p>
    <w:p>
      <w:pPr>
        <w:spacing w:after="0" w:line="208" w:lineRule="exact"/>
        <w:rPr>
          <w:sz w:val="20"/>
          <w:szCs w:val="20"/>
          <w:color w:val="auto"/>
        </w:rPr>
      </w:pPr>
    </w:p>
    <w:p>
      <w:pPr>
        <w:ind w:right="40" w:firstLine="656"/>
        <w:spacing w:after="0" w:line="279" w:lineRule="auto"/>
        <w:tabs>
          <w:tab w:leader="none" w:pos="998"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THE EVENT OF ANY DISPUTE BETWEEN THE PARTIES, WHETHER IT RESULTS IN PROCEEDINGS IN ANY COURT IN ANY JURISDICTION OR IN ARBITRATION, THE PARTIES HEREBY KNOWINGLY AND VOLUNTARILY, AND HAVING HAD AN OPPORTUNITY TO CONSULT WITH COUNSEL, WAIVE ALL RIGHTS TO TRIAL BY JURY, AND AGREE THAT ANY AND ALL MATTERS SHALL BE DECIDED BY A JUDGE OR ARBITRATOR WITHOUT A JURY TO THE FULLEST EXTENT PERMISSIBLE UNDER APPLICABLE LAW.</w:t>
      </w:r>
    </w:p>
    <w:p>
      <w:pPr>
        <w:spacing w:after="0" w:line="198" w:lineRule="exact"/>
        <w:rPr>
          <w:rFonts w:ascii="Arial" w:cs="Arial" w:eastAsia="Arial" w:hAnsi="Arial"/>
          <w:sz w:val="17"/>
          <w:szCs w:val="17"/>
          <w:color w:val="auto"/>
        </w:rPr>
      </w:pPr>
    </w:p>
    <w:p>
      <w:pPr>
        <w:ind w:right="280" w:firstLine="656"/>
        <w:spacing w:after="0" w:line="277" w:lineRule="auto"/>
        <w:tabs>
          <w:tab w:leader="none" w:pos="9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of any lawsuit between the parties arising out of or related to this Agreement, the parties agree to prepare and to timely file in the applicable court a mutual consent to waive any statutory or other requirements for a trial by jury.</w:t>
      </w:r>
    </w:p>
    <w:p>
      <w:pPr>
        <w:spacing w:after="0" w:line="193"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b w:val="1"/>
          <w:bCs w:val="1"/>
          <w:u w:val="single" w:color="auto"/>
          <w:color w:val="auto"/>
        </w:rPr>
        <w:t>Even-Handed Construction.</w:t>
      </w:r>
      <w:r>
        <w:rPr>
          <w:rFonts w:ascii="Arial" w:cs="Arial" w:eastAsia="Arial" w:hAnsi="Arial"/>
          <w:sz w:val="18"/>
          <w:szCs w:val="18"/>
          <w:color w:val="auto"/>
        </w:rPr>
        <w:t xml:space="preserve"> The terms and conditions as set forth in this Agreement have been arrived at after mutual negotiation, and it is the intention of the parties that its terms and conditions not be construed against any party merely because it was prepared by one of the parties.</w:t>
      </w:r>
    </w:p>
    <w:p>
      <w:pPr>
        <w:spacing w:after="0" w:line="203"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b w:val="1"/>
          <w:bCs w:val="1"/>
          <w:u w:val="single" w:color="auto"/>
          <w:color w:val="auto"/>
        </w:rPr>
        <w:t>Controlling Language</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is in English only, which language shall be controlling in all respects. All documents exchanged under this Agreement shall be in English.</w:t>
      </w:r>
    </w:p>
    <w:p>
      <w:pPr>
        <w:spacing w:after="0" w:line="18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b w:val="1"/>
          <w:bCs w:val="1"/>
          <w:u w:val="single" w:color="auto"/>
          <w:color w:val="auto"/>
        </w:rPr>
        <w:t>Controlling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shall be governed and construed in all respects in accordance with the domestic laws and regulations of the State of Colorado, without regard to its conflicts of laws provisions; except to the extent there may be any conflict between the law of the State of Colorado and the Incoterms of the International Chamber of Commerce, 2000 edition, in which case the Incoterms shall be controlling. The parties specifically agree that the '1980 United Nations Convention on Contracts for the International Sale of Goods, as may be amended from time to time, shall not apply to this Agreement. The parties acknowledge and confirm that they have selected the laws of the State of Colorado as the governing law for this Agreement in part because jury trial waivers are enforceable under Colorado law. The parties further acknowledge and confirm that the selection of the governing law is a material term of this Agreement.</w:t>
      </w:r>
    </w:p>
    <w:p>
      <w:pPr>
        <w:spacing w:after="0" w:line="22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10.15. Use of Subcontractors. Flextronics shall notify Customer when it uses any subcontractors to perform any Work under this Agreement. Customer reserves the right to approve Flextronics's use of any subcontractors prior to commencement of any Work. With respect to Customer, Flextronics shall at all times be the party responsible for the performance of the Work.</w:t>
      </w:r>
    </w:p>
    <w:p>
      <w:pPr>
        <w:spacing w:after="0" w:line="20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10.16. Flextronics shall maintain a Quality Management System (OMS) certified to ISO 9001 Standard. Flextronics's OMS is subject to audit and approval or disapproval at any time by Customer regardless of ISO certification status. Flextronics's OMS must ensure that all Products have been inspected and meet Customer's acceptance criteria prior to shipment. The OMS records shall provide evidence that the material being furnished meet the requirements, drawings and specifications referenced. The report and/or record of certification entity will be on file at the Flextronics facility for a period of three years.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4"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b w:val="1"/>
          <w:bCs w:val="1"/>
          <w:u w:val="single" w:color="auto"/>
          <w:color w:val="auto"/>
        </w:rPr>
        <w:t>Nonsolicitation</w:t>
      </w:r>
      <w:r>
        <w:rPr>
          <w:rFonts w:ascii="Arial" w:cs="Arial" w:eastAsia="Arial" w:hAnsi="Arial"/>
          <w:sz w:val="18"/>
          <w:szCs w:val="18"/>
          <w:color w:val="auto"/>
        </w:rPr>
        <w:t>. Each of the parties hereto agree that, during the term of this Agreement, neither party will, except with the other party's prior written consent, directly solicit the other party's employees who were engaged in the activities related to this Agreement. This section shall not be construed as a general prohibition against either party from offering positions of employment to the public. If an employee of a party becomes an employee of the other party in contravention of this section 10.17, then the other party shall promptly pay to the other party a sum equaling seventy-five percent (75%) of such employee's annual base salary to be paid by said other party.</w:t>
      </w:r>
    </w:p>
    <w:p>
      <w:pPr>
        <w:spacing w:after="0" w:line="21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This Agreement may be executed in counterparts.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caused this Agreement to be duly executed by their duly authorized representatives as of the Effective Date.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CLEARONE COMMUNICATIONS:</w:t>
            </w:r>
          </w:p>
        </w:tc>
        <w:tc>
          <w:tcPr>
            <w:tcW w:w="7200" w:type="dxa"/>
            <w:vAlign w:val="bottom"/>
          </w:tcPr>
          <w:p>
            <w:pPr>
              <w:ind w:left="1480"/>
              <w:spacing w:after="0"/>
              <w:rPr>
                <w:sz w:val="20"/>
                <w:szCs w:val="20"/>
                <w:color w:val="auto"/>
              </w:rPr>
            </w:pPr>
            <w:r>
              <w:rPr>
                <w:rFonts w:ascii="Arial" w:cs="Arial" w:eastAsia="Arial" w:hAnsi="Arial"/>
                <w:sz w:val="18"/>
                <w:szCs w:val="18"/>
                <w:b w:val="1"/>
                <w:bCs w:val="1"/>
                <w:color w:val="auto"/>
              </w:rPr>
              <w:t>FLEXTRONICS INDUSTRIAL, LTD.:</w:t>
            </w:r>
          </w:p>
        </w:tc>
      </w:tr>
      <w:tr>
        <w:trPr>
          <w:trHeight w:val="87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Zeynep Hakimoglu</w:t>
            </w:r>
          </w:p>
        </w:tc>
        <w:tc>
          <w:tcPr>
            <w:tcW w:w="72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By: /s/ Manny Marimuthu</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rPr>
              <w:t>Printed Name: Zeynep Hakimoglu</w:t>
            </w:r>
          </w:p>
        </w:tc>
        <w:tc>
          <w:tcPr>
            <w:tcW w:w="7200" w:type="dxa"/>
            <w:vAlign w:val="bottom"/>
          </w:tcPr>
          <w:p>
            <w:pPr>
              <w:ind w:left="1480"/>
              <w:spacing w:after="0" w:line="201" w:lineRule="exact"/>
              <w:rPr>
                <w:sz w:val="20"/>
                <w:szCs w:val="20"/>
                <w:color w:val="auto"/>
              </w:rPr>
            </w:pPr>
            <w:r>
              <w:rPr>
                <w:rFonts w:ascii="Arial" w:cs="Arial" w:eastAsia="Arial" w:hAnsi="Arial"/>
                <w:sz w:val="18"/>
                <w:szCs w:val="18"/>
                <w:color w:val="auto"/>
              </w:rPr>
              <w:t>Printed Name: Manny Marimuthu</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Title: President &amp; CEO</w:t>
            </w:r>
          </w:p>
        </w:tc>
        <w:tc>
          <w:tcPr>
            <w:tcW w:w="7200" w:type="dxa"/>
            <w:vAlign w:val="bottom"/>
          </w:tcPr>
          <w:p>
            <w:pPr>
              <w:ind w:left="1480"/>
              <w:spacing w:after="0"/>
              <w:rPr>
                <w:sz w:val="20"/>
                <w:szCs w:val="20"/>
                <w:color w:val="auto"/>
              </w:rPr>
            </w:pPr>
            <w:r>
              <w:rPr>
                <w:rFonts w:ascii="Arial" w:cs="Arial" w:eastAsia="Arial" w:hAnsi="Arial"/>
                <w:sz w:val="18"/>
                <w:szCs w:val="18"/>
                <w:color w:val="auto"/>
              </w:rPr>
              <w:t>Title: Director</w:t>
            </w:r>
          </w:p>
        </w:tc>
      </w:tr>
      <w:tr>
        <w:trPr>
          <w:trHeight w:val="1094"/>
        </w:trPr>
        <w:tc>
          <w:tcPr>
            <w:tcW w:w="4220" w:type="dxa"/>
            <w:vAlign w:val="bottom"/>
          </w:tcPr>
          <w:p>
            <w:pPr>
              <w:spacing w:after="0"/>
              <w:rPr>
                <w:sz w:val="24"/>
                <w:szCs w:val="24"/>
                <w:color w:val="auto"/>
              </w:rPr>
            </w:pPr>
          </w:p>
        </w:tc>
        <w:tc>
          <w:tcPr>
            <w:tcW w:w="7200" w:type="dxa"/>
            <w:vAlign w:val="bottom"/>
          </w:tcPr>
          <w:p>
            <w:pPr>
              <w:ind w:left="1340"/>
              <w:spacing w:after="0"/>
              <w:rPr>
                <w:sz w:val="20"/>
                <w:szCs w:val="20"/>
                <w:color w:val="auto"/>
              </w:rPr>
            </w:pPr>
            <w:r>
              <w:rPr>
                <w:rFonts w:ascii="Arial" w:cs="Arial" w:eastAsia="Arial" w:hAnsi="Arial"/>
                <w:sz w:val="18"/>
                <w:szCs w:val="18"/>
                <w:color w:val="auto"/>
              </w:rPr>
              <w:t>-11-</w:t>
            </w:r>
          </w:p>
        </w:tc>
      </w:tr>
      <w:tr>
        <w:trPr>
          <w:trHeight w:val="118"/>
        </w:trPr>
        <w:tc>
          <w:tcPr>
            <w:tcW w:w="4220" w:type="dxa"/>
            <w:vAlign w:val="bottom"/>
            <w:tcBorders>
              <w:bottom w:val="single" w:sz="8" w:color="808080"/>
            </w:tcBorders>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Inventory Costs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Vendor List</w:t>
      </w:r>
      <w:r>
        <w:rPr>
          <w:rFonts w:ascii="Arial" w:cs="Arial" w:eastAsia="Arial" w:hAnsi="Arial"/>
          <w:sz w:val="18"/>
          <w:szCs w:val="18"/>
          <w:color w:val="auto"/>
        </w:rPr>
        <w:t>" or "</w:t>
      </w:r>
      <w:r>
        <w:rPr>
          <w:rFonts w:ascii="Arial" w:cs="Arial" w:eastAsia="Arial" w:hAnsi="Arial"/>
          <w:sz w:val="18"/>
          <w:szCs w:val="18"/>
          <w:b w:val="1"/>
          <w:bCs w:val="1"/>
          <w:color w:val="auto"/>
        </w:rPr>
        <w:t>AVL</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Controlled Materials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 Controlled Materials Terms</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Indemnitees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Damages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Economic Order Inventory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Regulations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840"/>
        <w:spacing w:after="0"/>
        <w:rPr>
          <w:sz w:val="20"/>
          <w:szCs w:val="20"/>
          <w:color w:val="auto"/>
        </w:rPr>
      </w:pPr>
      <w:r>
        <w:rPr>
          <w:rFonts w:ascii="Arial" w:cs="Arial" w:eastAsia="Arial" w:hAnsi="Arial"/>
          <w:sz w:val="18"/>
          <w:szCs w:val="18"/>
          <w:b w:val="1"/>
          <w:bCs w:val="1"/>
          <w:color w:val="auto"/>
        </w:rPr>
        <w:t>Exhibit 1</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Definitions</w:t>
      </w:r>
    </w:p>
    <w:p>
      <w:pPr>
        <w:spacing w:after="0" w:line="200" w:lineRule="exact"/>
        <w:rPr>
          <w:sz w:val="20"/>
          <w:szCs w:val="20"/>
          <w:color w:val="auto"/>
        </w:rPr>
      </w:pPr>
    </w:p>
    <w:p>
      <w:pPr>
        <w:spacing w:after="0" w:line="2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shall mean: (i) 110% of the Cost of all affected Inventory and Special Inventory in Flextronics's possession and not returnable to the vendor or reasonably usable for other customers, whether in raw form or work in process, less the salvage value thereof, (ii) 105% of the Cost of all affected Inventory and Special Inventory on order and not cancelable, (iii) any vendor cancellation charges incurred with respect to the affected Inventory and Special Inventory accepted for cancellation or return by the vendor, (iv) the then current fees for any affected Product, and (v) expenses incurred by Flextronics related to labor and equipment specifically put in place to support the purchase orders and forecasts that are affected by such reschedule or cancellation (as applicable).</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shall mean the list of suppliers currently approved to provide the Materials specified in the bill of materials for a Product.</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shall mean (a) the existence and terms of this Agreement and all information concerning the unit number and fees for Products and Inventory/Special Inventory and (b) any other information that is marked "Confidential" or the like or, if delivered verbally, confirmed in writing to be "Confidential" within 30 days of the initial disclosure. Confidential Information does not include information that (i) the receiving party can prove it already knew at the time of receipt from the disclosing party; or (ii) has come into the public domain without breach of confidence by the receiving party; (iii) was received from a third party without restrictions on its use; (iv) the receiving party can prove it independently developed without use of or reference to the disclosing party's data or information; or (v) the disclosing party agrees in writing is free of such restrictions.</w:t>
      </w:r>
    </w:p>
    <w:p>
      <w:pPr>
        <w:spacing w:after="0" w:line="16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shall mean the cost represented on the bill of materials supporting the most current fees for Products at the time of cancellation, expiration or termination, as applicable.</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shall mean those Materials provided by Customer or by suppliers with whom Customer has a commercial contractual or non-contractual relationship.</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shall mean the terms and conditions that Customer has negotiated with its suppliers for the purchase of Customer Controlled Materials.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10.11 (a).</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shall mean Materials purchased in quantities, above the required amount for purchase orders, in order to achieve price targets for such Materials.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shall mean any hazardous substance content laws and regulations including, without limitation, those related to the EU Directive 2002/95/EC about the Restriction of Use of Hazardous Substances (RoHS).</w:t>
      </w:r>
    </w:p>
    <w:p>
      <w:pPr>
        <w:spacing w:after="0" w:line="200" w:lineRule="exact"/>
        <w:rPr>
          <w:sz w:val="20"/>
          <w:szCs w:val="20"/>
          <w:color w:val="auto"/>
        </w:rPr>
      </w:pPr>
    </w:p>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140" w:space="720"/>
            <w:col w:w="6560"/>
          </w:cols>
          <w:pgMar w:left="240" w:top="269" w:right="23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List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Flexibility Table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Flextronics Indemnitee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Time(s)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 Lead Time Materials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Materials Procurement Lead Time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Order Inventory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Charges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Production Materials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Inventory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10.8.</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shall mean any Materials that are used to manufacture Products that are ordered pursuant to a purchase order from Customer.</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shall mean the Materials Procurement Lead Time plus the manufacturing cycle time required from the delivery of the Materials at Flextronics's facility to the completion of the manufacture, assembly and test processes.</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shall mean Materials with Lead Times exceeding the period covered by the accepted purchase orders for the Products.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shall mean components, parts and subassemblies that comprise the Product and that appear on the bill of materials for the Product.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shall mean with respect to any particular item of Materials, the longer of (a) lead time to obtain such Materials as recorded on Flextronics's MRP system or (b) the actual lead time, if a supplier has increased the lead time but Flextronics has not yet updated its MRP system.</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shall mean Materials purchased in excess of requirements for purchase orders because of minimum lot sizes available from the supplier.</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shall mean a finance carrying charge of one and one-half of one percent (1.5%) and a storage and handling charge of one-half of one percent (0.5%), in each case of the Cost of the Inventory and/or Special Inventory and/or of the fees for the Product affected by the reschedule or cancellation (as applicable) per month until such Inventory and/or Special Inventory and/or Product is returned to the vendor, used to manufacture Product or is otherwise purchased by Customer.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2.1.</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shall mean Materials that are consumed in the production processes to manufacture Products including without limitation, solder, epoxy, cleaner solvent, labels, flux, and glue. Production Materials do not include any such production materials that have been specified by the Customer or any Customer Controlled Materials.</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shall mean any Long Lead Time Materials and/or Minimum Order Inventory and/or Economic Order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140" w:space="720"/>
            <w:col w:w="6540"/>
          </w:cols>
          <w:pgMar w:left="240" w:top="269" w:right="25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SPECIFICATIONS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herein by reference only, but inclusive of the following statement of work:</w:t>
      </w:r>
    </w:p>
    <w:p>
      <w:pPr>
        <w:spacing w:after="0" w:line="200" w:lineRule="exact"/>
        <w:rPr>
          <w:sz w:val="20"/>
          <w:szCs w:val="20"/>
          <w:color w:val="auto"/>
        </w:rPr>
      </w:pPr>
    </w:p>
    <w:p>
      <w:pPr>
        <w:spacing w:after="0" w:line="291" w:lineRule="exact"/>
        <w:rPr>
          <w:sz w:val="20"/>
          <w:szCs w:val="20"/>
          <w:color w:val="auto"/>
        </w:rPr>
      </w:pPr>
    </w:p>
    <w:p>
      <w:pPr>
        <w:ind w:left="640" w:hanging="632"/>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PLANNING REQUIREMENTS</w:t>
      </w:r>
    </w:p>
    <w:p>
      <w:pPr>
        <w:spacing w:after="0" w:line="256" w:lineRule="exact"/>
        <w:rPr>
          <w:sz w:val="20"/>
          <w:szCs w:val="20"/>
          <w:color w:val="auto"/>
        </w:rPr>
      </w:pPr>
    </w:p>
    <w:p>
      <w:pPr>
        <w:ind w:right="200" w:firstLine="846"/>
        <w:spacing w:after="0" w:line="259" w:lineRule="auto"/>
        <w:rPr>
          <w:sz w:val="20"/>
          <w:szCs w:val="20"/>
          <w:color w:val="auto"/>
        </w:rPr>
      </w:pPr>
      <w:r>
        <w:rPr>
          <w:rFonts w:ascii="Arial" w:cs="Arial" w:eastAsia="Arial" w:hAnsi="Arial"/>
          <w:sz w:val="18"/>
          <w:szCs w:val="18"/>
          <w:color w:val="auto"/>
        </w:rPr>
        <w:t>1.1 A written transition plan and or checklist for the implementation of the contracted for product, component manufacture and/or service provision is required. This plan will be reviewed by Customer for adequacy to meet requirements. Milestone activities and deliverable dates are a required part of the implementation plan. Verification of compliance to the plan shall be required. Customer reserves the right at their discretion to witness the first production run at Flextronics's facility to verify the production processes meet planned activities.</w:t>
      </w:r>
    </w:p>
    <w:p>
      <w:pPr>
        <w:spacing w:after="0" w:line="210"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PROCUREMENT</w:t>
      </w:r>
    </w:p>
    <w:p>
      <w:pPr>
        <w:spacing w:after="0" w:line="2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Product shipments are expected on the date specified on the purchase order (PO). Flextronics's performance metrics 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maintained by the assigned supplier managers and on time delivery is one of those metrics.</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2.3 Flextronics's performance is reviewed using a defined Customer scorecard. Corrective action is required when performance metrics are not satisfactory. Flextronics will need more details on the Customer scorecard and determine if additional resources, processes needed to support such scorecard which could result in additional costs.</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2.4 Customer shall be assured the "right of entry" to perform quality audits at a maximum of twice a year and/or source inspections at any time with 72 hours written notice. Email notification to the assigned Customer Program manager is considered written notice. It is the assigned Customer Program manager's responsibility to ensure notification within their organization of the scheduled visit.</w:t>
      </w:r>
    </w:p>
    <w:p>
      <w:pPr>
        <w:spacing w:after="0" w:line="204"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3.1 Flextronics shall maintain a Quality Management System (QMS) certified to ISO 9001 Standard. The providers QMS is subject to audit and approval or disapproval at any time by Customer regardless of ISO certification status. Flextronics's QMS must ensures that all finished goods/services have been inspected and meet acceptance criteria prior to delivery. The QMS records shall provide evidence that the material being furnished meet the requirements, drawings and specifications referenced. The report and/or record of certification entity will be on file at the Flextronics facility for a period of three years.</w:t>
      </w:r>
    </w:p>
    <w:p>
      <w:pPr>
        <w:spacing w:after="0" w:line="21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3.2 Flextronics is required to maintain all regulatory and statutory required certifications on the product provided. This may include CCC, CSA and UL certifications. In the case, were Customer pays for the certification inspections and/or audits associated with the certification, Flextronics shall send copies of all inspection and/or audit reports to the Customer compliance department within 10 working days of receiving the inspection or audit report. Failure to provide Customer with copies of the report will require another inspection or audit to be scheduled and performed at Flextronics's expense.</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3.3 Flextronics is responsible to maintain needed certifications and business license need to provide product or services compliant to all requirements for international product sales and shipping. Any additional certification costs will be passed to customer (example: Mii China cert). If said business license needs to be changed it will be up to Flextronics to ultimately make that business decision as it may have other business implications and costs that will be passed onto the customer.</w:t>
      </w:r>
    </w:p>
    <w:p>
      <w:pPr>
        <w:spacing w:after="0" w:line="210"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TEST REQUIREMENTS</w:t>
      </w:r>
    </w:p>
    <w:p>
      <w:pPr>
        <w:spacing w:after="0" w:line="256"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4.1 Test procedures for deliverable product are provided by Customer to the provider. It is the responsibility of Flextronics to ensure that test staff has adequate training, skills and tools to perform all needed testing for the acceptance of the product. Customer will make their Test staff available for supplier to gain additional training and skills to support program.</w:t>
      </w:r>
    </w:p>
    <w:p>
      <w:pPr>
        <w:spacing w:after="0" w:line="20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4.2 Product specific test equipment is required to be used for the testing of Customer products following all required procedure steps. All test equipment and associated software, cables, jigs, etc. remains the property of Customer. It is Flextronics's responsibility to maintain provided test equipment in good working order and provide any needed calibration of the test equipment. All calibration costs will be paid by Customer.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4.3 Flextronics shall maintain a Calibration system in full compliance with all the requirements of either ISO 10012-1 or ANSI/NCSL Z540 standards. Flextronics's calibration system is subject to assessment at any time by Customer as part of a scheduled audit or during a scheduled source inspection.</w:t>
      </w:r>
    </w:p>
    <w:p>
      <w:pPr>
        <w:spacing w:after="0" w:line="208"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4.4 Product test results are to be tracked and maintained by individual product serial number and made available to Customer upon request. This is an additional NRE costs that will be paid by Customer to develop the IT linkages from test systems to our SFDM (shop floor data mgmt system). If Flex does not develop automated tracking systems, using a manual tracking system could result in a increase in unit price as it will require additional steps and resource time to accomplish.</w:t>
      </w:r>
    </w:p>
    <w:p>
      <w:pPr>
        <w:spacing w:after="0" w:line="210"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TRAINING REQUIREMENT</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5.1 All assembly or sub-assembly employees that work on product that contains electronics are required to have specific training before working on Customer product. Employees are required to be trained and certified at a minimum to IPC 610 workmanship and ESD protection. It is Flextronics's responsibility to maintain employee training records and certifications. Training records are to be made available to Customer during the performance audits and/or source inspections upon request.</w:t>
      </w:r>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5.2 All Test personnel are required to have the needed skills and educations to perform needed test operations. Training records are to be made available to Customer during the performance of audits and/or source inspections upon request.</w:t>
      </w:r>
    </w:p>
    <w:p>
      <w:pPr>
        <w:spacing w:after="0" w:line="193"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6.1 Flextronics shall maintain quality workmanship standards in accordance with IPC 610, IPC 7711 and IPC 7721 as well as all other pertinent workmanship standards that are required for fabrication or assembly of Customer products.</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6.2 Flextronics is required to provide and maintain a program of electrostatic discharge (ESD) control for all items to be incorporated into Customer product, during the manufacture of Customer product or the servicing of Customer product. Electro-Static Sensitive devices are to be handled, packaged, identified and shipped in accordance with the requirements of Mil-STD-1686, Class 1 or ANSI/ESD S20.20</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6.3 Materials or articles having characteristics subject to degradation with age shall be marked in a manner to indicate the date of manufacture and the expiration date. A first in/first out (FIFO) system is expected for the management of these materials</w:t>
      </w:r>
    </w:p>
    <w:p>
      <w:pPr>
        <w:spacing w:after="0" w:line="1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Flextronics shall package products to prevent damage during shipment. The Customer drawing references the specific</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packaging and the pallet requirements for shipping Customer product. When packaging is specified by Customer only the approved packaging materials are to be used. Alternate sources of packaging are required to be approved by Customer prior to use.</w:t>
      </w:r>
    </w:p>
    <w:p>
      <w:pPr>
        <w:spacing w:after="0" w:line="19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When product is refurbished by Flextronics to be used by Customer for advanced replacement purposes it shall pass</w:t>
      </w:r>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original manufacturing test requirements and be inspected for rework/repair workmanship to original manufacturing requirements. Records for the inspection are to be maintained by product serial number.</w:t>
      </w:r>
    </w:p>
    <w:p>
      <w:pPr>
        <w:spacing w:after="0" w:line="193"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QUALITY ASSURANCE</w:t>
      </w:r>
    </w:p>
    <w:p>
      <w:pPr>
        <w:spacing w:after="0" w:line="2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Inspection sampling may be used based on ANSI/ASO Z1.4 Sampling Procedures and Tables for Inspection by Attributes.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sampling plan is a requirement of the inspection planning and is to be available upon request</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Flextronics is required to respond to Customer request for corrective action on or before the requested response due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Corrective action is required to be completed within 15 working days of the receipt of the request.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69" w:right="299"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7.3 Customer or its designee may conduct an audit, perform surveillance audits and to do source inspection of the suppliersOMS, manufacturing processes or product to determine the supplier's ability to comply with applicable requirements and specifications. Source inspection access is a requirement of this contract. Flextronics shall furnish the necessary facilities, equipment, supply data and perform tests as required by the Customer source inspector to show conformance to the purchase order and reference documents. The Customer supplier manager will notify the provider three (3) days in advance of the required inspection. Final acceptance of any product will be performed at a Customer designated facility upon shipment arrival.</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7.4 Routine quality reporting, is to be sent to Customer quality manager monthly on the fifth day of every month. A quarterly scorecard is provided to the supplier as a measure of the quality level provided to Customer. Supplier also has a customer scorecard that could be used as well.</w:t>
      </w:r>
    </w:p>
    <w:p>
      <w:pPr>
        <w:spacing w:after="0" w:line="170"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8.1 Flextronics to facilitate compliance requirements of CCC and Mii that are required for China. This is required for Flextronics China factory. Customer will pay for additional costs associated with certification compliance. These certifications are not required for Charlotte, NC factory. Flextronics will be allowed time to review the specifics of the additional certifications and ultimately have final decision.</w:t>
      </w:r>
    </w:p>
    <w:p>
      <w:pPr>
        <w:spacing w:after="0" w:line="20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Flextronics factories to be UL and/or CSA certified.</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Flextronics is required to facilitate and perform periodic audits conducted by the agencies specified on item 8.1 and 8.2 above.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269" w:right="39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auto"/>
        </w:rPr>
        <w:t>FLEXTRONICS CONFIDENTIAL</w:t>
      </w:r>
    </w:p>
    <w:p>
      <w:pPr>
        <w:spacing w:after="0" w:line="200" w:lineRule="exact"/>
        <w:rPr>
          <w:sz w:val="20"/>
          <w:szCs w:val="20"/>
          <w:color w:val="auto"/>
        </w:rPr>
      </w:pPr>
    </w:p>
    <w:p>
      <w:pPr>
        <w:spacing w:after="0" w:line="27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3.4</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FEES LIST</w:t>
      </w:r>
    </w:p>
    <w:p>
      <w:pPr>
        <w:spacing w:after="0" w:line="256"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To be attached or incorporated by reference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219"/>
          </w:cols>
          <w:pgMar w:left="240" w:top="269"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10.22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SETTLEMENT AND RELEASE AGREEMENT</w:t>
      </w:r>
    </w:p>
    <w:p>
      <w:pPr>
        <w:spacing w:after="0" w:line="200" w:lineRule="exact"/>
        <w:rPr>
          <w:sz w:val="20"/>
          <w:szCs w:val="20"/>
          <w:color w:val="auto"/>
        </w:rPr>
      </w:pPr>
    </w:p>
    <w:p>
      <w:pPr>
        <w:spacing w:after="0" w:line="29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This Settlement and Release Agreement (“Agreement”), effective as of October 7, 2009, is entered into by and between ClearOne Communications, Inc. (“ClearOne” or “the Company”) and Edward D. Bagley (“Bagley”) (ClearOne and Bagley shall sometimes be hereinafter referred to collectively as the “Parties”).</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WHEREAS, in February 2004 ClearOne and Bagley jointly filed an action in the United States District Court for the District of Utah, Central Division, against National Union Fire Insurance Company of Pittsburgh, Pennsylvania (“National Union”) and Lumbermens Mutual Insurance Company (“Lumbermens”), which had issued directors and officers liability insurance policies to the Company for the period of October 29, 2002 to October 29, 2003, alleging that National Union and Lumbermens had breached their legal obligations under the policies and were therefore liable to ClearOne and Bagley for compensatory and punitive damages (the “Insurance Coverage Litigation”);</w:t>
      </w:r>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WHEREAS, in connection with the Insurance Coverage Litigation, ClearOne and Bagley entered into a Joint Prosecution and Defense Agreement in April 2004, wherein (as amended) ClearOne agreed to pay all litigation expenses, including attorney’s fees, of counsel for both the Company and Bagley except for litigation expenses which were solely related to Bagley’s claims in the Insurance Coverage Litigation;</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WHEREAS, in February 2005, ClearOne and Bagley entered into a confidential settlement agreement with Lumbermens, whereby Lumbermens paid a significant lump-sum cash payment (the “Lumbermens Settlement Payment”) to ClearOne and Bagley in exchange for ClearOne and Bagley dismissing and releasing all of their respective claims against Lumbermens;</w:t>
      </w:r>
    </w:p>
    <w:p>
      <w:pPr>
        <w:spacing w:after="0" w:line="20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WHEREAS, in connection with the Lumbermens settlement, ClearOne and Bagley agreed that the Lumbermens Settlement Payment should be held by the Company in a segregated account until the claims involving National Union had been resolved and ClearOne and Bagley had agreed upon an acceptable allocation of the Lumbermens Settlement Payment and any additional monies that might be recovered from National Union through settlement or litigation;</w:t>
      </w:r>
    </w:p>
    <w:p>
      <w:pPr>
        <w:spacing w:after="0" w:line="17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WHEREAS, subsequent to the Lumbermens settlement, ClearOne and Bagley continued to pursue the Insurance Coverage Litigation against National Union, but in October 2005 the District Court granted summary judgment in favor of National Union and against ClearOne and Bagley on all pending claims;</w:t>
      </w:r>
    </w:p>
    <w:p>
      <w:pPr>
        <w:spacing w:after="0" w:line="15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WHEREAS, ClearOne and Bagley appealed the adverse summary judgment to the United States Court of Appeals for the Tenth Circuit, and in July 2007 the Tenth Circuit issued its decision reversing the summary judgment as to ClearOne’s claims but affirming it as to Bagley’s claims;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84" w:name="page85"/>
    <w:bookmarkEnd w:id="84"/>
    <w:p>
      <w:pPr>
        <w:ind w:right="200" w:firstLine="720"/>
        <w:spacing w:after="0" w:line="259" w:lineRule="auto"/>
        <w:rPr>
          <w:sz w:val="20"/>
          <w:szCs w:val="20"/>
          <w:color w:val="auto"/>
        </w:rPr>
      </w:pPr>
      <w:r>
        <w:rPr>
          <w:rFonts w:ascii="Arial" w:cs="Arial" w:eastAsia="Arial" w:hAnsi="Arial"/>
          <w:sz w:val="18"/>
          <w:szCs w:val="18"/>
          <w:color w:val="auto"/>
        </w:rPr>
        <w:t>WHEREAS, following the Tenth Circuit’s remand of the Insurance Coverage Litigation to the District Court in July 2007 and the conclusion of Frances Flood’s criminal trial in February 2009, ClearOne entered into a confidential settlement agreement with National Union in April 2009, whereby National Union paid a nominal lump-sum cash payment to ClearOne in exchange for ClearOne dismissing and releasing all of its claims against National Union;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now desire to document their agreement regarding the allocation of the Lumbermens Settlement Payment;</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NOW, THEREFORE, in consideration of the mutual promises set forth below, the sufficiency and adequacy of which are hereby acknowledged, the Parties agree as follows:</w:t>
      </w:r>
    </w:p>
    <w:p>
      <w:pPr>
        <w:spacing w:after="0" w:line="197"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Parties hereby terminate the Joint Prosecution and Defense Agreement and any and all amendments thereto.</w:t>
      </w:r>
    </w:p>
    <w:p>
      <w:pPr>
        <w:spacing w:after="0" w:line="252" w:lineRule="exact"/>
        <w:rPr>
          <w:rFonts w:ascii="Arial" w:cs="Arial" w:eastAsia="Arial" w:hAnsi="Arial"/>
          <w:sz w:val="18"/>
          <w:szCs w:val="18"/>
          <w:color w:val="auto"/>
        </w:rPr>
      </w:pPr>
    </w:p>
    <w:p>
      <w:pPr>
        <w:jc w:val="both"/>
        <w:ind w:firstLine="8"/>
        <w:spacing w:after="0" w:line="264" w:lineRule="auto"/>
        <w:tabs>
          <w:tab w:leader="none" w:pos="6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Bagley waives any right to claim any share of the Lumbermens Settlement Payment and hereby releases ClearOne and all of its present and former officers, directors, employees, and agents from any and all claims pertaining to the Insurance Coverage Litigation, including but not limited to any claim for any settlement funds, further attorneys’ fees or expenses.</w:t>
      </w:r>
    </w:p>
    <w:p>
      <w:pPr>
        <w:spacing w:after="0" w:line="208" w:lineRule="exact"/>
        <w:rPr>
          <w:rFonts w:ascii="Arial" w:cs="Arial" w:eastAsia="Arial" w:hAnsi="Arial"/>
          <w:sz w:val="18"/>
          <w:szCs w:val="18"/>
          <w:color w:val="auto"/>
        </w:rPr>
      </w:pPr>
    </w:p>
    <w:p>
      <w:pPr>
        <w:ind w:right="240" w:firstLine="8"/>
        <w:spacing w:after="0" w:line="277" w:lineRule="auto"/>
        <w:tabs>
          <w:tab w:leader="none" w:pos="6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ClearOne releases Bagley from any and all claims pertaining to the Insurance Coverage Litigation, including but not limited to any claim for the recovery of any attorneys’ fees and expenses paid by the Company on Bagley’s behalf.</w:t>
      </w:r>
    </w:p>
    <w:p>
      <w:pPr>
        <w:spacing w:after="0" w:line="197" w:lineRule="exact"/>
        <w:rPr>
          <w:rFonts w:ascii="Arial" w:cs="Arial" w:eastAsia="Arial" w:hAnsi="Arial"/>
          <w:sz w:val="18"/>
          <w:szCs w:val="18"/>
          <w:color w:val="auto"/>
        </w:rPr>
      </w:pPr>
    </w:p>
    <w:p>
      <w:pPr>
        <w:ind w:right="340" w:firstLine="8"/>
        <w:spacing w:after="0" w:line="342" w:lineRule="auto"/>
        <w:tabs>
          <w:tab w:leader="none" w:pos="62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Agreement may be executed in counterparts, each of which when so executed and delivered shall be an original but both of which taken together shall constitute one and the same Agreement. Facsimile and .pdf signatures sent by electronic mail will constitute valid evidence of execution.</w:t>
      </w:r>
    </w:p>
    <w:p>
      <w:pPr>
        <w:spacing w:after="0" w:line="1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CLEARONE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563880</wp:posOffset>
            </wp:positionV>
            <wp:extent cx="36277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Zee Hakimoglu</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Its: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554355</wp:posOffset>
            </wp:positionV>
            <wp:extent cx="36277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EDWARD D. BAGLEY</w:t>
      </w: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60"/>
          </w:cols>
          <w:pgMar w:left="240" w:top="517" w:right="3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Ltd. -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Inc.</w:t>
      </w:r>
    </w:p>
    <w:p>
      <w:pPr>
        <w:sectPr>
          <w:pgSz w:w="11900" w:h="16838" w:orient="portrait"/>
          <w:cols w:equalWidth="0" w:num="1">
            <w:col w:w="11420"/>
          </w:cols>
          <w:pgMar w:left="240" w:top="81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23.1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333-148789 and 333-137859 of ClearOne Communications, Inc. on Forms S-8 of our financial statement audit report dated October 13, 2009, appearing in this Annual Report on Form 10-K of ClearOne Communications, Inc. for the years ended June 30, 2009 and 2008.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Jones Simkins,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13, 2009</w:t>
      </w:r>
    </w:p>
    <w:p>
      <w:pPr>
        <w:sectPr>
          <w:pgSz w:w="11900" w:h="16838" w:orient="portrait"/>
          <w:cols w:equalWidth="0" w:num="1">
            <w:col w:w="11420"/>
          </w:cols>
          <w:pgMar w:left="240" w:top="81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231"/>
        <w:spacing w:after="0"/>
        <w:tabs>
          <w:tab w:leader="none" w:pos="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80" w:hanging="232"/>
        <w:spacing w:after="0" w:line="264"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500" w:hanging="222"/>
        <w:spacing w:after="0" w:line="264" w:lineRule="auto"/>
        <w:tabs>
          <w:tab w:leader="none" w:pos="500" w:val="left"/>
        </w:tabs>
        <w:numPr>
          <w:ilvl w:val="2"/>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3"/>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3"/>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3"/>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hanging="231"/>
        <w:spacing w:after="0" w:line="308" w:lineRule="auto"/>
        <w:tabs>
          <w:tab w:leader="none" w:pos="5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3"/>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3"/>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81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52" w:lineRule="exact"/>
        <w:rPr>
          <w:sz w:val="20"/>
          <w:szCs w:val="20"/>
          <w:color w:val="auto"/>
        </w:rPr>
      </w:pPr>
    </w:p>
    <w:p>
      <w:pPr>
        <w:ind w:left="500" w:hanging="231"/>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hanging="231"/>
        <w:spacing w:after="0" w:line="308" w:lineRule="auto"/>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p>
      <w:pPr>
        <w:sectPr>
          <w:pgSz w:w="11900" w:h="16838" w:orient="portrait"/>
          <w:cols w:equalWidth="0" w:num="1">
            <w:col w:w="11420"/>
          </w:cols>
          <w:pgMar w:left="240" w:top="81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 Zeynep Hakimoglu, certify, to the best of my knowledge, pursuant to 18 U.S.C. Section 1350, as adopted pursuant to Section 906 of the Sarbanes-Oxley Act of 2002, that the Annual Report of ClearOne Communications, Inc. on Form 10-K for the year ended June 30, 2009,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837"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 Narsi Narayanan, certify, to the best of my knowledge, pursuant to 18 U.S.C. Section 1350, as adopted pursuant to Section 906 of the Sarbanes-Oxley Act of 2002, that the Annual Report of ClearOne Communications, Inc. on Form 10-K for the year ended June 30, 2009,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8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x"/>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lowerRoman"/>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decimal"/>
      <w:start w:val="3"/>
    </w:lvl>
  </w:abstractNum>
  <w:abstractNum w:abstractNumId="12">
    <w:nsid w:val="2D517796"/>
    <w:multiLevelType w:val="hybridMultilevel"/>
    <w:lvl w:ilvl="0">
      <w:lvlJc w:val="left"/>
      <w:lvlText w:val="(%1)"/>
      <w:numFmt w:val="lowerLetter"/>
      <w:start w:val="1"/>
    </w:lvl>
  </w:abstractNum>
  <w:abstractNum w:abstractNumId="13">
    <w:nsid w:val="580BD78F"/>
    <w:multiLevelType w:val="hybridMultilevel"/>
    <w:lvl w:ilvl="0">
      <w:lvlJc w:val="left"/>
      <w:lvlText w:val="%1."/>
      <w:numFmt w:val="decimal"/>
      <w:start w:val="2"/>
    </w:lvl>
  </w:abstractNum>
  <w:abstractNum w:abstractNumId="14">
    <w:nsid w:val="153EA438"/>
    <w:multiLevelType w:val="hybridMultilevel"/>
    <w:lvl w:ilvl="0">
      <w:lvlJc w:val="left"/>
      <w:lvlText w:val="%1."/>
      <w:numFmt w:val="decimal"/>
      <w:start w:val="3"/>
    </w:lvl>
  </w:abstractNum>
  <w:abstractNum w:abstractNumId="15">
    <w:nsid w:val="3855585C"/>
    <w:multiLevelType w:val="hybridMultilevel"/>
    <w:lvl w:ilvl="0">
      <w:lvlJc w:val="left"/>
      <w:lvlText w:val="1"/>
      <w:numFmt w:val="bullet"/>
      <w:start w:val="1"/>
    </w:lvl>
  </w:abstractNum>
  <w:abstractNum w:abstractNumId="16">
    <w:nsid w:val="70A64E2A"/>
    <w:multiLevelType w:val="hybridMultilevel"/>
    <w:lvl w:ilvl="0">
      <w:lvlJc w:val="left"/>
      <w:lvlText w:val="2"/>
      <w:numFmt w:val="bullet"/>
      <w:start w:val="1"/>
    </w:lvl>
  </w:abstractNum>
  <w:abstractNum w:abstractNumId="17">
    <w:nsid w:val="6A2342EC"/>
    <w:multiLevelType w:val="hybridMultilevel"/>
    <w:lvl w:ilvl="0">
      <w:lvlJc w:val="left"/>
      <w:lvlText w:val="3"/>
      <w:numFmt w:val="bullet"/>
      <w:start w:val="1"/>
    </w:lvl>
  </w:abstractNum>
  <w:abstractNum w:abstractNumId="18">
    <w:nsid w:val="2A487CB0"/>
    <w:multiLevelType w:val="hybridMultilevel"/>
    <w:lvl w:ilvl="0">
      <w:lvlJc w:val="left"/>
      <w:lvlText w:val="4"/>
      <w:numFmt w:val="bullet"/>
      <w:start w:val="1"/>
    </w:lvl>
  </w:abstractNum>
  <w:abstractNum w:abstractNumId="19">
    <w:nsid w:val="1D4ED43B"/>
    <w:multiLevelType w:val="hybridMultilevel"/>
    <w:lvl w:ilvl="0">
      <w:lvlJc w:val="left"/>
      <w:lvlText w:val="5"/>
      <w:numFmt w:val="bullet"/>
      <w:start w:val="1"/>
    </w:lvl>
  </w:abstractNum>
  <w:abstractNum w:abstractNumId="20">
    <w:nsid w:val="725A06FB"/>
    <w:multiLevelType w:val="hybridMultilevel"/>
    <w:lvl w:ilvl="0">
      <w:lvlJc w:val="left"/>
      <w:lvlText w:val="6"/>
      <w:numFmt w:val="bullet"/>
      <w:start w:val="1"/>
    </w:lvl>
  </w:abstractNum>
  <w:abstractNum w:abstractNumId="21">
    <w:nsid w:val="2CD89A32"/>
    <w:multiLevelType w:val="hybridMultilevel"/>
    <w:lvl w:ilvl="0">
      <w:lvlJc w:val="left"/>
      <w:lvlText w:val="7"/>
      <w:numFmt w:val="bullet"/>
      <w:start w:val="1"/>
    </w:lvl>
  </w:abstractNum>
  <w:abstractNum w:abstractNumId="22">
    <w:nsid w:val="57E4CCAF"/>
    <w:multiLevelType w:val="hybridMultilevel"/>
    <w:lvl w:ilvl="0">
      <w:lvlJc w:val="left"/>
      <w:lvlText w:val="8"/>
      <w:numFmt w:val="bullet"/>
      <w:start w:val="1"/>
    </w:lvl>
  </w:abstractNum>
  <w:abstractNum w:abstractNumId="23">
    <w:nsid w:val="7A6D8D3C"/>
    <w:multiLevelType w:val="hybridMultilevel"/>
    <w:lvl w:ilvl="0">
      <w:lvlJc w:val="left"/>
      <w:lvlText w:val="9"/>
      <w:numFmt w:val="bullet"/>
      <w:start w:val="1"/>
    </w:lvl>
  </w:abstractNum>
  <w:abstractNum w:abstractNumId="24">
    <w:nsid w:val="4B588F54"/>
    <w:multiLevelType w:val="hybridMultilevel"/>
    <w:lvl w:ilvl="0">
      <w:lvlJc w:val="left"/>
      <w:lvlText w:val="%1"/>
      <w:numFmt w:val="decimal"/>
      <w:start w:val="10"/>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2"/>
    </w:lvl>
  </w:abstractNum>
  <w:abstractNum w:abstractNumId="28">
    <w:nsid w:val="7644A45C"/>
    <w:multiLevelType w:val="hybridMultilevel"/>
    <w:lvl w:ilvl="0">
      <w:lvlJc w:val="left"/>
      <w:lvlText w:val="%1."/>
      <w:numFmt w:val="decimal"/>
      <w:start w:val="3"/>
    </w:lvl>
  </w:abstractNum>
  <w:abstractNum w:abstractNumId="29">
    <w:nsid w:val="32FFF902"/>
    <w:multiLevelType w:val="hybridMultilevel"/>
    <w:lvl w:ilvl="0">
      <w:lvlJc w:val="left"/>
      <w:lvlText w:val="%1"/>
      <w:numFmt w:val="lowerLetter"/>
      <w:start w:val="1"/>
    </w:lvl>
    <w:lvl w:ilvl="1">
      <w:lvlJc w:val="left"/>
      <w:lvlText w:val="(%2)"/>
      <w:numFmt w:val="lowerLetter"/>
      <w:start w:val="1"/>
    </w:lvl>
  </w:abstractNum>
  <w:abstractNum w:abstractNumId="30">
    <w:nsid w:val="684A481A"/>
    <w:multiLevelType w:val="hybridMultilevel"/>
    <w:lvl w:ilvl="0">
      <w:lvlJc w:val="left"/>
      <w:lvlText w:val="(%1)"/>
      <w:numFmt w:val="lowerLetter"/>
      <w:start w:val="3"/>
    </w:lvl>
    <w:lvl w:ilvl="1">
      <w:lvlJc w:val="left"/>
      <w:lvlText w:val="(%2)"/>
      <w:numFmt w:val="lowerLetter"/>
      <w:start w:val="3"/>
    </w:lvl>
  </w:abstractNum>
  <w:abstractNum w:abstractNumId="31">
    <w:nsid w:val="579478FE"/>
    <w:multiLevelType w:val="hybridMultilevel"/>
    <w:lvl w:ilvl="0">
      <w:lvlJc w:val="left"/>
      <w:lvlText w:val="(%1)"/>
      <w:numFmt w:val="lowerLetter"/>
      <w:start w:val="4"/>
    </w:lvl>
  </w:abstractNum>
  <w:abstractNum w:abstractNumId="32">
    <w:nsid w:val="749ABB43"/>
    <w:multiLevelType w:val="hybridMultilevel"/>
    <w:lvl w:ilvl="0">
      <w:lvlJc w:val="left"/>
      <w:lvlText w:val="%1."/>
      <w:numFmt w:val="decimal"/>
      <w:start w:val="4"/>
    </w:lvl>
  </w:abstractNum>
  <w:abstractNum w:abstractNumId="33">
    <w:nsid w:val="3DC240FB"/>
    <w:multiLevelType w:val="hybridMultilevel"/>
    <w:lvl w:ilvl="0">
      <w:lvlJc w:val="left"/>
      <w:lvlText w:val="%1."/>
      <w:numFmt w:val="decimal"/>
      <w:start w:val="5"/>
    </w:lvl>
  </w:abstractNum>
  <w:abstractNum w:abstractNumId="34">
    <w:nsid w:val="1BA026FA"/>
    <w:multiLevelType w:val="hybridMultilevel"/>
    <w:lvl w:ilvl="0">
      <w:lvlJc w:val="left"/>
      <w:lvlText w:val="(%1)"/>
      <w:numFmt w:val="lowerLetter"/>
      <w:start w:val="1"/>
    </w:lvl>
  </w:abstractNum>
  <w:abstractNum w:abstractNumId="35">
    <w:nsid w:val="79A1DEAA"/>
    <w:multiLevelType w:val="hybridMultilevel"/>
    <w:lvl w:ilvl="0">
      <w:lvlJc w:val="left"/>
      <w:lvlText w:val="(%1)"/>
      <w:numFmt w:val="lowerLetter"/>
      <w:start w:val="2"/>
    </w:lvl>
  </w:abstractNum>
  <w:abstractNum w:abstractNumId="36">
    <w:nsid w:val="75C6C33A"/>
    <w:multiLevelType w:val="hybridMultilevel"/>
    <w:lvl w:ilvl="0">
      <w:lvlJc w:val="left"/>
      <w:lvlText w:val="%1"/>
      <w:numFmt w:val="decimal"/>
      <w:start w:val="1"/>
    </w:lvl>
    <w:lvl w:ilvl="1">
      <w:lvlJc w:val="left"/>
      <w:lvlText w:val="(%2)"/>
      <w:numFmt w:val="lowerLetter"/>
      <w:start w:val="1"/>
    </w:lvl>
  </w:abstractNum>
  <w:abstractNum w:abstractNumId="37">
    <w:nsid w:val="12E685FB"/>
    <w:multiLevelType w:val="hybridMultilevel"/>
    <w:lvl w:ilvl="0">
      <w:lvlJc w:val="left"/>
      <w:lvlText w:val="(%1)"/>
      <w:numFmt w:val="decimal"/>
      <w:start w:val="30"/>
    </w:lvl>
    <w:lvl w:ilvl="1">
      <w:lvlJc w:val="left"/>
      <w:lvlText w:val="%2"/>
      <w:numFmt w:val="lowerLetter"/>
      <w:start w:val="1"/>
    </w:lvl>
  </w:abstractNum>
  <w:abstractNum w:abstractNumId="38">
    <w:nsid w:val="70C6A529"/>
    <w:multiLevelType w:val="hybridMultilevel"/>
    <w:lvl w:ilvl="0">
      <w:lvlJc w:val="left"/>
      <w:lvlText w:val="(%1)"/>
      <w:numFmt w:val="lowerLetter"/>
      <w:start w:val="2"/>
    </w:lvl>
  </w:abstractNum>
  <w:abstractNum w:abstractNumId="39">
    <w:nsid w:val="520EEDD1"/>
    <w:multiLevelType w:val="hybridMultilevel"/>
    <w:lvl w:ilvl="0">
      <w:lvlJc w:val="left"/>
      <w:lvlText w:val="%1."/>
      <w:numFmt w:val="decimal"/>
      <w:start w:val="6"/>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lowerLetter"/>
      <w:start w:val="4"/>
    </w:lvl>
  </w:abstractNum>
  <w:abstractNum w:abstractNumId="42">
    <w:nsid w:val="23F9C13C"/>
    <w:multiLevelType w:val="hybridMultilevel"/>
    <w:lvl w:ilvl="0">
      <w:lvlJc w:val="left"/>
      <w:lvlText w:val="%1."/>
      <w:numFmt w:val="decimal"/>
      <w:start w:val="7"/>
    </w:lvl>
  </w:abstractNum>
  <w:abstractNum w:abstractNumId="43">
    <w:nsid w:val="649BB77C"/>
    <w:multiLevelType w:val="hybridMultilevel"/>
    <w:lvl w:ilvl="0">
      <w:lvlJc w:val="left"/>
      <w:lvlText w:val="%1."/>
      <w:numFmt w:val="decimal"/>
      <w:start w:val="8"/>
    </w:lvl>
  </w:abstractNum>
  <w:abstractNum w:abstractNumId="44">
    <w:nsid w:val="275AC794"/>
    <w:multiLevelType w:val="hybridMultilevel"/>
    <w:lvl w:ilvl="0">
      <w:lvlJc w:val="left"/>
      <w:lvlText w:val="%1."/>
      <w:numFmt w:val="decimal"/>
      <w:start w:val="9"/>
    </w:lvl>
  </w:abstractNum>
  <w:abstractNum w:abstractNumId="45">
    <w:nsid w:val="39386575"/>
    <w:multiLevelType w:val="hybridMultilevel"/>
    <w:lvl w:ilvl="0">
      <w:lvlJc w:val="left"/>
      <w:lvlText w:val="(%1)"/>
      <w:numFmt w:val="lowerLetter"/>
      <w:start w:val="1"/>
    </w:lvl>
  </w:abstractNum>
  <w:abstractNum w:abstractNumId="46">
    <w:nsid w:val="1CF10FD8"/>
    <w:multiLevelType w:val="hybridMultilevel"/>
    <w:lvl w:ilvl="0">
      <w:lvlJc w:val="left"/>
      <w:lvlText w:val="(%1)"/>
      <w:numFmt w:val="lowerLetter"/>
      <w:start w:val="3"/>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decimal"/>
      <w:start w:val="10"/>
    </w:lvl>
  </w:abstractNum>
  <w:abstractNum w:abstractNumId="49">
    <w:nsid w:val="47398C89"/>
    <w:multiLevelType w:val="hybridMultilevel"/>
    <w:lvl w:ilvl="0">
      <w:lvlJc w:val="left"/>
      <w:lvlText w:val="%1"/>
      <w:numFmt w:val="lowerRoman"/>
      <w:start w:val="1"/>
    </w:lvl>
    <w:lvl w:ilvl="1">
      <w:lvlJc w:val="left"/>
      <w:lvlText w:val="(%2)"/>
      <w:numFmt w:val="lowerLetter"/>
      <w:start w:val="1"/>
    </w:lvl>
  </w:abstractNum>
  <w:abstractNum w:abstractNumId="50">
    <w:nsid w:val="354FE9F9"/>
    <w:multiLevelType w:val="hybridMultilevel"/>
    <w:lvl w:ilvl="0">
      <w:lvlJc w:val="left"/>
      <w:lvlText w:val="(%1)"/>
      <w:numFmt w:val="lowerRoman"/>
      <w:start w:val="1"/>
    </w:lvl>
    <w:lvl w:ilvl="1">
      <w:lvlJc w:val="left"/>
      <w:lvlText w:val="(%2)"/>
      <w:numFmt w:val="lowerLetter"/>
      <w:start w:val="7"/>
    </w:lvl>
  </w:abstractNum>
  <w:abstractNum w:abstractNumId="51">
    <w:nsid w:val="15B5AF5C"/>
    <w:multiLevelType w:val="hybridMultilevel"/>
    <w:lvl w:ilvl="0">
      <w:lvlJc w:val="left"/>
      <w:lvlText w:val="(%1)"/>
      <w:numFmt w:val="lowerLetter"/>
      <w:start w:val="8"/>
    </w:lvl>
  </w:abstractNum>
  <w:abstractNum w:abstractNumId="52">
    <w:nsid w:val="741226BB"/>
    <w:multiLevelType w:val="hybridMultilevel"/>
    <w:lvl w:ilvl="0">
      <w:lvlJc w:val="left"/>
      <w:lvlText w:val="(%1)"/>
      <w:numFmt w:val="upperLetter"/>
      <w:start w:val="9"/>
    </w:lvl>
  </w:abstractNum>
  <w:abstractNum w:abstractNumId="53">
    <w:nsid w:val="D34B6A8"/>
    <w:multiLevelType w:val="hybridMultilevel"/>
    <w:lvl w:ilvl="0">
      <w:lvlJc w:val="left"/>
      <w:lvlText w:val="(%1)"/>
      <w:numFmt w:val="lowerLetter"/>
      <w:start w:val="13"/>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2"/>
    </w:lvl>
  </w:abstractNum>
  <w:abstractNum w:abstractNumId="56">
    <w:nsid w:val="61574095"/>
    <w:multiLevelType w:val="hybridMultilevel"/>
    <w:lvl w:ilvl="0">
      <w:lvlJc w:val="left"/>
      <w:lvlText w:val="%1."/>
      <w:numFmt w:val="decimal"/>
      <w:start w:val="3"/>
    </w:lvl>
  </w:abstractNum>
  <w:abstractNum w:abstractNumId="57">
    <w:nsid w:val="7E0C57B1"/>
    <w:multiLevelType w:val="hybridMultilevel"/>
    <w:lvl w:ilvl="0">
      <w:lvlJc w:val="left"/>
      <w:lvlText w:val="%1."/>
      <w:numFmt w:val="decimal"/>
      <w:start w:val="4"/>
    </w:lvl>
  </w:abstractNum>
  <w:abstractNum w:abstractNumId="58">
    <w:nsid w:val="77AE35EB"/>
    <w:multiLevelType w:val="hybridMultilevel"/>
    <w:lvl w:ilvl="0">
      <w:lvlJc w:val="left"/>
      <w:lvlText w:val="%1."/>
      <w:numFmt w:val="decimal"/>
      <w:start w:val="5"/>
    </w:lvl>
  </w:abstractNum>
  <w:abstractNum w:abstractNumId="59">
    <w:nsid w:val="579BE4F1"/>
    <w:multiLevelType w:val="hybridMultilevel"/>
    <w:lvl w:ilvl="0">
      <w:lvlJc w:val="left"/>
      <w:lvlText w:val="%1."/>
      <w:numFmt w:val="decimal"/>
      <w:start w:val="6"/>
    </w:lvl>
  </w:abstractNum>
  <w:abstractNum w:abstractNumId="60">
    <w:nsid w:val="310C50B3"/>
    <w:multiLevelType w:val="hybridMultilevel"/>
    <w:lvl w:ilvl="0">
      <w:lvlJc w:val="left"/>
      <w:lvlText w:val="%1."/>
      <w:numFmt w:val="decimal"/>
      <w:start w:val="7"/>
    </w:lvl>
  </w:abstractNum>
  <w:abstractNum w:abstractNumId="61">
    <w:nsid w:val="5FF87E05"/>
    <w:multiLevelType w:val="hybridMultilevel"/>
    <w:lvl w:ilvl="0">
      <w:lvlJc w:val="left"/>
      <w:lvlText w:val="%1."/>
      <w:numFmt w:val="decimal"/>
      <w:start w:val="8"/>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64">
    <w:nsid w:val="1DBABF00"/>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lvl w:ilvl="3">
      <w:lvlJc w:val="left"/>
      <w:lvlText w:val="%4)"/>
      <w:numFmt w:val="lowerLetter"/>
      <w:start w:val="2"/>
    </w:lvl>
  </w:abstractNum>
  <w:abstractNum w:abstractNumId="65">
    <w:nsid w:val="4AD084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66">
    <w:nsid w:val="1F48EA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2019-12-10T08:04:56Z</dcterms:created>
  <dcterms:modified xsi:type="dcterms:W3CDTF">2019-12-10T08:04:56Z</dcterms:modified>
</cp:coreProperties>
</file>