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00" w:right="1940" w:hanging="292"/>
        <w:spacing w:after="0" w:line="503" w:lineRule="auto"/>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31, 2018</w:t>
      </w:r>
    </w:p>
    <w:p>
      <w:pPr>
        <w:ind w:left="30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221" w:lineRule="exact"/>
        <w:rPr>
          <w:sz w:val="24"/>
          <w:szCs w:val="24"/>
          <w:color w:val="auto"/>
        </w:rPr>
      </w:pPr>
    </w:p>
    <w:p>
      <w:pPr>
        <w:ind w:left="300" w:right="1960" w:hanging="292"/>
        <w:spacing w:after="0" w:line="501" w:lineRule="auto"/>
        <w:tabs>
          <w:tab w:leader="none" w:pos="153"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TRANSITION REPORT PURSUANT TO SECTION 13 OR 15(d) OF THE SECURITIES EXCHANGE ACT OF 1934</w:t>
      </w:r>
      <w:r>
        <w:rPr>
          <w:rFonts w:ascii="Arial" w:cs="Arial" w:eastAsia="Arial" w:hAnsi="Arial"/>
          <w:sz w:val="18"/>
          <w:szCs w:val="18"/>
          <w:color w:val="auto"/>
        </w:rPr>
        <w:t xml:space="preserve"> For the transition period _______ to _______</w:t>
      </w:r>
    </w:p>
    <w:p>
      <w:pPr>
        <w:spacing w:after="0"/>
        <w:rPr>
          <w:sz w:val="20"/>
          <w:szCs w:val="20"/>
          <w:color w:val="auto"/>
        </w:rPr>
      </w:pPr>
      <w:r>
        <w:rPr>
          <w:rFonts w:ascii="Arial" w:cs="Arial" w:eastAsia="Arial" w:hAnsi="Arial"/>
          <w:sz w:val="18"/>
          <w:szCs w:val="18"/>
          <w:color w:val="auto"/>
        </w:rPr>
        <w:t>Commission file number:</w:t>
      </w:r>
      <w:r>
        <w:rPr>
          <w:rFonts w:ascii="Arial" w:cs="Arial" w:eastAsia="Arial" w:hAnsi="Arial"/>
          <w:sz w:val="18"/>
          <w:szCs w:val="18"/>
          <w:b w:val="1"/>
          <w:bCs w:val="1"/>
          <w:u w:val="single" w:color="auto"/>
          <w:color w:val="auto"/>
        </w:rPr>
        <w:t>001-33660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2955290</wp:posOffset>
            </wp:positionH>
            <wp:positionV relativeFrom="paragraph">
              <wp:posOffset>154940</wp:posOffset>
            </wp:positionV>
            <wp:extent cx="1320800" cy="240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0800" cy="240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jc w:val="center"/>
              <w:spacing w:after="0"/>
              <w:rPr>
                <w:sz w:val="20"/>
                <w:szCs w:val="20"/>
                <w:color w:val="auto"/>
              </w:rPr>
            </w:pPr>
            <w:r>
              <w:rPr>
                <w:rFonts w:ascii="Arial" w:cs="Arial" w:eastAsia="Arial" w:hAnsi="Arial"/>
                <w:sz w:val="18"/>
                <w:szCs w:val="18"/>
                <w:b w:val="1"/>
                <w:bCs w:val="1"/>
                <w:color w:val="auto"/>
                <w:w w:val="94"/>
              </w:rPr>
              <w:t>Utah</w:t>
            </w:r>
          </w:p>
        </w:tc>
        <w:tc>
          <w:tcPr>
            <w:tcW w:w="5700" w:type="dxa"/>
            <w:vAlign w:val="bottom"/>
            <w:gridSpan w:val="2"/>
          </w:tcPr>
          <w:p>
            <w:pPr>
              <w:jc w:val="right"/>
              <w:ind w:right="221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5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40" w:type="dxa"/>
            <w:vAlign w:val="bottom"/>
          </w:tcPr>
          <w:p>
            <w:pPr>
              <w:spacing w:after="0"/>
              <w:rPr>
                <w:sz w:val="19"/>
                <w:szCs w:val="19"/>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418"/>
        </w:trPr>
        <w:tc>
          <w:tcPr>
            <w:tcW w:w="5720" w:type="dxa"/>
            <w:vAlign w:val="bottom"/>
          </w:tcPr>
          <w:p>
            <w:pPr>
              <w:jc w:val="center"/>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5700" w:type="dxa"/>
            <w:vAlign w:val="bottom"/>
            <w:gridSpan w:val="2"/>
          </w:tcPr>
          <w:p>
            <w:pPr>
              <w:jc w:val="right"/>
              <w:ind w:right="2430"/>
              <w:spacing w:after="0"/>
              <w:rPr>
                <w:sz w:val="20"/>
                <w:szCs w:val="20"/>
                <w:color w:val="auto"/>
              </w:rPr>
            </w:pPr>
            <w:r>
              <w:rPr>
                <w:rFonts w:ascii="Arial" w:cs="Arial" w:eastAsia="Arial" w:hAnsi="Arial"/>
                <w:sz w:val="18"/>
                <w:szCs w:val="18"/>
                <w:b w:val="1"/>
                <w:bCs w:val="1"/>
                <w:color w:val="auto"/>
              </w:rPr>
              <w:t>84116</w:t>
            </w:r>
          </w:p>
        </w:tc>
      </w:tr>
      <w:tr>
        <w:trPr>
          <w:trHeight w:val="224"/>
        </w:trPr>
        <w:tc>
          <w:tcPr>
            <w:tcW w:w="5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tcPr>
          <w:p>
            <w:pPr>
              <w:spacing w:after="0"/>
              <w:rPr>
                <w:sz w:val="19"/>
                <w:szCs w:val="19"/>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jc w:val="both"/>
        <w:ind w:firstLine="65"/>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787" w:right="239" w:bottom="1440" w:gutter="0" w:footer="0" w:header="0"/>
        </w:sectPr>
      </w:pP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Larger 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sectPr>
          <w:pgSz w:w="11900" w:h="16838" w:orient="portrait"/>
          <w:cols w:equalWidth="0" w:num="3">
            <w:col w:w="6720" w:space="720"/>
            <w:col w:w="2180" w:space="80"/>
            <w:col w:w="1720"/>
          </w:cols>
          <w:pgMar w:left="240" w:top="787" w:right="239" w:bottom="1440" w:gutter="0" w:footer="0" w:header="0"/>
          <w:type w:val="continuous"/>
        </w:sectPr>
      </w:pPr>
    </w:p>
    <w:p>
      <w:pPr>
        <w:spacing w:after="0"/>
        <w:rPr>
          <w:sz w:val="20"/>
          <w:szCs w:val="20"/>
          <w:color w:val="auto"/>
        </w:rPr>
      </w:pPr>
      <w:r>
        <w:rPr>
          <w:rFonts w:ascii="Arial" w:cs="Arial" w:eastAsia="Arial" w:hAnsi="Arial"/>
          <w:sz w:val="17"/>
          <w:szCs w:val="17"/>
          <w:color w:val="auto"/>
        </w:rPr>
        <w:t>Emerging growth company [ ]</w:t>
      </w:r>
    </w:p>
    <w:p>
      <w:pPr>
        <w:sectPr>
          <w:pgSz w:w="11900" w:h="16838" w:orient="portrait"/>
          <w:cols w:equalWidth="0" w:num="1">
            <w:col w:w="11420"/>
          </w:cols>
          <w:pgMar w:left="240" w:top="787" w:right="239" w:bottom="1440" w:gutter="0" w:footer="0" w:header="0"/>
          <w:type w:val="continuous"/>
        </w:sectPr>
      </w:pPr>
    </w:p>
    <w:p>
      <w:pPr>
        <w:spacing w:after="0" w:line="22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ClearOne common stock outstanding as of June 15, 2018 was 8,301,273.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 FOR THE QUARTER ENDED MARCH 31,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9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PART I - FINANCIAL INFORMATION</w:t>
            </w:r>
          </w:p>
        </w:tc>
        <w:tc>
          <w:tcPr>
            <w:tcW w:w="4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Financial Statements</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80" w:type="dxa"/>
            <w:vAlign w:val="bottom"/>
          </w:tcPr>
          <w:p>
            <w:pPr>
              <w:ind w:left="300"/>
              <w:spacing w:after="0"/>
              <w:rPr>
                <w:sz w:val="20"/>
                <w:szCs w:val="20"/>
                <w:color w:val="auto"/>
              </w:rPr>
            </w:pPr>
            <w:r>
              <w:rPr>
                <w:rFonts w:ascii="Arial" w:cs="Arial" w:eastAsia="Arial" w:hAnsi="Arial"/>
                <w:sz w:val="18"/>
                <w:szCs w:val="18"/>
                <w:color w:val="auto"/>
              </w:rPr>
              <w:t>Unaudited Condensed Consolidated Balance Sheets as of March 31, 2018 and December 31, 2017</w:t>
            </w: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980" w:type="dxa"/>
            <w:vAlign w:val="bottom"/>
          </w:tcPr>
          <w:p>
            <w:pPr>
              <w:ind w:left="300"/>
              <w:spacing w:after="0" w:line="201" w:lineRule="exact"/>
              <w:rPr>
                <w:sz w:val="20"/>
                <w:szCs w:val="20"/>
                <w:color w:val="auto"/>
              </w:rPr>
            </w:pPr>
            <w:r>
              <w:rPr>
                <w:rFonts w:ascii="Arial" w:cs="Arial" w:eastAsia="Arial" w:hAnsi="Arial"/>
                <w:sz w:val="18"/>
                <w:szCs w:val="18"/>
                <w:color w:val="auto"/>
                <w:w w:val="91"/>
              </w:rPr>
              <w:t>Unaudited Condensed Consolidated Statements of Operations and Comprehensive Income (Loss) for the three months ended March</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980" w:type="dxa"/>
            <w:vAlign w:val="bottom"/>
          </w:tcPr>
          <w:p>
            <w:pPr>
              <w:ind w:left="300"/>
              <w:spacing w:after="0"/>
              <w:rPr>
                <w:sz w:val="20"/>
                <w:szCs w:val="20"/>
                <w:color w:val="auto"/>
              </w:rPr>
            </w:pPr>
            <w:r>
              <w:rPr>
                <w:rFonts w:ascii="Arial" w:cs="Arial" w:eastAsia="Arial" w:hAnsi="Arial"/>
                <w:sz w:val="18"/>
                <w:szCs w:val="18"/>
                <w:color w:val="auto"/>
              </w:rPr>
              <w:t>31, 2018 and 2017</w:t>
            </w: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80" w:type="dxa"/>
            <w:vAlign w:val="bottom"/>
          </w:tcPr>
          <w:p>
            <w:pPr>
              <w:ind w:left="300"/>
              <w:spacing w:after="0"/>
              <w:rPr>
                <w:sz w:val="20"/>
                <w:szCs w:val="20"/>
                <w:color w:val="auto"/>
              </w:rPr>
            </w:pPr>
            <w:r>
              <w:rPr>
                <w:rFonts w:ascii="Arial" w:cs="Arial" w:eastAsia="Arial" w:hAnsi="Arial"/>
                <w:sz w:val="18"/>
                <w:szCs w:val="18"/>
                <w:color w:val="auto"/>
              </w:rPr>
              <w:t>Unaudited Condensed Consolidated Statements of Cash Flows for the three months ended March 31, 2018 and 2017</w:t>
            </w: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80" w:type="dxa"/>
            <w:vAlign w:val="bottom"/>
          </w:tcPr>
          <w:p>
            <w:pPr>
              <w:ind w:left="300"/>
              <w:spacing w:after="0"/>
              <w:rPr>
                <w:sz w:val="20"/>
                <w:szCs w:val="20"/>
                <w:color w:val="auto"/>
              </w:rPr>
            </w:pPr>
            <w:r>
              <w:rPr>
                <w:rFonts w:ascii="Arial" w:cs="Arial" w:eastAsia="Arial" w:hAnsi="Arial"/>
                <w:sz w:val="18"/>
                <w:szCs w:val="18"/>
                <w:color w:val="auto"/>
              </w:rPr>
              <w:t>Unaudited Notes to Condensed Consolidated Financial Statements</w:t>
            </w: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Item 2.</w:t>
            </w:r>
          </w:p>
        </w:tc>
        <w:tc>
          <w:tcPr>
            <w:tcW w:w="9980" w:type="dxa"/>
            <w:vAlign w:val="bottom"/>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Item 3.</w:t>
            </w:r>
          </w:p>
        </w:tc>
        <w:tc>
          <w:tcPr>
            <w:tcW w:w="9980" w:type="dxa"/>
            <w:vAlign w:val="bottom"/>
          </w:tcPr>
          <w:p>
            <w:pPr>
              <w:ind w:left="100"/>
              <w:spacing w:after="0"/>
              <w:rPr>
                <w:sz w:val="20"/>
                <w:szCs w:val="20"/>
                <w:color w:val="auto"/>
              </w:rPr>
            </w:pPr>
            <w:r>
              <w:rPr>
                <w:rFonts w:ascii="Arial" w:cs="Arial" w:eastAsia="Arial" w:hAnsi="Arial"/>
                <w:sz w:val="18"/>
                <w:szCs w:val="18"/>
                <w:color w:val="auto"/>
              </w:rPr>
              <w:t>Quantitative and Qualitative Disclosures About Market Risk</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Item 4.</w:t>
            </w:r>
          </w:p>
        </w:tc>
        <w:tc>
          <w:tcPr>
            <w:tcW w:w="9980" w:type="dxa"/>
            <w:vAlign w:val="bottom"/>
          </w:tcPr>
          <w:p>
            <w:pPr>
              <w:ind w:left="100"/>
              <w:spacing w:after="0"/>
              <w:rPr>
                <w:sz w:val="20"/>
                <w:szCs w:val="20"/>
                <w:color w:val="auto"/>
              </w:rPr>
            </w:pPr>
            <w:r>
              <w:rPr>
                <w:rFonts w:ascii="Arial" w:cs="Arial" w:eastAsia="Arial" w:hAnsi="Arial"/>
                <w:sz w:val="18"/>
                <w:szCs w:val="18"/>
                <w:color w:val="auto"/>
              </w:rPr>
              <w:t>Controls and Procedures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80" w:type="dxa"/>
            <w:vAlign w:val="bottom"/>
          </w:tcPr>
          <w:p>
            <w:pPr>
              <w:ind w:left="100"/>
              <w:spacing w:after="0"/>
              <w:rPr>
                <w:sz w:val="20"/>
                <w:szCs w:val="20"/>
                <w:color w:val="auto"/>
              </w:rPr>
            </w:pPr>
            <w:r>
              <w:rPr>
                <w:rFonts w:ascii="Arial" w:cs="Arial" w:eastAsia="Arial" w:hAnsi="Arial"/>
                <w:sz w:val="18"/>
                <w:szCs w:val="18"/>
                <w:b w:val="1"/>
                <w:bCs w:val="1"/>
                <w:color w:val="auto"/>
              </w:rPr>
              <w:t>PART II - OTHER INFORMATION</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Item 1.</w:t>
            </w:r>
          </w:p>
        </w:tc>
        <w:tc>
          <w:tcPr>
            <w:tcW w:w="9980" w:type="dxa"/>
            <w:vAlign w:val="bottom"/>
          </w:tcPr>
          <w:p>
            <w:pPr>
              <w:ind w:left="100"/>
              <w:spacing w:after="0"/>
              <w:rPr>
                <w:sz w:val="20"/>
                <w:szCs w:val="20"/>
                <w:color w:val="auto"/>
              </w:rPr>
            </w:pPr>
            <w:r>
              <w:rPr>
                <w:rFonts w:ascii="Arial" w:cs="Arial" w:eastAsia="Arial" w:hAnsi="Arial"/>
                <w:sz w:val="18"/>
                <w:szCs w:val="18"/>
                <w:color w:val="auto"/>
              </w:rPr>
              <w:t>Legal Proceedings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Item 1A.</w:t>
            </w:r>
          </w:p>
        </w:tc>
        <w:tc>
          <w:tcPr>
            <w:tcW w:w="9980" w:type="dxa"/>
            <w:vAlign w:val="bottom"/>
          </w:tcPr>
          <w:p>
            <w:pPr>
              <w:ind w:left="100"/>
              <w:spacing w:after="0"/>
              <w:rPr>
                <w:sz w:val="20"/>
                <w:szCs w:val="20"/>
                <w:color w:val="auto"/>
              </w:rPr>
            </w:pPr>
            <w:r>
              <w:rPr>
                <w:rFonts w:ascii="Arial" w:cs="Arial" w:eastAsia="Arial" w:hAnsi="Arial"/>
                <w:sz w:val="18"/>
                <w:szCs w:val="18"/>
                <w:color w:val="auto"/>
              </w:rPr>
              <w:t>Risk Factors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Item 2.</w:t>
            </w:r>
          </w:p>
        </w:tc>
        <w:tc>
          <w:tcPr>
            <w:tcW w:w="9980" w:type="dxa"/>
            <w:vAlign w:val="bottom"/>
          </w:tcPr>
          <w:p>
            <w:pPr>
              <w:ind w:left="100"/>
              <w:spacing w:after="0"/>
              <w:rPr>
                <w:sz w:val="20"/>
                <w:szCs w:val="20"/>
                <w:color w:val="auto"/>
              </w:rPr>
            </w:pPr>
            <w:r>
              <w:rPr>
                <w:rFonts w:ascii="Arial" w:cs="Arial" w:eastAsia="Arial" w:hAnsi="Arial"/>
                <w:sz w:val="18"/>
                <w:szCs w:val="18"/>
                <w:color w:val="auto"/>
              </w:rPr>
              <w:t>Unregistered Sales of Equity Securities and Use of Proceeds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Item 3.</w:t>
            </w:r>
          </w:p>
        </w:tc>
        <w:tc>
          <w:tcPr>
            <w:tcW w:w="9980" w:type="dxa"/>
            <w:vAlign w:val="bottom"/>
          </w:tcPr>
          <w:p>
            <w:pPr>
              <w:ind w:left="100"/>
              <w:spacing w:after="0"/>
              <w:rPr>
                <w:sz w:val="20"/>
                <w:szCs w:val="20"/>
                <w:color w:val="auto"/>
              </w:rPr>
            </w:pPr>
            <w:r>
              <w:rPr>
                <w:rFonts w:ascii="Arial" w:cs="Arial" w:eastAsia="Arial" w:hAnsi="Arial"/>
                <w:sz w:val="18"/>
                <w:szCs w:val="18"/>
                <w:color w:val="auto"/>
              </w:rPr>
              <w:t>Defaults Upon Senior Securities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Item 4.</w:t>
            </w:r>
          </w:p>
        </w:tc>
        <w:tc>
          <w:tcPr>
            <w:tcW w:w="9980" w:type="dxa"/>
            <w:vAlign w:val="bottom"/>
          </w:tcPr>
          <w:p>
            <w:pPr>
              <w:ind w:left="100"/>
              <w:spacing w:after="0"/>
              <w:rPr>
                <w:sz w:val="20"/>
                <w:szCs w:val="20"/>
                <w:color w:val="auto"/>
              </w:rPr>
            </w:pPr>
            <w:r>
              <w:rPr>
                <w:rFonts w:ascii="Arial" w:cs="Arial" w:eastAsia="Arial" w:hAnsi="Arial"/>
                <w:sz w:val="18"/>
                <w:szCs w:val="18"/>
                <w:color w:val="auto"/>
              </w:rPr>
              <w:t>Mine Safety Disclosures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Item 5.</w:t>
            </w:r>
          </w:p>
        </w:tc>
        <w:tc>
          <w:tcPr>
            <w:tcW w:w="9980" w:type="dxa"/>
            <w:vAlign w:val="bottom"/>
          </w:tcPr>
          <w:p>
            <w:pPr>
              <w:ind w:left="100"/>
              <w:spacing w:after="0"/>
              <w:rPr>
                <w:sz w:val="20"/>
                <w:szCs w:val="20"/>
                <w:color w:val="auto"/>
              </w:rPr>
            </w:pPr>
            <w:r>
              <w:rPr>
                <w:rFonts w:ascii="Arial" w:cs="Arial" w:eastAsia="Arial" w:hAnsi="Arial"/>
                <w:sz w:val="18"/>
                <w:szCs w:val="18"/>
                <w:color w:val="auto"/>
              </w:rPr>
              <w:t>Other Information</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Item 6.</w:t>
            </w:r>
          </w:p>
        </w:tc>
        <w:tc>
          <w:tcPr>
            <w:tcW w:w="9980" w:type="dxa"/>
            <w:vAlign w:val="bottom"/>
          </w:tcPr>
          <w:p>
            <w:pPr>
              <w:ind w:left="100"/>
              <w:spacing w:after="0"/>
              <w:rPr>
                <w:sz w:val="20"/>
                <w:szCs w:val="20"/>
                <w:color w:val="auto"/>
              </w:rPr>
            </w:pPr>
            <w:r>
              <w:rPr>
                <w:rFonts w:ascii="Arial" w:cs="Arial" w:eastAsia="Arial" w:hAnsi="Arial"/>
                <w:sz w:val="18"/>
                <w:szCs w:val="18"/>
                <w:color w:val="auto"/>
              </w:rPr>
              <w:t>Exhibits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980" w:type="dxa"/>
            <w:vAlign w:val="bottom"/>
          </w:tcPr>
          <w:p>
            <w:pPr>
              <w:ind w:left="490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99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ind w:left="366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3,132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 of allowance for doubtful accounts of $491 and $472, respectively</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14,622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Distributor channel inventories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1,963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7,416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inventories, net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1,481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7,227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64,186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67,877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20" w:type="dxa"/>
            <w:vAlign w:val="bottom"/>
            <w:shd w:val="clear" w:color="auto" w:fill="CCEEFF"/>
          </w:tcPr>
          <w:p>
            <w:pPr>
              <w:ind w:left="20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1,975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Deferred product revenue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6,552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tcPr>
          <w:p>
            <w:pPr>
              <w:spacing w:after="0" w:line="201" w:lineRule="exact"/>
              <w:rPr>
                <w:sz w:val="20"/>
                <w:szCs w:val="20"/>
                <w:color w:val="auto"/>
              </w:rPr>
            </w:pPr>
            <w:r>
              <w:rPr>
                <w:rFonts w:ascii="Arial" w:cs="Arial" w:eastAsia="Arial" w:hAnsi="Arial"/>
                <w:sz w:val="18"/>
                <w:szCs w:val="18"/>
                <w:color w:val="auto"/>
                <w:w w:val="90"/>
              </w:rPr>
              <w:t>Common stock, par value $0.001, 50,000,000 shares authorized, 8,301,273 and 8,319,022 shares issued and</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ind w:left="320"/>
              <w:spacing w:after="0"/>
              <w:rPr>
                <w:sz w:val="20"/>
                <w:szCs w:val="20"/>
                <w:color w:val="auto"/>
              </w:rPr>
            </w:pPr>
            <w:r>
              <w:rPr>
                <w:rFonts w:ascii="Arial" w:cs="Arial" w:eastAsia="Arial" w:hAnsi="Arial"/>
                <w:sz w:val="18"/>
                <w:szCs w:val="18"/>
                <w:color w:val="auto"/>
              </w:rPr>
              <w:t>Total shareholders' equity</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56,874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56,567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64,186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7,289</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Cost of goods sold</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3,190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Sales and marketing</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2,868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1,617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(1,846)</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40" w:type="dxa"/>
            <w:vAlign w:val="bottom"/>
            <w:tcBorders>
              <w:top w:val="single" w:sz="8" w:color="CCEEFF"/>
            </w:tcBorders>
          </w:tcPr>
          <w:p>
            <w:pPr>
              <w:spacing w:after="0"/>
              <w:rPr>
                <w:sz w:val="17"/>
                <w:szCs w:val="17"/>
                <w:color w:val="auto"/>
              </w:rPr>
            </w:pPr>
          </w:p>
        </w:tc>
        <w:tc>
          <w:tcPr>
            <w:tcW w:w="16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8,307,125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8,768,112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8,307,125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8,768,112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Basic loss per share</w:t>
            </w: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(0.22)</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(0.22)</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(1,846)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 (loss) on available-for-sale securities, net of tax</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Change in foreign currency translation adjustment</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3280" w:type="dxa"/>
            <w:vAlign w:val="bottom"/>
            <w:gridSpan w:val="7"/>
          </w:tcPr>
          <w:p>
            <w:pPr>
              <w:jc w:val="right"/>
              <w:ind w:right="50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97"/>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(1,846)</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Depreciation and amortization expense</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deferred rent</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Provision for (recoveries of) doubtful accounts, net</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Change of inventory to net realizable value</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Tax benefit from exercise of stock options</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Receivables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Prepaid expenses and other assets</w:t>
            </w: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9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Deferred product revenue</w:t>
            </w: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long-term liabilities</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Purchase of intangibles</w:t>
            </w: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Capitalized patent defense costs</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(1,283)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Proceeds from maturities and sales of marketable securities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Purchases of marketable securities</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2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proceeds from equity-based compensation programs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Dividend payments</w:t>
            </w: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Repurchase and cancellation of stock</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2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right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40" w:type="dxa"/>
            <w:vAlign w:val="bottom"/>
            <w:gridSpan w:val="2"/>
          </w:tcPr>
          <w:p>
            <w:pPr>
              <w:spacing w:after="0"/>
              <w:rPr>
                <w:sz w:val="20"/>
                <w:szCs w:val="20"/>
                <w:color w:val="auto"/>
              </w:rPr>
            </w:pPr>
            <w:r>
              <w:rPr>
                <w:rFonts w:ascii="Arial" w:cs="Arial" w:eastAsia="Arial" w:hAnsi="Arial"/>
                <w:sz w:val="18"/>
                <w:szCs w:val="18"/>
                <w:color w:val="auto"/>
              </w:rPr>
              <w:t>Cash and cash equivalents at the end of the period</w:t>
            </w:r>
          </w:p>
        </w:tc>
        <w:tc>
          <w:tcPr>
            <w:tcW w:w="960" w:type="dxa"/>
            <w:vAlign w:val="bottom"/>
          </w:tcPr>
          <w:p>
            <w:pPr>
              <w:jc w:val="right"/>
              <w:ind w:right="79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5,577</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The following is a summary of supplemental cash flow activities:</w:t>
            </w: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6440" w:type="dxa"/>
            <w:vAlign w:val="bottom"/>
            <w:vMerge w:val="restart"/>
          </w:tcPr>
          <w:p>
            <w:pPr>
              <w:spacing w:after="0"/>
              <w:rPr>
                <w:sz w:val="20"/>
                <w:szCs w:val="20"/>
                <w:color w:val="auto"/>
              </w:rPr>
            </w:pPr>
            <w:r>
              <w:rPr>
                <w:rFonts w:ascii="Arial" w:cs="Arial" w:eastAsia="Arial" w:hAnsi="Arial"/>
                <w:sz w:val="18"/>
                <w:szCs w:val="18"/>
                <w:color w:val="auto"/>
              </w:rPr>
              <w:t>Cash paid for income taxes</w:t>
            </w:r>
          </w:p>
        </w:tc>
        <w:tc>
          <w:tcPr>
            <w:tcW w:w="17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440" w:type="dxa"/>
            <w:vAlign w:val="bottom"/>
            <w:vMerge w:val="continue"/>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8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ClearOne, Inc., together with its subsidiaries (collectively, “ClearOne” or the “Company”), is a global market leader enabling conferencing, collaboration, and network streaming solutions. The performance and simplicity of our advanced, comprehensive solutions offer unprecedented levels of functionality, reliability and scalability.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fiscal year for ClearOne is the 12 months ending on December 31. The consolidated financial statements include the accounts of ClearOne and its subsidiaries. All significant inter-company accounts and transactions have been eliminated.</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accompanying interim unaudited condensed consolidated financial statements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March 31, 2018 and December 31, 2017, the results of operations for the three months ended March 31, 2018 and 2017, and the cash flows for the three months ended March 31, 2018 and 2017. The results of operations for the three months ended March 31, 2018 and 2017 are not necessarily indicative of the results for a full-year period. These interim unaudited condensed consolidated financial statements should be read in conjunction with the financial statements included in our Annual Report on Form 10-K for the year ended December 31, 2017 filed with the SEC.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significant accounting policies were described in Note 1 to the audited consolidated financial statements included in the Company’s annual report on Form 10-K for the year ended December 31, 2017. There have been no changes to these policies during the three months ended March 31, 2018 that are of significance or potential significance to the Company except for the change in revenue recognition policy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Adoption of New Revenue Standard: </w:t>
      </w:r>
      <w:r>
        <w:rPr>
          <w:rFonts w:ascii="Arial" w:cs="Arial" w:eastAsia="Arial" w:hAnsi="Arial"/>
          <w:sz w:val="16"/>
          <w:szCs w:val="16"/>
          <w:color w:val="auto"/>
        </w:rPr>
        <w:t>On January 1, 2018, as required, the Company adopted ASU No. 2014-09 - Revenue from Contracts with Customers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(Topic 606) (“ASU 2014-09”), ASU No. 2015-14 - Revenue from Contracts with Customers (Topic 606): Deferral of the Effective Date (“ASU 2015-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 ASU No. 2016-08 - Revenue from Contracts with Customers (Topic 606): Principal versus Agent Considerations (“ASU 2016-08”), ASU No. 2016-10 -</w:t>
      </w:r>
    </w:p>
    <w:p>
      <w:pPr>
        <w:spacing w:after="0" w:line="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from Contracts with Customers (Topic 606): Identifying Performance Obligations and Licensing (“ASU 2016-10”), ASU No. 2016-12 - Revenue from Contracts with Customers (Topic 606): Narrow-Scope Improvements and Practical Expedients (“ASU 2016-12”) and ASU No. 2016-20 - Technical Corrections and Improvements to Topic 606, Revenue from Contracts with Customers” (“ASU 2016-20”) (collectively “the New Revenue Standard”). To conform to the New Revenue Standard, the Company modified its revenue recognition policy as described further below.</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Change in Accounting Policy: </w:t>
      </w:r>
      <w:r>
        <w:rPr>
          <w:rFonts w:ascii="Arial" w:cs="Arial" w:eastAsia="Arial" w:hAnsi="Arial"/>
          <w:sz w:val="18"/>
          <w:szCs w:val="18"/>
          <w:color w:val="auto"/>
        </w:rPr>
        <w:t>On January 1, 2018, the Company adopted the New Revenue Standard using the modified retrospective method, applying the</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to all open contracts and recognized an adjustment to increase retained earnings by $2,783, reduce deferred product revenue by $4,338 and reduce distributor channel inventories by $1,555 as of that date. The comparative financial information has not been restated and continues to be presented under the accounting standards in effect for the respective periods. The Company applied the practical expedient and has not disclosed the revenue allocated to future shipments of partially completed contracts.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 to our change in accounting policy, revenue from product sales to distributors was not recognized until the return privilege had expired or until it can be determined with reasonable certainty that the return privilege had expired, which approximated when the product was sold-through to customers of our distributors (dealers, system integrators, value-added resellers, and end-users), rather than when the product was initially shipped to a distributor. At each quarter-end, we evaluated the inventory in the distribution channel through information provided by our distributors. The level of inventory in the channel fluctuated up or down each quarter based upon our distributors’ individual operations. Accordingly, each quarter-end deferral of revenue and associated cost of goods sold were calculated and recorded based upon the actual channel inventory reported at quarter-end. Further, with respect to distributors and other channel partners not reporting the channel inventory, the revenue and associated cost of goods sold were deferred until we received payment for the product sales made to such distributors or channel partners.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the change in the accounting policy, substantially all of the Company’s revenue is recognized following the transfer of control of the products to the customer, which typically occurs upon shipment or delivery depending on the terms of the underlying contracts. During the quarter ended March 31, 2018, revenue decreased by $852 due to the impact of the adoption of the New Revenue Standard.</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Revenue Recognition Policy: </w:t>
      </w:r>
      <w:r>
        <w:rPr>
          <w:rFonts w:ascii="Arial" w:cs="Arial" w:eastAsia="Arial" w:hAnsi="Arial"/>
          <w:sz w:val="17"/>
          <w:szCs w:val="17"/>
          <w:color w:val="auto"/>
        </w:rPr>
        <w:t>The Company generates revenue from sales of its audio and video conferencing equipment to distributors, system integrators</w:t>
      </w:r>
      <w:r>
        <w:rPr>
          <w:rFonts w:ascii="Arial" w:cs="Arial" w:eastAsia="Arial" w:hAnsi="Arial"/>
          <w:sz w:val="17"/>
          <w:szCs w:val="17"/>
          <w:i w:val="1"/>
          <w:iCs w:val="1"/>
          <w:color w:val="auto"/>
        </w:rPr>
        <w:t xml:space="preserve"> </w:t>
      </w:r>
      <w:r>
        <w:rPr>
          <w:rFonts w:ascii="Arial" w:cs="Arial" w:eastAsia="Arial" w:hAnsi="Arial"/>
          <w:sz w:val="17"/>
          <w:szCs w:val="17"/>
          <w:color w:val="auto"/>
        </w:rPr>
        <w:t>and value-added resellers. The Company also generates revenue, to a much lesser extent, from sale of software and licenses to distributors, system integrators, value-added resellers and end-users. The Company recognizes revenue when it satisfies a performance obligation in an amount reflecting the consideration to which it expects to be entitled. For sales agreements, the Company has identified the promise to transfer products, each of which are distinct, to be the performance obligation. The Company applies a five-step approach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performance obligation is satisfied. Substantially all of the Company’s revenue is recognized at the time control of the products transfers to the customer.</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Sales agreements with customers are renewable periodically and contain terms and conditions with respect to payment, delivery, warranty and supply, but typically do not require mandatory purchase commitments. In the absence of a sales agreement, the Company’s standard terms and conditions at the time of acceptance of purchase orders apply. The Company considers the customer purchase orders, governed by sales agreements or the Company’s standard terms and conditions, to be the contract with the customer. The Company evaluates certain factors including the customer’s ability to pay (or credit risk).</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determining the transaction price, the Company evaluates whether the price is subject to refund or adjustment to determine the net consideration to which the Company expects to be entitled. Sales to distributors, are typically made pursuant to agreements that provide return rights with respect to discontinued or slow-moving products, referred to as stock rotation. Sales to distributors can also be subject to price adjustment on certain products, primarily for distributors with drop-shipping rights. Although payment terms vary, most distributor agreements require payment within 45 days of invoicing.</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recognizes revenue when it satisfies a performance obligation. The Company recognizes revenue from sales agreements upon transferring control of a product to the customer. This typically occurs when products are shipped or delivered, depending on the delivery terms, or when products that are consigned at customer locations are sold to dealers or end users. Revenue recognized during the quarter ended March 31, 2018 for equipment sales was $7,109 and for software and licenses was $180. Sales returns and allowances are estimated based on historical experience. Provisions for discounts and rebates to customers, estimated returns and allowances, ship and credit claims and other adjustments are provided for in the same period the related revenues are recognized, and are netted against revenues. For returns, the Company recognizes a related asset for the right to recover returned products with a corresponding reduction to cost of goods sold. The Company reviews warranty and related claims activity and records provisions, as necessary.</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Frequently, the Company receives orders with multiple delivery dates that may extend across reporting periods. Since each delivery constitutes a performance obligation, the Company allocates the transaction price of the contract to each performance obligation based on the stand-alone selling price of the products. The Company invoices the customer for each delivery upon shipment and recognizes revenues in accordance with delivery terms. Although payment terms vary, distributors typically pay within 45 days of invoicing and dealers pay within 30 days of invoicing. As scheduled delivery dates are within one year, revenue allocated to future shipments of partially completed contracts are not disclosed.</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elected to record freight and handling costs associated with outbound freight after control over a product has transferred to a customer as a fulfillment cost and include it in cost of revenues. Taxes assessed by government authorities on revenue-producing transactions, including value-added and excise taxes, are presented on a net basis (excluded from revenues) in the Consolidated Statements of Operations and Comprehensive Income.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February 2016, the FASB released ASU No. 2016-02, Leases (Topic 842) to bring transparency to lessee balance sheets. The ASU will require organizations that lease assets (lessees) to recognize assets and liabilities on the balance sheet for the rights and obligations created by all leases with terms of more than 12 months. The standard will apply to both types of leases-capital (or finance) leases and operating leases. Previously, GAAP has required only capital leases to be recognized on lessee balance sheets. The standard is effective for fiscal years beginning after December 15, 2018 and interim periods within fiscal years beginning after December 15, 2018. Early application will be permitted for all organizations. The Company has not yet selected a transition method and is currently evaluating the effect that the updated standard will have on the consolidated financial statements.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August 2016, the FASB released ASU No. 2016-15, Classification of Certain Cash Receipts and Cash Payments, which addresses eight specific cash flow issues with the objective of reducing the existing diversity in practice. ASU 2016-15 became effective for the Company on January 1, 2018. ASU 2016-15 had no material impact on our consolidated financial statements.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May 2017, the FASB issued ASU No. 2017-09, Compensation-Stock Compensation (Topic 718): Scope of Modification Accounting. The new guidance provides clarity and reduces both (1) diversity in practice and (2) cost and complexity when applying the guidance in Topic 718, Compensation-Stock Compensation, to a change to the terms or conditions of a share-based payment award. The accounting standard update became effective for the Company on January 1, 2018. ASU 2017-09 did not have any material impact on our consolidated financial statements.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the Company’s revenue into primary product groups:</w:t>
      </w:r>
    </w:p>
    <w:p>
      <w:pPr>
        <w:spacing w:after="0" w:line="221" w:lineRule="exact"/>
        <w:rPr>
          <w:sz w:val="20"/>
          <w:szCs w:val="20"/>
          <w:color w:val="auto"/>
        </w:rPr>
      </w:pPr>
    </w:p>
    <w:p>
      <w:pPr>
        <w:jc w:val="center"/>
        <w:ind w:left="5140"/>
        <w:spacing w:after="0"/>
        <w:rPr>
          <w:sz w:val="20"/>
          <w:szCs w:val="20"/>
          <w:color w:val="auto"/>
        </w:rPr>
      </w:pPr>
      <w:r>
        <w:rPr>
          <w:rFonts w:ascii="Arial" w:cs="Arial" w:eastAsia="Arial" w:hAnsi="Arial"/>
          <w:sz w:val="18"/>
          <w:szCs w:val="18"/>
          <w:b w:val="1"/>
          <w:bCs w:val="1"/>
          <w:color w:val="auto"/>
        </w:rPr>
        <w:t>Three months</w:t>
      </w:r>
    </w:p>
    <w:p>
      <w:pPr>
        <w:spacing w:after="0" w:line="27" w:lineRule="exact"/>
        <w:rPr>
          <w:sz w:val="20"/>
          <w:szCs w:val="20"/>
          <w:color w:val="auto"/>
        </w:rPr>
      </w:pPr>
    </w:p>
    <w:p>
      <w:pPr>
        <w:jc w:val="center"/>
        <w:ind w:left="5140"/>
        <w:spacing w:after="0"/>
        <w:rPr>
          <w:sz w:val="20"/>
          <w:szCs w:val="20"/>
          <w:color w:val="auto"/>
        </w:rPr>
      </w:pPr>
      <w:r>
        <w:rPr>
          <w:rFonts w:ascii="Arial" w:cs="Arial" w:eastAsia="Arial" w:hAnsi="Arial"/>
          <w:sz w:val="18"/>
          <w:szCs w:val="18"/>
          <w:b w:val="1"/>
          <w:bCs w:val="1"/>
          <w:color w:val="auto"/>
        </w:rPr>
        <w:t>ended March 31,</w:t>
      </w:r>
    </w:p>
    <w:p>
      <w:pPr>
        <w:spacing w:after="0" w:line="9" w:lineRule="exact"/>
        <w:rPr>
          <w:sz w:val="20"/>
          <w:szCs w:val="20"/>
          <w:color w:val="auto"/>
        </w:rPr>
      </w:pPr>
    </w:p>
    <w:p>
      <w:pPr>
        <w:jc w:val="center"/>
        <w:ind w:left="5140"/>
        <w:spacing w:after="0"/>
        <w:rPr>
          <w:sz w:val="20"/>
          <w:szCs w:val="20"/>
          <w:color w:val="auto"/>
        </w:rPr>
      </w:pPr>
      <w:r>
        <w:rPr>
          <w:rFonts w:ascii="Arial" w:cs="Arial" w:eastAsia="Arial" w:hAnsi="Arial"/>
          <w:sz w:val="18"/>
          <w:szCs w:val="18"/>
          <w:b w:val="1"/>
          <w:bCs w:val="1"/>
          <w:color w:val="auto"/>
        </w:rPr>
        <w:t>2018</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Professional audio products</w:t>
            </w: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4,933</w:t>
            </w:r>
          </w:p>
        </w:tc>
        <w:tc>
          <w:tcPr>
            <w:tcW w:w="8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Unified Communications end points</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1,036</w:t>
            </w:r>
          </w:p>
        </w:tc>
        <w:tc>
          <w:tcPr>
            <w:tcW w:w="80" w:type="dxa"/>
            <w:vAlign w:val="bottom"/>
          </w:tcPr>
          <w:p>
            <w:pPr>
              <w:spacing w:after="0"/>
              <w:rPr>
                <w:sz w:val="18"/>
                <w:szCs w:val="18"/>
                <w:color w:val="auto"/>
              </w:rPr>
            </w:pPr>
          </w:p>
        </w:tc>
      </w:tr>
      <w:tr>
        <w:trPr>
          <w:trHeight w:val="216"/>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Video products</w:t>
            </w:r>
          </w:p>
        </w:tc>
        <w:tc>
          <w:tcPr>
            <w:tcW w:w="6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7500" w:type="dxa"/>
            <w:vAlign w:val="bottom"/>
          </w:tcPr>
          <w:p>
            <w:pPr>
              <w:spacing w:after="0"/>
              <w:rPr>
                <w:sz w:val="18"/>
                <w:szCs w:val="18"/>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7,289</w:t>
            </w:r>
          </w:p>
        </w:tc>
        <w:tc>
          <w:tcPr>
            <w:tcW w:w="80" w:type="dxa"/>
            <w:vAlign w:val="bottom"/>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the Company’s revenue into major regions:</w:t>
      </w:r>
    </w:p>
    <w:p>
      <w:pPr>
        <w:spacing w:after="0" w:line="221" w:lineRule="exact"/>
        <w:rPr>
          <w:sz w:val="20"/>
          <w:szCs w:val="20"/>
          <w:color w:val="auto"/>
        </w:rPr>
      </w:pPr>
    </w:p>
    <w:p>
      <w:pPr>
        <w:jc w:val="center"/>
        <w:ind w:left="5140"/>
        <w:spacing w:after="0"/>
        <w:rPr>
          <w:sz w:val="20"/>
          <w:szCs w:val="20"/>
          <w:color w:val="auto"/>
        </w:rPr>
      </w:pPr>
      <w:r>
        <w:rPr>
          <w:rFonts w:ascii="Arial" w:cs="Arial" w:eastAsia="Arial" w:hAnsi="Arial"/>
          <w:sz w:val="18"/>
          <w:szCs w:val="18"/>
          <w:b w:val="1"/>
          <w:bCs w:val="1"/>
          <w:color w:val="auto"/>
        </w:rPr>
        <w:t>Three months</w:t>
      </w:r>
    </w:p>
    <w:p>
      <w:pPr>
        <w:spacing w:after="0" w:line="27" w:lineRule="exact"/>
        <w:rPr>
          <w:sz w:val="20"/>
          <w:szCs w:val="20"/>
          <w:color w:val="auto"/>
        </w:rPr>
      </w:pPr>
    </w:p>
    <w:p>
      <w:pPr>
        <w:jc w:val="center"/>
        <w:ind w:left="5140"/>
        <w:spacing w:after="0"/>
        <w:rPr>
          <w:sz w:val="20"/>
          <w:szCs w:val="20"/>
          <w:color w:val="auto"/>
        </w:rPr>
      </w:pPr>
      <w:r>
        <w:rPr>
          <w:rFonts w:ascii="Arial" w:cs="Arial" w:eastAsia="Arial" w:hAnsi="Arial"/>
          <w:sz w:val="18"/>
          <w:szCs w:val="18"/>
          <w:b w:val="1"/>
          <w:bCs w:val="1"/>
          <w:color w:val="auto"/>
        </w:rPr>
        <w:t>ended March 31,</w:t>
      </w:r>
    </w:p>
    <w:p>
      <w:pPr>
        <w:spacing w:after="0" w:line="9" w:lineRule="exact"/>
        <w:rPr>
          <w:sz w:val="20"/>
          <w:szCs w:val="20"/>
          <w:color w:val="auto"/>
        </w:rPr>
      </w:pPr>
    </w:p>
    <w:p>
      <w:pPr>
        <w:jc w:val="center"/>
        <w:ind w:left="5140"/>
        <w:spacing w:after="0"/>
        <w:rPr>
          <w:sz w:val="20"/>
          <w:szCs w:val="20"/>
          <w:color w:val="auto"/>
        </w:rPr>
      </w:pPr>
      <w:r>
        <w:rPr>
          <w:rFonts w:ascii="Arial" w:cs="Arial" w:eastAsia="Arial" w:hAnsi="Arial"/>
          <w:sz w:val="18"/>
          <w:szCs w:val="18"/>
          <w:b w:val="1"/>
          <w:bCs w:val="1"/>
          <w:color w:val="auto"/>
        </w:rPr>
        <w:t>2018</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North and South America</w:t>
            </w: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w:t>
            </w:r>
          </w:p>
        </w:tc>
        <w:tc>
          <w:tcPr>
            <w:tcW w:w="8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Asia (including Middle East) and Australia</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2,038</w:t>
            </w:r>
          </w:p>
        </w:tc>
        <w:tc>
          <w:tcPr>
            <w:tcW w:w="80" w:type="dxa"/>
            <w:vAlign w:val="bottom"/>
          </w:tcPr>
          <w:p>
            <w:pPr>
              <w:spacing w:after="0"/>
              <w:rPr>
                <w:sz w:val="18"/>
                <w:szCs w:val="18"/>
                <w:color w:val="auto"/>
              </w:rPr>
            </w:pPr>
          </w:p>
        </w:tc>
      </w:tr>
      <w:tr>
        <w:trPr>
          <w:trHeight w:val="216"/>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Europe and Africa</w:t>
            </w:r>
          </w:p>
        </w:tc>
        <w:tc>
          <w:tcPr>
            <w:tcW w:w="6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7500" w:type="dxa"/>
            <w:vAlign w:val="bottom"/>
          </w:tcPr>
          <w:p>
            <w:pPr>
              <w:spacing w:after="0"/>
              <w:rPr>
                <w:sz w:val="18"/>
                <w:szCs w:val="18"/>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7,289</w:t>
            </w:r>
          </w:p>
        </w:tc>
        <w:tc>
          <w:tcPr>
            <w:tcW w:w="80" w:type="dxa"/>
            <w:vAlign w:val="bottom"/>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Share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Earnings (loss) per common share is computed based on the weighted-average number of common shares outstanding and, when appropriate, dilutive potential common stock outstanding during the period. Stock options are considered to be potential common stock. The computation of diluted earnings (loss) per share does not assume exercise or conversion of securities that would have an anti-dilutive effect.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(loss) per common share is the amount of net earnings (loss) for the period available to each weighted-average share of common stock outstanding during the reporting period. Diluted earnings (loss) per common share is the amount of earnings (loss) for the period available to each weighted-average share of common stock outstanding during the reporting period and to each share of potential common stock outstanding during the period, unless inclusion of potential common stock would have an anti-dilutive effect.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gridSpan w:val="3"/>
          </w:tcPr>
          <w:p>
            <w:pPr>
              <w:spacing w:after="0"/>
              <w:rPr>
                <w:sz w:val="20"/>
                <w:szCs w:val="20"/>
                <w:color w:val="auto"/>
              </w:rPr>
            </w:pPr>
            <w:r>
              <w:rPr>
                <w:rFonts w:ascii="Arial" w:cs="Arial" w:eastAsia="Arial" w:hAnsi="Arial"/>
                <w:sz w:val="18"/>
                <w:szCs w:val="18"/>
                <w:color w:val="auto"/>
                <w:w w:val="90"/>
              </w:rPr>
              <w:t>The following table sets forth the computation of basic and diluted earnings (loss) per common share:</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4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89"/>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(1,846)</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Basic weighted average shares outstanding</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8,307,125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8,768,112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common stock equivalents using treasury stock method</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gridSpan w:val="2"/>
          </w:tcPr>
          <w:p>
            <w:pPr>
              <w:spacing w:after="0"/>
              <w:rPr>
                <w:sz w:val="20"/>
                <w:szCs w:val="20"/>
                <w:color w:val="auto"/>
              </w:rPr>
            </w:pPr>
            <w:r>
              <w:rPr>
                <w:rFonts w:ascii="Arial" w:cs="Arial" w:eastAsia="Arial" w:hAnsi="Arial"/>
                <w:sz w:val="18"/>
                <w:szCs w:val="18"/>
                <w:color w:val="auto"/>
              </w:rPr>
              <w:t>Diluted weighted average shares outstanding</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8,307,125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8,768,112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Basic loss per common share</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(0.22)</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common share</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(0.22)</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options outstanding</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748,078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847,731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Anti-dilutive options not included in the computations</w:t>
            </w: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748,078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847,731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classified its marketable securities as available-for-sale securities. These securities are carried at estimated fair value with unrealized holding gains and losses included in accumulated other comprehensive income (loss) in stockholders’ equity until realized. Gains and losses on marketable security transactions are reported on the specific-identification method. Dividend and interest income are recognized when earned.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securities at March 31, 2018 and December 31, 2017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unrealized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4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cost</w:t>
            </w:r>
          </w:p>
        </w:tc>
        <w:tc>
          <w:tcPr>
            <w:tcW w:w="120" w:type="dxa"/>
            <w:vAlign w:val="bottom"/>
          </w:tcPr>
          <w:p>
            <w:pPr>
              <w:spacing w:after="0"/>
              <w:rPr>
                <w:sz w:val="20"/>
                <w:szCs w:val="20"/>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holding gains</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4"/>
              </w:rPr>
              <w:t>holding losses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fair value</w:t>
            </w: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2018</w:t>
            </w:r>
          </w:p>
        </w:tc>
        <w:tc>
          <w:tcPr>
            <w:tcW w:w="17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 and notes</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5,972</w:t>
            </w:r>
          </w:p>
        </w:tc>
      </w:tr>
      <w:tr>
        <w:trPr>
          <w:trHeight w:val="216"/>
        </w:trPr>
        <w:tc>
          <w:tcPr>
            <w:tcW w:w="4320" w:type="dxa"/>
            <w:vAlign w:val="bottom"/>
          </w:tcPr>
          <w:p>
            <w:pPr>
              <w:ind w:left="340"/>
              <w:spacing w:after="0"/>
              <w:rPr>
                <w:sz w:val="20"/>
                <w:szCs w:val="20"/>
                <w:color w:val="auto"/>
              </w:rPr>
            </w:pPr>
            <w:r>
              <w:rPr>
                <w:rFonts w:ascii="Arial" w:cs="Arial" w:eastAsia="Arial" w:hAnsi="Arial"/>
                <w:sz w:val="18"/>
                <w:szCs w:val="18"/>
                <w:color w:val="auto"/>
              </w:rPr>
              <w:t>Municipal bonds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4,576</w:t>
            </w:r>
          </w:p>
        </w:tc>
      </w:tr>
      <w:tr>
        <w:trPr>
          <w:trHeight w:val="20"/>
        </w:trPr>
        <w:tc>
          <w:tcPr>
            <w:tcW w:w="4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available-for-sale securities</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10,548</w:t>
            </w:r>
          </w:p>
        </w:tc>
      </w:tr>
      <w:tr>
        <w:trPr>
          <w:trHeight w:val="20"/>
        </w:trPr>
        <w:tc>
          <w:tcPr>
            <w:tcW w:w="43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unrealized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4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cost</w:t>
            </w:r>
          </w:p>
        </w:tc>
        <w:tc>
          <w:tcPr>
            <w:tcW w:w="120" w:type="dxa"/>
            <w:vAlign w:val="bottom"/>
          </w:tcPr>
          <w:p>
            <w:pPr>
              <w:spacing w:after="0"/>
              <w:rPr>
                <w:sz w:val="20"/>
                <w:szCs w:val="20"/>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holding gains</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4"/>
              </w:rPr>
              <w:t>holding losses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fair value</w:t>
            </w: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17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 and notes</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8,428</w:t>
            </w:r>
          </w:p>
        </w:tc>
      </w:tr>
      <w:tr>
        <w:trPr>
          <w:trHeight w:val="216"/>
        </w:trPr>
        <w:tc>
          <w:tcPr>
            <w:tcW w:w="4320" w:type="dxa"/>
            <w:vAlign w:val="bottom"/>
          </w:tcPr>
          <w:p>
            <w:pPr>
              <w:ind w:left="340"/>
              <w:spacing w:after="0"/>
              <w:rPr>
                <w:sz w:val="20"/>
                <w:szCs w:val="20"/>
                <w:color w:val="auto"/>
              </w:rPr>
            </w:pPr>
            <w:r>
              <w:rPr>
                <w:rFonts w:ascii="Arial" w:cs="Arial" w:eastAsia="Arial" w:hAnsi="Arial"/>
                <w:sz w:val="18"/>
                <w:szCs w:val="18"/>
                <w:color w:val="auto"/>
              </w:rPr>
              <w:t>Municipal bonds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4,610</w:t>
            </w:r>
          </w:p>
        </w:tc>
      </w:tr>
      <w:tr>
        <w:trPr>
          <w:trHeight w:val="20"/>
        </w:trPr>
        <w:tc>
          <w:tcPr>
            <w:tcW w:w="4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available-for-sale securities</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13,038</w:t>
            </w:r>
          </w:p>
        </w:tc>
      </w:tr>
      <w:tr>
        <w:trPr>
          <w:trHeight w:val="20"/>
        </w:trPr>
        <w:tc>
          <w:tcPr>
            <w:tcW w:w="43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Maturities of marketable securities classified as available-for-sale securities were as follows at March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Estimated fair</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value</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2018</w:t>
            </w:r>
          </w:p>
        </w:tc>
        <w:tc>
          <w:tcPr>
            <w:tcW w:w="3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340"/>
              <w:spacing w:after="0"/>
              <w:rPr>
                <w:sz w:val="20"/>
                <w:szCs w:val="20"/>
                <w:color w:val="auto"/>
              </w:rPr>
            </w:pPr>
            <w:r>
              <w:rPr>
                <w:rFonts w:ascii="Arial" w:cs="Arial" w:eastAsia="Arial" w:hAnsi="Arial"/>
                <w:sz w:val="18"/>
                <w:szCs w:val="18"/>
                <w:color w:val="auto"/>
              </w:rPr>
              <w:t>Due within one year</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3,145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3,132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Due after one year through five years</w:t>
            </w:r>
          </w:p>
        </w:tc>
        <w:tc>
          <w:tcPr>
            <w:tcW w:w="3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shd w:val="clear" w:color="auto" w:fill="CCEEFF"/>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tcPr>
          <w:p>
            <w:pPr>
              <w:ind w:left="180"/>
              <w:spacing w:after="0"/>
              <w:rPr>
                <w:sz w:val="20"/>
                <w:szCs w:val="20"/>
                <w:color w:val="auto"/>
              </w:rPr>
            </w:pPr>
            <w:r>
              <w:rPr>
                <w:rFonts w:ascii="Arial" w:cs="Arial" w:eastAsia="Arial" w:hAnsi="Arial"/>
                <w:sz w:val="18"/>
                <w:szCs w:val="18"/>
                <w:color w:val="auto"/>
              </w:rPr>
              <w:t>Total available-for-sale securities</w:t>
            </w:r>
          </w:p>
        </w:tc>
        <w:tc>
          <w:tcPr>
            <w:tcW w:w="3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10,653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10,548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140" w:type="dxa"/>
            <w:vAlign w:val="bottom"/>
            <w:vMerge w:val="restart"/>
          </w:tcPr>
          <w:p>
            <w:pPr>
              <w:jc w:val="right"/>
              <w:ind w:right="1630"/>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4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auto"/>
            </w:tcBorders>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Debt securities in an unrealized loss position as of March 31, 2018 were not deemed impaired at acquisition and subsequent declines in fair value are not deemed attributed to declines in credit quality. Management believes that it is more likely than not that the securities will receive a full recovery of par value, although there can be no assurance that such recovery will occur. The available-for-sale marketable securities with continuous gross unrealized loss position for less than 12 months and 12 months or greater and their related fair values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Less than 12 months</w:t>
            </w:r>
          </w:p>
        </w:tc>
        <w:tc>
          <w:tcPr>
            <w:tcW w:w="240" w:type="dxa"/>
            <w:vAlign w:val="bottom"/>
          </w:tcPr>
          <w:p>
            <w:pPr>
              <w:spacing w:after="0"/>
              <w:rPr>
                <w:sz w:val="20"/>
                <w:szCs w:val="20"/>
                <w:color w:val="auto"/>
              </w:rPr>
            </w:pPr>
          </w:p>
        </w:tc>
        <w:tc>
          <w:tcPr>
            <w:tcW w:w="24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More than 12 months</w:t>
            </w:r>
          </w:p>
        </w:tc>
        <w:tc>
          <w:tcPr>
            <w:tcW w:w="240" w:type="dxa"/>
            <w:vAlign w:val="bottom"/>
          </w:tcPr>
          <w:p>
            <w:pPr>
              <w:spacing w:after="0"/>
              <w:rPr>
                <w:sz w:val="20"/>
                <w:szCs w:val="20"/>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Estimated fair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Estimated fair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Estimated fair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unrealized</w:t>
            </w:r>
          </w:p>
        </w:tc>
      </w:tr>
      <w:tr>
        <w:trPr>
          <w:trHeight w:val="234"/>
        </w:trPr>
        <w:tc>
          <w:tcPr>
            <w:tcW w:w="33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240" w:type="dxa"/>
            <w:vAlign w:val="bottom"/>
          </w:tcPr>
          <w:p>
            <w:pPr>
              <w:spacing w:after="0"/>
              <w:rPr>
                <w:sz w:val="20"/>
                <w:szCs w:val="20"/>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4"/>
              </w:rPr>
              <w:t>holding losses</w:t>
            </w:r>
          </w:p>
        </w:tc>
        <w:tc>
          <w:tcPr>
            <w:tcW w:w="24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4"/>
              </w:rPr>
              <w:t>holding losses</w:t>
            </w:r>
          </w:p>
        </w:tc>
        <w:tc>
          <w:tcPr>
            <w:tcW w:w="24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4"/>
              </w:rPr>
              <w:t>holding losses</w:t>
            </w: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March 31, 2018</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Corporate bonds and notes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3,106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6,303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2,952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r>
      <w:tr>
        <w:trPr>
          <w:trHeight w:val="20"/>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March 31, 2018 and December 31, 2017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Estimated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useful</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lives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March 31,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70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Tradename</w:t>
            </w: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5 to 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555</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Patents and technological know-how</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9,923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8,578</w:t>
            </w:r>
          </w:p>
        </w:tc>
        <w:tc>
          <w:tcPr>
            <w:tcW w:w="8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Proprietary software</w:t>
            </w: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 to 15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8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Other</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3 to 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323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323</w:t>
            </w:r>
          </w:p>
        </w:tc>
      </w:tr>
      <w:tr>
        <w:trPr>
          <w:trHeight w:val="20"/>
        </w:trPr>
        <w:tc>
          <w:tcPr>
            <w:tcW w:w="4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intangible assets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13,782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12,437</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(6,142)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(5,894)</w:t>
            </w: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intangible assets, net</w:t>
            </w: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6,543</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 assets for the three months ended March 31, 2018 and 2017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8"/>
          </w:tcPr>
          <w:p>
            <w:pPr>
              <w:ind w:left="200"/>
              <w:spacing w:after="0"/>
              <w:rPr>
                <w:sz w:val="20"/>
                <w:szCs w:val="20"/>
                <w:color w:val="auto"/>
              </w:rPr>
            </w:pPr>
            <w:r>
              <w:rPr>
                <w:rFonts w:ascii="Arial" w:cs="Arial" w:eastAsia="Arial" w:hAnsi="Arial"/>
                <w:sz w:val="18"/>
                <w:szCs w:val="18"/>
                <w:b w:val="1"/>
                <w:bCs w:val="1"/>
                <w:color w:val="auto"/>
              </w:rPr>
              <w:t>Three months ended March 31,</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248</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660" w:type="dxa"/>
            <w:vAlign w:val="bottom"/>
            <w:gridSpan w:val="2"/>
          </w:tcPr>
          <w:p>
            <w:pPr>
              <w:spacing w:after="0"/>
              <w:rPr>
                <w:sz w:val="20"/>
                <w:szCs w:val="20"/>
                <w:color w:val="auto"/>
              </w:rPr>
            </w:pPr>
            <w:r>
              <w:rPr>
                <w:rFonts w:ascii="Arial" w:cs="Arial" w:eastAsia="Arial" w:hAnsi="Arial"/>
                <w:sz w:val="18"/>
                <w:szCs w:val="18"/>
                <w:color w:val="auto"/>
                <w:w w:val="92"/>
              </w:rPr>
              <w:t>The estimated future amortization expense of intangible assets is as follows: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vMerge w:val="restart"/>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Years ending December 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Amount</w:t>
            </w:r>
          </w:p>
        </w:tc>
        <w:tc>
          <w:tcPr>
            <w:tcW w:w="5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2018 (Remainder)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750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746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746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7,640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5"/>
                <w:szCs w:val="15"/>
                <w:color w:val="auto"/>
                <w:w w:val="71"/>
              </w:rPr>
              <w:t>10</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6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as of March 31, 2018 and December 31, 2017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As of</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March 31, 2018</w:t>
            </w:r>
          </w:p>
        </w:tc>
        <w:tc>
          <w:tcPr>
            <w:tcW w:w="10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 2017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2,204</w:t>
            </w:r>
          </w:p>
        </w:tc>
        <w:tc>
          <w:tcPr>
            <w:tcW w:w="66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Finished goods</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14,622</w:t>
            </w:r>
          </w:p>
        </w:tc>
        <w:tc>
          <w:tcPr>
            <w:tcW w:w="66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14,415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8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Long-term:</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Raw materials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2,453</w:t>
            </w:r>
          </w:p>
        </w:tc>
        <w:tc>
          <w:tcPr>
            <w:tcW w:w="6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6,112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8,565</w:t>
            </w:r>
          </w:p>
        </w:tc>
        <w:tc>
          <w:tcPr>
            <w:tcW w:w="6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Long-term inventory represents inventory held in excess of our current (next 12 months) requirements based on our recent sales and forecasted level of sales. We expect to sell the above inventory, net of reserves, at or above the stated cost and believe that no loss will be incurred on its sale, although there can be no assurance of the timing or amount of any sales.</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Current finished goods did not include distributor channel inventories in the amounts of approximately $1,555 as of December 31, 2017. Distributor channel inventories represented inventories at distributors and other customers where revenue recognition criteria had not yet been achieved.</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loss incurred on valuation of inventory at lower of cost or market value and write-off of obsolete inventory during the three months ended March 31, 2018 was $255. During the three months ended March 31, 2017 benefit from the reduction of reserves for valuation of inventory at lower of cost or market value was $34.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Option Plans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share-based incentive plans offering stock options are offered under the Company’s 2007 Equity Incentive Plan (the “2007 Plan”), which was restated and approved by the shareholders on December 12, 2015. Provisions of the restated 2007 Plan include the granting of up to 2,000,000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 As of March 31, 2018, there were 744,936 options outstanding under the 2007 Plan. As of March 31, 2018, the 2007 Plan had 749,158 authorized unissued options.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under the Company’s plans for the nine months ended March 31, 2018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Number of shares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 price</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at beginning of year</w:t>
            </w:r>
          </w:p>
        </w:tc>
        <w:tc>
          <w:tcPr>
            <w:tcW w:w="4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764,430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80"/>
              <w:spacing w:after="0"/>
              <w:rPr>
                <w:sz w:val="20"/>
                <w:szCs w:val="20"/>
                <w:color w:val="auto"/>
              </w:rPr>
            </w:pPr>
            <w:r>
              <w:rPr>
                <w:rFonts w:ascii="Arial" w:cs="Arial" w:eastAsia="Arial" w:hAnsi="Arial"/>
                <w:sz w:val="18"/>
                <w:szCs w:val="18"/>
                <w:color w:val="auto"/>
              </w:rPr>
              <w:t>Granted</w:t>
            </w:r>
          </w:p>
        </w:tc>
        <w:tc>
          <w:tcPr>
            <w:tcW w:w="294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29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294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 prior to vesting</w:t>
            </w:r>
          </w:p>
        </w:tc>
        <w:tc>
          <w:tcPr>
            <w:tcW w:w="4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(18,012)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80"/>
              <w:spacing w:after="0"/>
              <w:rPr>
                <w:sz w:val="20"/>
                <w:szCs w:val="20"/>
                <w:color w:val="auto"/>
              </w:rPr>
            </w:pPr>
            <w:r>
              <w:rPr>
                <w:rFonts w:ascii="Arial" w:cs="Arial" w:eastAsia="Arial" w:hAnsi="Arial"/>
                <w:sz w:val="18"/>
                <w:szCs w:val="18"/>
                <w:color w:val="auto"/>
              </w:rPr>
              <w:t>Canceled or expired</w:t>
            </w:r>
          </w:p>
        </w:tc>
        <w:tc>
          <w:tcPr>
            <w:tcW w:w="294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(1,482)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at March 31, 2018</w:t>
            </w:r>
          </w:p>
        </w:tc>
        <w:tc>
          <w:tcPr>
            <w:tcW w:w="29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744,936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Options exercisable at end of March 31, 2018</w:t>
            </w:r>
          </w:p>
        </w:tc>
        <w:tc>
          <w:tcPr>
            <w:tcW w:w="4600" w:type="dxa"/>
            <w:vAlign w:val="bottom"/>
            <w:gridSpan w:val="3"/>
          </w:tcPr>
          <w:p>
            <w:pPr>
              <w:jc w:val="right"/>
              <w:ind w:right="140"/>
              <w:spacing w:after="0" w:line="196" w:lineRule="exact"/>
              <w:rPr>
                <w:sz w:val="20"/>
                <w:szCs w:val="20"/>
                <w:color w:val="auto"/>
              </w:rPr>
            </w:pPr>
            <w:r>
              <w:rPr>
                <w:rFonts w:ascii="Arial" w:cs="Arial" w:eastAsia="Arial" w:hAnsi="Arial"/>
                <w:sz w:val="18"/>
                <w:szCs w:val="18"/>
                <w:color w:val="auto"/>
              </w:rPr>
              <w:t>550,509</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8.02</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940" w:type="dxa"/>
            <w:vAlign w:val="bottom"/>
            <w:vMerge w:val="restart"/>
          </w:tcPr>
          <w:p>
            <w:pPr>
              <w:jc w:val="right"/>
              <w:ind w:right="1590"/>
              <w:spacing w:after="0"/>
              <w:rPr>
                <w:sz w:val="20"/>
                <w:szCs w:val="20"/>
                <w:color w:val="auto"/>
              </w:rPr>
            </w:pPr>
            <w:r>
              <w:rPr>
                <w:rFonts w:ascii="Arial" w:cs="Arial" w:eastAsia="Arial" w:hAnsi="Arial"/>
                <w:sz w:val="18"/>
                <w:szCs w:val="18"/>
                <w:color w:val="auto"/>
              </w:rPr>
              <w:t>11</w:t>
            </w: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52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2018, the total remaining unrecognized compensation cost related to non-vested stock options, net of forfeitures, was approximately $632, which will be recognized over a weighted average period of 1.63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Share-based compensation expense has been recorded as follows:</w:t>
            </w: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780" w:type="dxa"/>
            <w:vAlign w:val="bottom"/>
          </w:tcPr>
          <w:p>
            <w:pPr>
              <w:spacing w:after="0"/>
              <w:rPr>
                <w:sz w:val="24"/>
                <w:szCs w:val="24"/>
                <w:color w:val="auto"/>
              </w:rPr>
            </w:pPr>
          </w:p>
        </w:tc>
        <w:tc>
          <w:tcPr>
            <w:tcW w:w="29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5780" w:type="dxa"/>
            <w:vAlign w:val="bottom"/>
          </w:tcPr>
          <w:p>
            <w:pPr>
              <w:spacing w:after="0"/>
              <w:rPr>
                <w:sz w:val="18"/>
                <w:szCs w:val="18"/>
                <w:color w:val="auto"/>
              </w:rPr>
            </w:pP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120" w:type="dxa"/>
            <w:vAlign w:val="bottom"/>
            <w:shd w:val="clear" w:color="auto" w:fill="CCEEFF"/>
          </w:tcPr>
          <w:p>
            <w:pPr>
              <w:jc w:val="right"/>
              <w:ind w:right="957"/>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28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Sales and marketing</w:t>
            </w:r>
          </w:p>
        </w:tc>
        <w:tc>
          <w:tcPr>
            <w:tcW w:w="11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1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r>
      <w:tr>
        <w:trPr>
          <w:trHeight w:val="20"/>
        </w:trPr>
        <w:tc>
          <w:tcPr>
            <w:tcW w:w="57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7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57"/>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128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w:t>
            </w: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9, 2016, the Board of Directors of the Company authorized the repurchase of up to $10,000 of the Company’s outstanding shares of common stock under a stock repurchase program. In connection with the repurchase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The transactions effectuated to date occurred in open market purchases.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 2017, the Board of Directors of the Company renewed and extended the repurchase program for up to an additional $10,000 of common stock over the next twelve months. In connection with the repurchase extension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The transactions effectuated to date occurred in open market purchases.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2018, we acquired the following shares of common stock under the stock repurchase program authorized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in March 2016 and renewed and extended in March 2017: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Total Number of Shares</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Purchased as Part of</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 Number of Shares</w:t>
            </w: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Publicly Announced Plans or</w:t>
            </w:r>
          </w:p>
        </w:tc>
      </w:tr>
      <w:tr>
        <w:trPr>
          <w:trHeight w:val="234"/>
        </w:trPr>
        <w:tc>
          <w:tcPr>
            <w:tcW w:w="20" w:type="dxa"/>
            <w:vAlign w:val="bottom"/>
          </w:tcPr>
          <w:p>
            <w:pPr>
              <w:spacing w:after="0"/>
              <w:rPr>
                <w:sz w:val="20"/>
                <w:szCs w:val="20"/>
                <w:color w:val="auto"/>
              </w:rPr>
            </w:pPr>
          </w:p>
        </w:tc>
        <w:tc>
          <w:tcPr>
            <w:tcW w:w="3520" w:type="dxa"/>
            <w:vAlign w:val="bottom"/>
            <w:tcBorders>
              <w:bottom w:val="single" w:sz="8" w:color="auto"/>
            </w:tcBorders>
          </w:tcPr>
          <w:p>
            <w:pPr>
              <w:ind w:left="150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24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Purchased</w:t>
            </w:r>
          </w:p>
        </w:tc>
        <w:tc>
          <w:tcPr>
            <w:tcW w:w="240" w:type="dxa"/>
            <w:vAlign w:val="bottom"/>
          </w:tcPr>
          <w:p>
            <w:pPr>
              <w:spacing w:after="0"/>
              <w:rPr>
                <w:sz w:val="20"/>
                <w:szCs w:val="20"/>
                <w:color w:val="auto"/>
              </w:rPr>
            </w:pPr>
          </w:p>
        </w:tc>
        <w:tc>
          <w:tcPr>
            <w:tcW w:w="23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1"/>
              </w:rPr>
              <w:t>Average Price Paid per Share</w:t>
            </w:r>
          </w:p>
        </w:tc>
        <w:tc>
          <w:tcPr>
            <w:tcW w:w="220" w:type="dxa"/>
            <w:vAlign w:val="bottom"/>
          </w:tcPr>
          <w:p>
            <w:pPr>
              <w:spacing w:after="0"/>
              <w:rPr>
                <w:sz w:val="20"/>
                <w:szCs w:val="20"/>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Jan 2018</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w:t>
            </w:r>
          </w:p>
        </w:tc>
        <w:tc>
          <w:tcPr>
            <w:tcW w:w="2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8,652</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February 2018</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7,019</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8.26</w:t>
            </w:r>
          </w:p>
        </w:tc>
        <w:tc>
          <w:tcPr>
            <w:tcW w:w="2500" w:type="dxa"/>
            <w:vAlign w:val="bottom"/>
            <w:gridSpan w:val="2"/>
          </w:tcPr>
          <w:p>
            <w:pPr>
              <w:jc w:val="right"/>
              <w:ind w:right="100"/>
              <w:spacing w:after="0"/>
              <w:rPr>
                <w:sz w:val="20"/>
                <w:szCs w:val="20"/>
                <w:color w:val="auto"/>
              </w:rPr>
            </w:pPr>
            <w:r>
              <w:rPr>
                <w:rFonts w:ascii="Arial" w:cs="Arial" w:eastAsia="Arial" w:hAnsi="Arial"/>
                <w:sz w:val="18"/>
                <w:szCs w:val="18"/>
                <w:color w:val="auto"/>
              </w:rPr>
              <w:t>7,019</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March 2018</w:t>
            </w:r>
          </w:p>
        </w:tc>
        <w:tc>
          <w:tcPr>
            <w:tcW w:w="120" w:type="dxa"/>
            <w:vAlign w:val="bottom"/>
            <w:shd w:val="clear" w:color="auto" w:fill="CCEEFF"/>
          </w:tcPr>
          <w:p>
            <w:pPr>
              <w:spacing w:after="0"/>
              <w:rPr>
                <w:sz w:val="18"/>
                <w:szCs w:val="18"/>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w:t>
            </w:r>
          </w:p>
        </w:tc>
        <w:tc>
          <w:tcPr>
            <w:tcW w:w="2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1,878</w:t>
            </w:r>
          </w:p>
        </w:tc>
      </w:tr>
      <w:tr>
        <w:trPr>
          <w:trHeight w:val="20"/>
        </w:trPr>
        <w:tc>
          <w:tcPr>
            <w:tcW w:w="20" w:type="dxa"/>
            <w:vAlign w:val="bottom"/>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17,549</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8.39</w:t>
            </w:r>
          </w:p>
        </w:tc>
        <w:tc>
          <w:tcPr>
            <w:tcW w:w="2500" w:type="dxa"/>
            <w:vAlign w:val="bottom"/>
            <w:gridSpan w:val="2"/>
          </w:tcPr>
          <w:p>
            <w:pPr>
              <w:jc w:val="right"/>
              <w:ind w:right="100"/>
              <w:spacing w:after="0"/>
              <w:rPr>
                <w:sz w:val="20"/>
                <w:szCs w:val="20"/>
                <w:color w:val="auto"/>
              </w:rPr>
            </w:pPr>
            <w:r>
              <w:rPr>
                <w:rFonts w:ascii="Arial" w:cs="Arial" w:eastAsia="Arial" w:hAnsi="Arial"/>
                <w:sz w:val="18"/>
                <w:szCs w:val="18"/>
                <w:color w:val="auto"/>
              </w:rPr>
              <w:t>17,549</w:t>
            </w: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Upon expiry of this repurchase program in March 2018, the program was not renewed again.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21, 2018, the Company declared a cash dividend of $0.07 per share of ClearOne common stock. The dividend was paid on March 21, 2018 to shareholders of record as of March 7, 2018. On June 13, 2018, the Company announced the suspension of its dividend program.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substantial majority of the Company’s financial instruments are valued using observable inputs. The following table sets forth the fair value of the financial instruments re-measured by the Company as of March 31, 2018 and December 31,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2018</w:t>
            </w: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Corporate bonds and notes</w:t>
            </w:r>
          </w:p>
        </w:tc>
        <w:tc>
          <w:tcPr>
            <w:tcW w:w="980" w:type="dxa"/>
            <w:vAlign w:val="bottom"/>
          </w:tcPr>
          <w:p>
            <w:pPr>
              <w:jc w:val="right"/>
              <w:ind w:right="820"/>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5,972</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5,972</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4,576</w:t>
            </w:r>
          </w:p>
        </w:tc>
      </w:tr>
      <w:tr>
        <w:trPr>
          <w:trHeight w:val="20"/>
        </w:trPr>
        <w:tc>
          <w:tcPr>
            <w:tcW w:w="60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ind w:left="340"/>
              <w:spacing w:after="0"/>
              <w:rPr>
                <w:sz w:val="20"/>
                <w:szCs w:val="20"/>
                <w:color w:val="auto"/>
              </w:rPr>
            </w:pPr>
            <w:r>
              <w:rPr>
                <w:rFonts w:ascii="Arial" w:cs="Arial" w:eastAsia="Arial" w:hAnsi="Arial"/>
                <w:sz w:val="18"/>
                <w:szCs w:val="18"/>
                <w:color w:val="auto"/>
              </w:rPr>
              <w:t>Total</w:t>
            </w:r>
          </w:p>
        </w:tc>
        <w:tc>
          <w:tcPr>
            <w:tcW w:w="980" w:type="dxa"/>
            <w:vAlign w:val="bottom"/>
          </w:tcPr>
          <w:p>
            <w:pPr>
              <w:jc w:val="right"/>
              <w:ind w:right="820"/>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10,548</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10,548</w:t>
            </w:r>
          </w:p>
        </w:tc>
      </w:tr>
      <w:tr>
        <w:trPr>
          <w:trHeight w:val="20"/>
        </w:trPr>
        <w:tc>
          <w:tcPr>
            <w:tcW w:w="60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Corporate bonds and notes</w:t>
            </w:r>
          </w:p>
        </w:tc>
        <w:tc>
          <w:tcPr>
            <w:tcW w:w="980" w:type="dxa"/>
            <w:vAlign w:val="bottom"/>
          </w:tcPr>
          <w:p>
            <w:pPr>
              <w:jc w:val="right"/>
              <w:ind w:right="820"/>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8,428</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8,428</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4,610</w:t>
            </w:r>
          </w:p>
        </w:tc>
      </w:tr>
      <w:tr>
        <w:trPr>
          <w:trHeight w:val="20"/>
        </w:trPr>
        <w:tc>
          <w:tcPr>
            <w:tcW w:w="60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ind w:left="340"/>
              <w:spacing w:after="0"/>
              <w:rPr>
                <w:sz w:val="20"/>
                <w:szCs w:val="20"/>
                <w:color w:val="auto"/>
              </w:rPr>
            </w:pPr>
            <w:r>
              <w:rPr>
                <w:rFonts w:ascii="Arial" w:cs="Arial" w:eastAsia="Arial" w:hAnsi="Arial"/>
                <w:sz w:val="18"/>
                <w:szCs w:val="18"/>
                <w:color w:val="auto"/>
              </w:rPr>
              <w:t>Total</w:t>
            </w:r>
          </w:p>
        </w:tc>
        <w:tc>
          <w:tcPr>
            <w:tcW w:w="980" w:type="dxa"/>
            <w:vAlign w:val="bottom"/>
          </w:tcPr>
          <w:p>
            <w:pPr>
              <w:jc w:val="right"/>
              <w:ind w:right="820"/>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13,038</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13,038</w:t>
            </w:r>
          </w:p>
        </w:tc>
      </w:tr>
      <w:tr>
        <w:trPr>
          <w:trHeight w:val="20"/>
        </w:trPr>
        <w:tc>
          <w:tcPr>
            <w:tcW w:w="60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forecasted effective tax benefit rate at March 31, 2018 is 27.0%, a 16.2% increase from the 10.8% effective tax rate recorded at December 31, 2017. The 16.2% increase is primarily due to the enactment in 2017 of the Tax Cuts and Jobs act, which resulted in a lower corporate tax rate and a revaluation of the Company's net deferred tax assets. The forecasted effective tax benefit rate of 27.0% excludes jurisdictions for which no benefit from forecasted current year losses is anticipated. Including losses from such jurisdictions results in a forecasted effective tax benefit rate of 26.0%. Our forecasted effective tax rate could fluctuate significantly on a quarterly basis and could change, to the extent that earnings in countries with tax rates that differ from that of the U.S. differ from amounts anticipated at March 31, 2018.</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a discrete tax expense of $62, the effective tax benefit rate for the quarter ended March 31, 2018 is 23.7%. The discrete tax expense of $62 is primarily attributable to changes in income tax reserves related to an income tax audit in Hong Kong.</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June 13, 2018, the Company announced suspension of its quarterly cash dividend program.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based upon reasonable assumptions at the time made,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many of which we cannot predict with accuracy and some of which we might not anticipate,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integration of business acquisitions; and other factors referred to in our reports filed with the SEC, including our Annual Report on Form 10-K for the year ended December 31, 2017.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December 31, 2017.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ClearOne is a global market leader enabling conferencing, collaboration, and network streaming solutions. The performance and simplicity of our advanced, comprehensive solutions offer unprecedented levels of functionality, reliability and scalability.</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derive most of our revenue from professional audio conferencing products by promoting our products in the professional audio-visual channel. We have extended our total addressable market from installed audio conferencing market to adjacent complementary markets – microphones, video collaboration and networked audio and video streaming. We have achieved this through strategic technological acquisitions as well as by internal product development.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2018, we were awarded four more patents related to video synchronization, speech technology, integrated microphone array and ceiling or wall tile and echo cancellation with beamforming microphone array.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months ended March 31, 2018, we continued our serious litigation efforts to stop infringement of two of our strategic patents. We introduced a new ceiling microphone array product line and made improvements to our VIEW Pro and Converge Pro 2 product lines. We have also been focusing on company wide cost cutting programs and to speed up product development that we believe will enable us to surpass our competitors.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Overall revenue declined in the three months ended March 31, 2018 when compared to the three months ended March 31, 2017, with declines seen in all product categories. Our gross profit margin decreased to 56% during the three months ended March 31, 2018 from 57% for the three months ended March 31, 2017. Gross profit margin decrease was primarily due to increase in inventory obsolescence costs and decline in licensing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conditions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in a very dynamic and highly competitive industry which is dominated on the one hand by a few players with respect to certain products like traditional video conferencing appliances while on the other influenced heavily by a fragmented reseller market consisting of numerous regional and local players. The industry is also characterized by the influx of venture capitalist funded start-ups and private companies keen to win market share even at the expense of mounting financial losses.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conditions, challenges and risks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audio-visual products market is characterized by intense competition and rapidly evolving technology. Our competitors vary within each product category. The adoption of Beamforming Microphone Array 2, along with our Converge Pro 2, our new platform for professional audio conferencing, remains challenged in large part because of our competitors’ product offering that directly infringes our strategic patents. The patent infringement has also affected revenue from ClearOne’s other products like wireless microphones and ceiling microphones.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revenues in the near term may also be adversely affected by the resignation of a large US distributor in June 2018.</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strength in professional audio visual space is largely due to our industry leading conferencing technologies and the full suite of professional microphone products, especially Beamforming Microphone Arrays. Despite our strong leadership position in the professional audio communications products market, we face challenges to revenue growth due to the limited size of the market and pricing pressures from new competitors attracted to the commercial market.</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Revenue from our video products in the overall revenue mix has been improving on the back of a strong growth for our video products in 2016 that had continued in 2017. We face intense competition in this market from well-established market leaders as well as emerging players rich with marketing funds. We expect our strategy of combining Spontania, our cloud-based video conferencing product, Collaborate, our appliance based media collaboration product and our high-end audio conferencing technology to provide growth in revenue in the near future. We believe we are also well positioned to capitalize on the continuing migration away from the traditional hardware based video conferencing systems to software based video conferencing applications.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derive a large portion of our revenue (about 49%) from international operations and expect this trend to continue in the future. Most of our revenue from outside the U.S. is billed in US Dollars and is not exposed to any significant currency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results of operations follows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months ended March 31, 2018</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 sets forth certain items from our unaudited condensed consolidated statements of operations (dollars in thousands) for the three months ended March 31, 2018 (“2018-Q1”) and 2017 (“2017-Q1”), respectively, together with the percentage of total revenue which each such item represents: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ind w:left="280"/>
              <w:spacing w:after="0"/>
              <w:rPr>
                <w:sz w:val="20"/>
                <w:szCs w:val="20"/>
                <w:color w:val="auto"/>
              </w:rPr>
            </w:pPr>
            <w:r>
              <w:rPr>
                <w:rFonts w:ascii="Arial" w:cs="Arial" w:eastAsia="Arial" w:hAnsi="Arial"/>
                <w:sz w:val="18"/>
                <w:szCs w:val="18"/>
                <w:b w:val="1"/>
                <w:bCs w:val="1"/>
                <w:color w:val="auto"/>
                <w:w w:val="90"/>
              </w:rPr>
              <w:t>Three months ended March 31,</w:t>
            </w:r>
          </w:p>
        </w:tc>
        <w:tc>
          <w:tcPr>
            <w:tcW w:w="12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191"/>
        </w:trPr>
        <w:tc>
          <w:tcPr>
            <w:tcW w:w="4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88"/>
              </w:rPr>
              <w:t>Percentage</w:t>
            </w: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6"/>
        </w:trPr>
        <w:tc>
          <w:tcPr>
            <w:tcW w:w="4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Change 2018</w:t>
            </w:r>
          </w:p>
        </w:tc>
        <w:tc>
          <w:tcPr>
            <w:tcW w:w="1720" w:type="dxa"/>
            <w:vAlign w:val="bottom"/>
          </w:tcPr>
          <w:p>
            <w:pPr>
              <w:spacing w:after="0"/>
              <w:rPr>
                <w:sz w:val="18"/>
                <w:szCs w:val="18"/>
                <w:color w:val="auto"/>
              </w:rPr>
            </w:pPr>
          </w:p>
        </w:tc>
      </w:tr>
      <w:tr>
        <w:trPr>
          <w:trHeight w:val="234"/>
        </w:trPr>
        <w:tc>
          <w:tcPr>
            <w:tcW w:w="454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6"/>
              </w:rPr>
              <w:t>vs 2017</w:t>
            </w: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7,289</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720" w:type="dxa"/>
            <w:vAlign w:val="bottom"/>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Cost of goods sold</w:t>
            </w:r>
          </w:p>
        </w:tc>
        <w:tc>
          <w:tcPr>
            <w:tcW w:w="10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3,190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72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6,678</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720" w:type="dxa"/>
            <w:vAlign w:val="bottom"/>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Sales and marketing</w:t>
            </w:r>
          </w:p>
        </w:tc>
        <w:tc>
          <w:tcPr>
            <w:tcW w:w="10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2,868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2,741</w:t>
            </w:r>
          </w:p>
        </w:tc>
        <w:tc>
          <w:tcPr>
            <w:tcW w:w="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72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2,357</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720" w:type="dxa"/>
            <w:vAlign w:val="bottom"/>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1,617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2,106</w:t>
            </w:r>
          </w:p>
        </w:tc>
        <w:tc>
          <w:tcPr>
            <w:tcW w:w="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72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(2,442)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720" w:type="dxa"/>
            <w:vAlign w:val="bottom"/>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Other income, net</w:t>
            </w:r>
          </w:p>
        </w:tc>
        <w:tc>
          <w:tcPr>
            <w:tcW w:w="10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72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(2,418)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720" w:type="dxa"/>
            <w:vAlign w:val="bottom"/>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0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(572)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1400%</w:t>
            </w:r>
          </w:p>
        </w:tc>
        <w:tc>
          <w:tcPr>
            <w:tcW w:w="172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(1,846)</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720" w:type="dxa"/>
            <w:vAlign w:val="bottom"/>
          </w:tcPr>
          <w:p>
            <w:pPr>
              <w:spacing w:after="0"/>
              <w:rPr>
                <w:sz w:val="18"/>
                <w:szCs w:val="18"/>
                <w:color w:val="auto"/>
              </w:rPr>
            </w:pPr>
          </w:p>
        </w:tc>
      </w:tr>
      <w:tr>
        <w:trPr>
          <w:trHeight w:val="426"/>
        </w:trPr>
        <w:tc>
          <w:tcPr>
            <w:tcW w:w="4540" w:type="dxa"/>
            <w:vAlign w:val="bottom"/>
            <w:tcBorders>
              <w:top w:val="single" w:sz="8" w:color="CCEEFF"/>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720" w:type="dxa"/>
            <w:vAlign w:val="bottom"/>
          </w:tcPr>
          <w:p>
            <w:pPr>
              <w:spacing w:after="0"/>
              <w:rPr>
                <w:sz w:val="24"/>
                <w:szCs w:val="24"/>
                <w:color w:val="auto"/>
              </w:rPr>
            </w:pPr>
          </w:p>
        </w:tc>
      </w:tr>
      <w:tr>
        <w:trPr>
          <w:trHeight w:val="115"/>
        </w:trPr>
        <w:tc>
          <w:tcPr>
            <w:tcW w:w="45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revenue decreased by $4.4 million, or 38%, to $7.3 million in 2018-Q1 compared to $11.7 million in 2017-Q1. All product categories witnessed revenue declines with revenue declines of 43%, 23% and 20% for professional audio conferencing, unified communication end points and video products, respectively. The decline in revenue from professional audio conferencing products was mostly due to slower adoption of our Converge Pro 2 platform, largely caused by our competitors’ product offering that we believe directly infringes our strategic patents and due to a decline in licensing revenue. The share of professional audio communications products (which includes microphone products but not premium products) in our product mix declined from 74% in 2017-Q1 to 68% in 2018-Q1. Share of video products in the revenue increased from 14% in 2017-Q1 to 18% in 2018-Q1 and share of UC end points in the revenue increased from 12% in 2017-Q1 to 14% in 2018-Q1. During 2018-Q1, revenue declined across all regions except Canada and Australia. The revenue declines for Asia Pacific including Middle East, Europe and Africa, and Americas were 28%, 16% and 44%,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 and Gross Profit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goods sold (“COGS”)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gross profit for 2018-Q1 was approximately $4.1 million or 56% compared to approximately $6.7 million, or 57%, for 2017-Q1. Gross margin for 2018-Q1 declined due to increased inventory obsolescence costs and the decline in licensing revenues.</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profitability in the near-term continues to depend significantly on our revenues from professional audio conferencing products. We hold long-term inventory and if we are unable to sell our long-term inventory, our profitability might be affected by inventory write-offs and price mark-downs.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Operating expenses include sales and marketing (“S&amp;M”) expenses, research and product development (“R&amp;D”) expenses and general and administrative (“G&amp;A”) expenses. Total operating expenses were $6.5 million for 2018-Q1 compared to $7.2 million for 2017-Q1. The following contains a more detailed discussion of expenses related to sales and marketing, research and product development, general and administrative, and other items.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Sales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S&amp;M expenses include selling, customer service, and marketing expenses such as employee-related costs, allocations of overhead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trade shows, and other advertising and selling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S&amp;M expenses for 2018-Q1 increased to $2.9 million from $2.7 million for 2017-Q1. The increase was mainly due to increase in marketing expenses related to tradeshows and increases in inventories used for customer demonstrations.</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u w:val="single" w:color="auto"/>
          <w:color w:val="auto"/>
        </w:rPr>
        <w:t>Research and Product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R&amp;D expenses include research and development, product line management, engineering services, and test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 expenses, including employee related costs, outside services, expensed materials, depreciation, and an allocation of overhead expenses.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R&amp;D expenses were approximately $2.1 million for 2018-Q1, as compared to $2.4 million for 2017-Q1. The decrease was primarily due to reductions in project related expenses and employee costs related to salaries and benefits.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General and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G&amp;A expenses include employee-related costs, professional service fees, allocations of overhead expenses, litigation costs,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administrative costs, including costs related to finance and human resources.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G&amp;A expenses decreased approximately 23% to $1.6 million for 2018-Q1 compared with approximately $2.1 million in 2017-Q1. The reduction was primarily due to the decrease in legal costs and employee costs related to salaries and benefits. Legal expenses in 2018-Q1 reduced mostly because of capitalization of legal costs related to our defense of strategic patents from infringement amounting to $1.3 million. No legal expenses were capitalized in 2017-Q1.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includes interest income, interest expense, and foreign currency changes.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reduced in 2018-Q1 due to reduction in interest income caused by decline in the investment holdings and due to higher realized losses on liquidated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2018-Q1, we accrued income taxes at the forecasted effective tax benefit rate of 27.0% as compared to the forecasted effective tax rate of 30.9% used during 2017-Q1. The 3.9% decrease in the forecasted effective tax rate was primarily due to a reduction in corporate tax rates as a result of the enactment of the Tax Cuts and Jobs Act, offset by a decrease in forecasted full-year income. In addition, a discrete tax expense of $62 thousand is primarily attributable to changes in income tax reserves related to an income tax audit in Hong Kong.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2018, our cash and cash equivalents were approximately $5.6 million with no material change from December 31, 2017. Our working capital was $24.9 million and $23.3 million as of March 31, 2018 and December 31, 2017,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was approximately $0.3 million for the three months ended March 31, 2018, a decrease of cash used of approximately $1.1 million from $1.4 million of cash used in operating activities in the three months ended March 31, 2017. The increase was primarily due to an increase in cash inflows due to change in operating assets and liabilities of $2.9 million partially offset by an increase in net loss by $1.4 million and a decrease in non-cash charges of $0.4 million.</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cash provided by investing activities was $1.0 million for the three months ended March 31, 2018 compared to net cash flows used by investing activities of $0.8 million during the three months ended March 31, 2018, an increase in cash provided of $1.8 million. The increase was primarily due to a decrease in net purchases of marketable securities of approximately $3.0 million, partially offset by $1.3 million in capitalization of patent defense costs.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Capitalization of patent defense costs</w:t>
      </w:r>
      <w:r>
        <w:rPr>
          <w:rFonts w:ascii="Arial" w:cs="Arial" w:eastAsia="Arial" w:hAnsi="Arial"/>
          <w:sz w:val="17"/>
          <w:szCs w:val="17"/>
          <w:color w:val="auto"/>
        </w:rPr>
        <w:t>. We capitalize external legal costs incurred in the defense of our patents when we believe that a significant, discernible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value will result from the defense and a successful outcome of the legal action is probable. When we capitalize patent defense costs we amortize the costs over the remaining estimated useful life of the patent, which is 15 to 17 years. During the three months ended March 31, 2018 we spent $1.3 million of legal costs related to the defense of our patents and capitalized the entire amount.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financing activities was approximately $0.7 million during the three months ended March 31, 2018, which consisted of cash outflows of $0.6 million on repurchase and cancellation of stock and $0.1 million for dividend payments. Net cash used in financing activities was approximately $1.3 million during the three months ended March 31, 2017, which consisted of cash outflows of $0.9 million on repurchase and cancellation of stock and stock options and $0.4 million for dividend payments.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currently pursuing all available legal remedies to defend our strategic patents from infringement. We have already spent about $5.1 million from 2016 through March 31, 2018 towards this litigation and may be required to spend more to continue our legal defense. We have been actively engaged in preserving cash by suspending our dividend program, allowing the share repurchase program to expire and implementing company-wide cost reduction measures. In addition, we expect to generate additional cash as our inventory levels are brought down to historical levels. We also believe that the measures taken by us will yield higher revenues in the future. We believe all of these and effective management of working capital will provide the liquidity needed to meet our short-term and long-term operating requirements and finance our growth plans. We also believe that our strong portfolio of intellectual property and our solid brand equity in the market will enable us to raise additional capital if and when needed to meet our short and long-term financing needs. In addition to capital expenditures, we may use cash in the near future for selective infusions of technology, sales and marketing, infrastructure, and other investments to fuel our growth.</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31, 2018, we had open purchase orders related to our electronics manufacturing service providers of approximately $3.0 million, primarily related to inventory purchases.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2018, we had inventory totaling $23.2 million, of which non-current inventory accounted for $8.6 million. This compares to total inventories of $24.7 million and non-current inventory of $8.7 million as of December 31,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discussion and analysis of our results of operations and financial position are based upon our unaudited consolidated financial statements included under Item 1 of this Form 10-Q, which have been prepared in conformity with accounting principles generally accepted in the United States. We review the accounting policies used in reporting our financial results on a regular basis. We believe certain of our accounting policies are critical to understanding our financial position and results of operations. Except with respect to our revenue recognition practices included in Note 1. “Business Description, Basis of Presentation and Significant Accounting Policies” under Item 1 of this Form 10-Q, there have been no changes to the critical accounting policies as explained in our 2017 Form 10-K.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discussion of recent accounting pronouncements, see Note 3: “Recent Accounting Pronouncements” in the notes to our unaudited consolidated financial statements included under Item 1 of this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 evaluation of the effectiveness of our disclosure controls and procedures (as defined in Rules 13a-15(e) and 15d-15(e) of the Exchange Act) as of March 31, 2018 was performed under the supervision and with the participation of our management, including our Chief Executive Officer and our Principal Financial and Accounting Officer. Based upon this evaluation, our Chief Executive Officer and Senior Vice President of Finance concluded that, as of the end of the period covered by this Quarterly Report, our disclosure controls and procedures were not effective at a reasonable assurance level as of March 31, 2018 due to the material weakness in internal control over financial reporting as described below.</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identified a material weakness in the operating effectiveness of internal control over financial reporting relating to the accurate and timely reporting of its financial results and disclosures and its testing and assessment of the design and effectiveness of internal controls over financial reporting in a timely manner.</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address the material weakness, management is working with our third party internal controls consultant to assist with the implementation of a remediation plan which will supplement the existing controls. The remediation plan will include an assessment of personnel levels and responsibilities, additional training of financial reporting personnel and ability to handle new requirements and projects on a timely basis with respect to the preparation of the consolidated financial statements and public company reporting requirements and timelines. The material weakness will be fully remediated when, in the opinion of management, the control processes have been operating for a sufficient period of time to provide reasonable assurance as to their effectiveness. The remediation and ultimate resolution of the material weakness will be reviewed with the Audit Committee of the Board of Directors.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noted above, there has been no change in the Company's internal control over financial reporting as of March 31, 2018, that has materially affected, or is reasonably likely to materially affect, the Company's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developments in the legal proceedings described in our Annual Report on Form 10-K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to the risk factors included in our Annual Report on Form 10-K for the fiscal year ended December 31, 2017.</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jc w:val="both"/>
        <w:ind w:firstLine="8"/>
        <w:spacing w:after="0" w:line="276" w:lineRule="auto"/>
        <w:tabs>
          <w:tab w:leader="none" w:pos="271"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March 9, 2016, the Board of Directors of the Company authorized the repurchase of up to $10 million of the Company’s outstanding shares of common stock under a stock repurchase program. In connection with the repurchase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The repurchase program may be suspended or discontinued at any time without prior notice. The transactions effectuated to date occurred in open market purchases.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 2017, the Board of Directors of the Company renewed and extended the repurchase program for up to an additional $10 million of common stock over the next twelve months. In connection with the repurchase extension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The transactions effectuated to date occurred in open market purchases.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Total Number of</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Dollar</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Shares</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Value of Shares</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Purchased</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as Part of</w:t>
            </w: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Publicly</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the Plans or</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Average Price</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Announced Plans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Programs</w:t>
            </w:r>
          </w:p>
        </w:tc>
      </w:tr>
      <w:tr>
        <w:trPr>
          <w:trHeight w:val="234"/>
        </w:trPr>
        <w:tc>
          <w:tcPr>
            <w:tcW w:w="20" w:type="dxa"/>
            <w:vAlign w:val="bottom"/>
          </w:tcPr>
          <w:p>
            <w:pPr>
              <w:spacing w:after="0"/>
              <w:rPr>
                <w:sz w:val="20"/>
                <w:szCs w:val="20"/>
                <w:color w:val="auto"/>
              </w:rPr>
            </w:pPr>
          </w:p>
        </w:tc>
        <w:tc>
          <w:tcPr>
            <w:tcW w:w="5020" w:type="dxa"/>
            <w:vAlign w:val="bottom"/>
            <w:tcBorders>
              <w:bottom w:val="single" w:sz="8" w:color="auto"/>
            </w:tcBorders>
          </w:tcPr>
          <w:p>
            <w:pPr>
              <w:ind w:left="224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Shares Purchased</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Paid per Share</w:t>
            </w:r>
          </w:p>
        </w:tc>
        <w:tc>
          <w:tcPr>
            <w:tcW w:w="24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(in $ millions)</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Jan 2018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8.57</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February 2018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7,019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8.26</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7,019</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March 2018</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1,878</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17,549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8.39</w:t>
            </w:r>
          </w:p>
        </w:tc>
        <w:tc>
          <w:tcPr>
            <w:tcW w:w="2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17,549</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Upon expiry of this repurchase program in March 2018, the program was not renewed again.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80" w:type="dxa"/>
            <w:vAlign w:val="bottom"/>
          </w:tcPr>
          <w:p>
            <w:pPr>
              <w:spacing w:after="0"/>
              <w:rPr>
                <w:sz w:val="18"/>
                <w:szCs w:val="18"/>
                <w:color w:val="auto"/>
              </w:rPr>
            </w:pPr>
          </w:p>
        </w:tc>
        <w:tc>
          <w:tcPr>
            <w:tcW w:w="10540" w:type="dxa"/>
            <w:vAlign w:val="bottom"/>
            <w:gridSpan w:val="4"/>
          </w:tcPr>
          <w:p>
            <w:pPr>
              <w:spacing w:after="0"/>
              <w:rPr>
                <w:sz w:val="20"/>
                <w:szCs w:val="20"/>
                <w:color w:val="auto"/>
              </w:rPr>
            </w:pPr>
            <w:r>
              <w:rPr>
                <w:rFonts w:ascii="Arial" w:cs="Arial" w:eastAsia="Arial" w:hAnsi="Arial"/>
                <w:sz w:val="18"/>
                <w:szCs w:val="18"/>
                <w:b w:val="1"/>
                <w:bCs w:val="1"/>
                <w:color w:val="auto"/>
              </w:rPr>
              <w:t>Title of Document</w:t>
            </w:r>
          </w:p>
        </w:tc>
      </w:tr>
      <w:tr>
        <w:trPr>
          <w:trHeight w:val="234"/>
        </w:trPr>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400" w:type="dxa"/>
            <w:vAlign w:val="bottom"/>
            <w:tcBorders>
              <w:bottom w:val="single" w:sz="8" w:color="auto"/>
            </w:tcBorders>
          </w:tcPr>
          <w:p>
            <w:pPr>
              <w:spacing w:after="0"/>
              <w:rPr>
                <w:sz w:val="20"/>
                <w:szCs w:val="20"/>
                <w:color w:val="auto"/>
              </w:rPr>
            </w:pP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860" w:type="dxa"/>
            <w:vAlign w:val="bottom"/>
            <w:tcBorders>
              <w:bottom w:val="single" w:sz="8" w:color="0000EE"/>
            </w:tcBorders>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Section 302</w:t>
              </w:r>
            </w:hyperlink>
          </w:p>
        </w:tc>
        <w:tc>
          <w:tcPr>
            <w:tcW w:w="4080" w:type="dxa"/>
            <w:vAlign w:val="bottom"/>
            <w:tcBorders>
              <w:bottom w:val="single" w:sz="8" w:color="0000EE"/>
            </w:tcBorders>
          </w:tcPr>
          <w:p>
            <w:pPr>
              <w:ind w:left="40"/>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Certification of Chief Executive Officer (filed herewith)</w:t>
              </w:r>
            </w:hyperlink>
          </w:p>
        </w:tc>
        <w:tc>
          <w:tcPr>
            <w:tcW w:w="5600" w:type="dxa"/>
            <w:vAlign w:val="bottom"/>
            <w:gridSpan w:val="2"/>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860" w:type="dxa"/>
            <w:vAlign w:val="bottom"/>
            <w:tcBorders>
              <w:bottom w:val="single" w:sz="8" w:color="0000EE"/>
            </w:tcBorders>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Section 302</w:t>
              </w:r>
            </w:hyperlink>
          </w:p>
        </w:tc>
        <w:tc>
          <w:tcPr>
            <w:tcW w:w="4280" w:type="dxa"/>
            <w:vAlign w:val="bottom"/>
            <w:tcBorders>
              <w:bottom w:val="single" w:sz="8" w:color="0000EE"/>
            </w:tcBorders>
            <w:gridSpan w:val="2"/>
          </w:tcPr>
          <w:p>
            <w:pPr>
              <w:ind w:left="40"/>
              <w:spacing w:after="0"/>
              <w:rPr>
                <w:rFonts w:ascii="Arial" w:cs="Arial" w:eastAsia="Arial" w:hAnsi="Arial"/>
                <w:sz w:val="18"/>
                <w:szCs w:val="18"/>
                <w:color w:val="0000EE"/>
                <w:w w:val="94"/>
              </w:rPr>
            </w:pPr>
            <w:hyperlink w:anchor="page24">
              <w:r>
                <w:rPr>
                  <w:rFonts w:ascii="Arial" w:cs="Arial" w:eastAsia="Arial" w:hAnsi="Arial"/>
                  <w:sz w:val="18"/>
                  <w:szCs w:val="18"/>
                  <w:color w:val="0000EE"/>
                  <w:w w:val="94"/>
                </w:rPr>
                <w:t>Certification of Principal Financial Officer (filed herewith)</w:t>
              </w:r>
            </w:hyperlink>
          </w:p>
        </w:tc>
        <w:tc>
          <w:tcPr>
            <w:tcW w:w="5400" w:type="dxa"/>
            <w:vAlign w:val="bottom"/>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860" w:type="dxa"/>
            <w:vAlign w:val="bottom"/>
            <w:tcBorders>
              <w:bottom w:val="single" w:sz="8" w:color="0000EE"/>
            </w:tcBorders>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Section 906</w:t>
              </w:r>
            </w:hyperlink>
          </w:p>
        </w:tc>
        <w:tc>
          <w:tcPr>
            <w:tcW w:w="4080" w:type="dxa"/>
            <w:vAlign w:val="bottom"/>
            <w:tcBorders>
              <w:bottom w:val="single" w:sz="8" w:color="0000EE"/>
            </w:tcBorders>
          </w:tcPr>
          <w:p>
            <w:pPr>
              <w:ind w:left="40"/>
              <w:spacing w:after="0"/>
              <w:rPr>
                <w:rFonts w:ascii="Arial" w:cs="Arial" w:eastAsia="Arial" w:hAnsi="Arial"/>
                <w:sz w:val="18"/>
                <w:szCs w:val="18"/>
                <w:color w:val="0000EE"/>
                <w:w w:val="94"/>
              </w:rPr>
            </w:pPr>
            <w:hyperlink w:anchor="page25">
              <w:r>
                <w:rPr>
                  <w:rFonts w:ascii="Arial" w:cs="Arial" w:eastAsia="Arial" w:hAnsi="Arial"/>
                  <w:sz w:val="18"/>
                  <w:szCs w:val="18"/>
                  <w:color w:val="0000EE"/>
                  <w:w w:val="94"/>
                </w:rPr>
                <w:t>Certification of Chief Executive Officer (filed herewith)</w:t>
              </w:r>
            </w:hyperlink>
          </w:p>
        </w:tc>
        <w:tc>
          <w:tcPr>
            <w:tcW w:w="5600" w:type="dxa"/>
            <w:vAlign w:val="bottom"/>
            <w:gridSpan w:val="2"/>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860" w:type="dxa"/>
            <w:vAlign w:val="bottom"/>
            <w:tcBorders>
              <w:bottom w:val="single" w:sz="8" w:color="0000EE"/>
            </w:tcBorders>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Section 906</w:t>
              </w:r>
            </w:hyperlink>
          </w:p>
        </w:tc>
        <w:tc>
          <w:tcPr>
            <w:tcW w:w="4280" w:type="dxa"/>
            <w:vAlign w:val="bottom"/>
            <w:tcBorders>
              <w:bottom w:val="single" w:sz="8" w:color="0000EE"/>
            </w:tcBorders>
            <w:gridSpan w:val="2"/>
          </w:tcPr>
          <w:p>
            <w:pPr>
              <w:ind w:left="40"/>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Certification of Principal Financial Officer (filed herewith)</w:t>
              </w:r>
            </w:hyperlink>
          </w:p>
        </w:tc>
        <w:tc>
          <w:tcPr>
            <w:tcW w:w="5400" w:type="dxa"/>
            <w:vAlign w:val="bottom"/>
          </w:tcPr>
          <w:p>
            <w:pPr>
              <w:spacing w:after="0"/>
              <w:rPr>
                <w:sz w:val="24"/>
                <w:szCs w:val="24"/>
                <w:color w:val="auto"/>
              </w:rPr>
            </w:pPr>
          </w:p>
        </w:tc>
      </w:tr>
      <w:tr>
        <w:trPr>
          <w:trHeight w:val="453"/>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80" w:type="dxa"/>
            <w:vAlign w:val="bottom"/>
          </w:tcPr>
          <w:p>
            <w:pPr>
              <w:spacing w:after="0"/>
              <w:rPr>
                <w:sz w:val="24"/>
                <w:szCs w:val="24"/>
                <w:color w:val="auto"/>
              </w:rPr>
            </w:pPr>
          </w:p>
        </w:tc>
        <w:tc>
          <w:tcPr>
            <w:tcW w:w="10540" w:type="dxa"/>
            <w:vAlign w:val="bottom"/>
            <w:gridSpan w:val="4"/>
          </w:tcPr>
          <w:p>
            <w:pPr>
              <w:spacing w:after="0"/>
              <w:rPr>
                <w:sz w:val="20"/>
                <w:szCs w:val="20"/>
                <w:color w:val="auto"/>
              </w:rPr>
            </w:pPr>
            <w:r>
              <w:rPr>
                <w:rFonts w:ascii="Arial" w:cs="Arial" w:eastAsia="Arial" w:hAnsi="Arial"/>
                <w:sz w:val="18"/>
                <w:szCs w:val="18"/>
                <w:color w:val="auto"/>
              </w:rPr>
              <w:t>XBRL Instance Document (filed herewith)</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80" w:type="dxa"/>
            <w:vAlign w:val="bottom"/>
          </w:tcPr>
          <w:p>
            <w:pPr>
              <w:spacing w:after="0"/>
              <w:rPr>
                <w:sz w:val="24"/>
                <w:szCs w:val="24"/>
                <w:color w:val="auto"/>
              </w:rPr>
            </w:pPr>
          </w:p>
        </w:tc>
        <w:tc>
          <w:tcPr>
            <w:tcW w:w="10540" w:type="dxa"/>
            <w:vAlign w:val="bottom"/>
            <w:gridSpan w:val="4"/>
          </w:tcPr>
          <w:p>
            <w:pPr>
              <w:spacing w:after="0"/>
              <w:rPr>
                <w:sz w:val="20"/>
                <w:szCs w:val="20"/>
                <w:color w:val="auto"/>
              </w:rPr>
            </w:pPr>
            <w:r>
              <w:rPr>
                <w:rFonts w:ascii="Arial" w:cs="Arial" w:eastAsia="Arial" w:hAnsi="Arial"/>
                <w:sz w:val="18"/>
                <w:szCs w:val="18"/>
                <w:color w:val="auto"/>
              </w:rPr>
              <w:t>XBRL Taxonomy Extension Schema (filed herewith)</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80" w:type="dxa"/>
            <w:vAlign w:val="bottom"/>
          </w:tcPr>
          <w:p>
            <w:pPr>
              <w:spacing w:after="0"/>
              <w:rPr>
                <w:sz w:val="24"/>
                <w:szCs w:val="24"/>
                <w:color w:val="auto"/>
              </w:rPr>
            </w:pPr>
          </w:p>
        </w:tc>
        <w:tc>
          <w:tcPr>
            <w:tcW w:w="1054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80" w:type="dxa"/>
            <w:vAlign w:val="bottom"/>
          </w:tcPr>
          <w:p>
            <w:pPr>
              <w:spacing w:after="0"/>
              <w:rPr>
                <w:sz w:val="24"/>
                <w:szCs w:val="24"/>
                <w:color w:val="auto"/>
              </w:rPr>
            </w:pPr>
          </w:p>
        </w:tc>
        <w:tc>
          <w:tcPr>
            <w:tcW w:w="10540" w:type="dxa"/>
            <w:vAlign w:val="bottom"/>
            <w:gridSpan w:val="4"/>
          </w:tcPr>
          <w:p>
            <w:pPr>
              <w:spacing w:after="0"/>
              <w:rPr>
                <w:sz w:val="20"/>
                <w:szCs w:val="20"/>
                <w:color w:val="auto"/>
              </w:rPr>
            </w:pPr>
            <w:r>
              <w:rPr>
                <w:rFonts w:ascii="Arial" w:cs="Arial" w:eastAsia="Arial" w:hAnsi="Arial"/>
                <w:sz w:val="18"/>
                <w:szCs w:val="18"/>
                <w:color w:val="auto"/>
              </w:rPr>
              <w:t>XBRL Taxonomy Extension Definitions Linkbase (filed herewith)</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80" w:type="dxa"/>
            <w:vAlign w:val="bottom"/>
          </w:tcPr>
          <w:p>
            <w:pPr>
              <w:spacing w:after="0"/>
              <w:rPr>
                <w:sz w:val="24"/>
                <w:szCs w:val="24"/>
                <w:color w:val="auto"/>
              </w:rPr>
            </w:pPr>
          </w:p>
        </w:tc>
        <w:tc>
          <w:tcPr>
            <w:tcW w:w="1054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(filed herewith)</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80" w:type="dxa"/>
            <w:vAlign w:val="bottom"/>
          </w:tcPr>
          <w:p>
            <w:pPr>
              <w:spacing w:after="0"/>
              <w:rPr>
                <w:sz w:val="24"/>
                <w:szCs w:val="24"/>
                <w:color w:val="auto"/>
              </w:rPr>
            </w:pPr>
          </w:p>
        </w:tc>
        <w:tc>
          <w:tcPr>
            <w:tcW w:w="1054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432"/>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80" w:type="dxa"/>
            <w:vAlign w:val="bottom"/>
          </w:tcPr>
          <w:p>
            <w:pPr>
              <w:ind w:left="3880"/>
              <w:spacing w:after="0"/>
              <w:rPr>
                <w:sz w:val="20"/>
                <w:szCs w:val="20"/>
                <w:color w:val="auto"/>
              </w:rPr>
            </w:pPr>
            <w:r>
              <w:rPr>
                <w:rFonts w:ascii="Arial" w:cs="Arial" w:eastAsia="Arial" w:hAnsi="Arial"/>
                <w:sz w:val="18"/>
                <w:szCs w:val="18"/>
                <w:color w:val="auto"/>
                <w:w w:val="89"/>
              </w:rPr>
              <w:t>20</w:t>
            </w:r>
          </w:p>
        </w:tc>
        <w:tc>
          <w:tcPr>
            <w:tcW w:w="20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tcPr>
          <w:p>
            <w:pPr>
              <w:jc w:val="center"/>
              <w:ind w:left="5230"/>
              <w:spacing w:after="0"/>
              <w:rPr>
                <w:sz w:val="20"/>
                <w:szCs w:val="20"/>
                <w:color w:val="auto"/>
              </w:rPr>
            </w:pPr>
            <w:r>
              <w:rPr>
                <w:rFonts w:ascii="Arial" w:cs="Arial" w:eastAsia="Arial" w:hAnsi="Arial"/>
                <w:sz w:val="18"/>
                <w:szCs w:val="18"/>
                <w:color w:val="auto"/>
                <w:w w:val="99"/>
              </w:rPr>
              <w:t>By:</w:t>
            </w: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Zeynep Hakimoglu</w:t>
            </w:r>
          </w:p>
        </w:tc>
      </w:tr>
      <w:tr>
        <w:trPr>
          <w:trHeight w:val="195"/>
        </w:trPr>
        <w:tc>
          <w:tcPr>
            <w:tcW w:w="6140" w:type="dxa"/>
            <w:vAlign w:val="bottom"/>
          </w:tcPr>
          <w:p>
            <w:pPr>
              <w:spacing w:after="0"/>
              <w:rPr>
                <w:sz w:val="16"/>
                <w:szCs w:val="16"/>
                <w:color w:val="auto"/>
              </w:rPr>
            </w:pPr>
          </w:p>
        </w:tc>
        <w:tc>
          <w:tcPr>
            <w:tcW w:w="5280" w:type="dxa"/>
            <w:vAlign w:val="bottom"/>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61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President, Chief Executive Officer and Chairman of the Board</w:t>
            </w: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June 20, 2018</w:t>
            </w: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6140" w:type="dxa"/>
            <w:vAlign w:val="bottom"/>
          </w:tcPr>
          <w:p>
            <w:pPr>
              <w:jc w:val="center"/>
              <w:ind w:left="5230"/>
              <w:spacing w:after="0"/>
              <w:rPr>
                <w:sz w:val="20"/>
                <w:szCs w:val="20"/>
                <w:color w:val="auto"/>
              </w:rPr>
            </w:pPr>
            <w:r>
              <w:rPr>
                <w:rFonts w:ascii="Arial" w:cs="Arial" w:eastAsia="Arial" w:hAnsi="Arial"/>
                <w:sz w:val="18"/>
                <w:szCs w:val="18"/>
                <w:color w:val="auto"/>
                <w:w w:val="99"/>
              </w:rPr>
              <w:t>By:</w:t>
            </w: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Narsi Narayanan</w:t>
            </w:r>
          </w:p>
        </w:tc>
      </w:tr>
      <w:tr>
        <w:trPr>
          <w:trHeight w:val="195"/>
        </w:trPr>
        <w:tc>
          <w:tcPr>
            <w:tcW w:w="6140" w:type="dxa"/>
            <w:vAlign w:val="bottom"/>
          </w:tcPr>
          <w:p>
            <w:pPr>
              <w:spacing w:after="0"/>
              <w:rPr>
                <w:sz w:val="16"/>
                <w:szCs w:val="16"/>
                <w:color w:val="auto"/>
              </w:rPr>
            </w:pPr>
          </w:p>
        </w:tc>
        <w:tc>
          <w:tcPr>
            <w:tcW w:w="5280" w:type="dxa"/>
            <w:vAlign w:val="bottom"/>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61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June 20, 2018</w:t>
            </w: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r>
        <w:trPr>
          <w:trHeight w:val="648"/>
        </w:trPr>
        <w:tc>
          <w:tcPr>
            <w:tcW w:w="6140" w:type="dxa"/>
            <w:vAlign w:val="bottom"/>
          </w:tcPr>
          <w:p>
            <w:pPr>
              <w:jc w:val="center"/>
              <w:ind w:left="5190"/>
              <w:spacing w:after="0"/>
              <w:rPr>
                <w:sz w:val="20"/>
                <w:szCs w:val="20"/>
                <w:color w:val="auto"/>
              </w:rPr>
            </w:pPr>
            <w:r>
              <w:rPr>
                <w:rFonts w:ascii="Arial" w:cs="Arial" w:eastAsia="Arial" w:hAnsi="Arial"/>
                <w:sz w:val="18"/>
                <w:szCs w:val="18"/>
                <w:color w:val="auto"/>
                <w:w w:val="89"/>
              </w:rPr>
              <w:t>21</w:t>
            </w:r>
          </w:p>
        </w:tc>
        <w:tc>
          <w:tcPr>
            <w:tcW w:w="52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25"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5" w:lineRule="exact"/>
        <w:rPr>
          <w:rFonts w:ascii="Arial" w:cs="Arial" w:eastAsia="Arial" w:hAnsi="Arial"/>
          <w:sz w:val="18"/>
          <w:szCs w:val="18"/>
          <w:color w:val="auto"/>
        </w:rPr>
      </w:pPr>
    </w:p>
    <w:p>
      <w:pPr>
        <w:ind w:left="200" w:hanging="192"/>
        <w:spacing w:after="0" w:line="342" w:lineRule="auto"/>
        <w:tabs>
          <w:tab w:leader="none" w:pos="20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00" w:hanging="192"/>
        <w:spacing w:after="0" w:line="277"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00" w:hanging="192"/>
        <w:spacing w:after="0" w:line="264"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200" w:hanging="192"/>
        <w:spacing w:after="0" w:line="277"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8060" w:type="dxa"/>
            <w:vAlign w:val="bottom"/>
            <w:gridSpan w:val="2"/>
          </w:tcPr>
          <w:p>
            <w:pPr>
              <w:ind w:left="2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3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3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June 20, 2018</w:t>
            </w:r>
          </w:p>
        </w:tc>
        <w:tc>
          <w:tcPr>
            <w:tcW w:w="27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25"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5" w:lineRule="exact"/>
        <w:rPr>
          <w:rFonts w:ascii="Arial" w:cs="Arial" w:eastAsia="Arial" w:hAnsi="Arial"/>
          <w:sz w:val="18"/>
          <w:szCs w:val="18"/>
          <w:color w:val="auto"/>
        </w:rPr>
      </w:pPr>
    </w:p>
    <w:p>
      <w:pPr>
        <w:ind w:left="200" w:hanging="192"/>
        <w:spacing w:after="0" w:line="342" w:lineRule="auto"/>
        <w:tabs>
          <w:tab w:leader="none" w:pos="20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00" w:hanging="192"/>
        <w:spacing w:after="0" w:line="277"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00" w:hanging="192"/>
        <w:spacing w:after="0" w:line="264"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200" w:hanging="192"/>
        <w:spacing w:after="0" w:line="277"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8060" w:type="dxa"/>
            <w:vAlign w:val="bottom"/>
            <w:gridSpan w:val="2"/>
          </w:tcPr>
          <w:p>
            <w:pPr>
              <w:ind w:left="2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3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3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June 20, 2018</w:t>
            </w:r>
          </w:p>
        </w:tc>
        <w:tc>
          <w:tcPr>
            <w:tcW w:w="27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bl>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Quarterly Report of ClearOne, Inc. on Form 10-Q for the quarter ended March 31, 2018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8060" w:type="dxa"/>
            <w:vAlign w:val="bottom"/>
            <w:gridSpan w:val="2"/>
          </w:tcPr>
          <w:p>
            <w:pPr>
              <w:ind w:left="2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3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3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June 20, 2018</w:t>
            </w:r>
          </w:p>
        </w:tc>
        <w:tc>
          <w:tcPr>
            <w:tcW w:w="27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March 31, 2018,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8060" w:type="dxa"/>
            <w:vAlign w:val="bottom"/>
            <w:gridSpan w:val="2"/>
          </w:tcPr>
          <w:p>
            <w:pPr>
              <w:ind w:left="2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3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3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June 20, 2018</w:t>
            </w:r>
          </w:p>
        </w:tc>
        <w:tc>
          <w:tcPr>
            <w:tcW w:w="27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2019-12-28T21:47:11Z</dcterms:created>
  <dcterms:modified xsi:type="dcterms:W3CDTF">2019-12-28T21:47:11Z</dcterms:modified>
</cp:coreProperties>
</file>