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15"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900" w:type="dxa"/>
            <w:vAlign w:val="bottom"/>
            <w:gridSpan w:val="10"/>
          </w:tcPr>
          <w:p>
            <w:pPr>
              <w:jc w:val="center"/>
              <w:ind w:left="9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June 8, 2016</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88"/>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4"/>
              </w:rPr>
              <w:t>ClearOne, Inc.</w:t>
            </w:r>
          </w:p>
        </w:tc>
        <w:tc>
          <w:tcPr>
            <w:tcW w:w="960" w:type="dxa"/>
            <w:vAlign w:val="bottom"/>
            <w:tcBorders>
              <w:top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left="9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810"/>
        </w:trPr>
        <w:tc>
          <w:tcPr>
            <w:tcW w:w="720" w:type="dxa"/>
            <w:vAlign w:val="bottom"/>
          </w:tcPr>
          <w:p>
            <w:pPr>
              <w:spacing w:after="0"/>
              <w:rPr>
                <w:sz w:val="24"/>
                <w:szCs w:val="24"/>
                <w:color w:val="auto"/>
              </w:rPr>
            </w:pPr>
          </w:p>
        </w:tc>
        <w:tc>
          <w:tcPr>
            <w:tcW w:w="20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Utah</w:t>
            </w:r>
          </w:p>
        </w:tc>
        <w:tc>
          <w:tcPr>
            <w:tcW w:w="3220" w:type="dxa"/>
            <w:vAlign w:val="bottom"/>
            <w:gridSpan w:val="6"/>
          </w:tcPr>
          <w:p>
            <w:pPr>
              <w:jc w:val="center"/>
              <w:ind w:left="2310"/>
              <w:spacing w:after="0"/>
              <w:rPr>
                <w:sz w:val="20"/>
                <w:szCs w:val="20"/>
                <w:color w:val="auto"/>
              </w:rPr>
            </w:pPr>
            <w:r>
              <w:rPr>
                <w:rFonts w:ascii="Arial" w:cs="Arial" w:eastAsia="Arial" w:hAnsi="Arial"/>
                <w:sz w:val="18"/>
                <w:szCs w:val="18"/>
                <w:b w:val="1"/>
                <w:bCs w:val="1"/>
                <w:color w:val="auto"/>
                <w:w w:val="90"/>
              </w:rPr>
              <w:t>001-33660</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87-0398877</w:t>
            </w:r>
          </w:p>
        </w:tc>
        <w:tc>
          <w:tcPr>
            <w:tcW w:w="740" w:type="dxa"/>
            <w:vAlign w:val="bottom"/>
          </w:tcPr>
          <w:p>
            <w:pPr>
              <w:spacing w:after="0"/>
              <w:rPr>
                <w:sz w:val="24"/>
                <w:szCs w:val="24"/>
                <w:color w:val="auto"/>
              </w:rPr>
            </w:pPr>
          </w:p>
        </w:tc>
      </w:tr>
      <w:tr>
        <w:trPr>
          <w:trHeight w:val="27"/>
        </w:trPr>
        <w:tc>
          <w:tcPr>
            <w:tcW w:w="7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720" w:type="dxa"/>
            <w:vAlign w:val="bottom"/>
          </w:tcPr>
          <w:p>
            <w:pPr>
              <w:spacing w:after="0"/>
              <w:rPr>
                <w:sz w:val="19"/>
                <w:szCs w:val="19"/>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1"/>
              </w:rPr>
              <w:t>(State or Other Jurisdiction</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6"/>
          </w:tcPr>
          <w:p>
            <w:pPr>
              <w:jc w:val="center"/>
              <w:ind w:right="1220"/>
              <w:spacing w:after="0"/>
              <w:rPr>
                <w:sz w:val="20"/>
                <w:szCs w:val="20"/>
                <w:color w:val="auto"/>
              </w:rPr>
            </w:pPr>
            <w:r>
              <w:rPr>
                <w:rFonts w:ascii="Arial" w:cs="Arial" w:eastAsia="Arial" w:hAnsi="Arial"/>
                <w:sz w:val="18"/>
                <w:szCs w:val="18"/>
                <w:color w:val="auto"/>
                <w:w w:val="91"/>
              </w:rPr>
              <w:t>(Commission</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720" w:type="dxa"/>
            <w:vAlign w:val="bottom"/>
          </w:tcPr>
          <w:p>
            <w:pPr>
              <w:spacing w:after="0"/>
              <w:rPr>
                <w:sz w:val="20"/>
                <w:szCs w:val="20"/>
                <w:color w:val="auto"/>
              </w:rPr>
            </w:pP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94"/>
              </w:rPr>
              <w:t>of Incorporation)</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6"/>
          </w:tcPr>
          <w:p>
            <w:pPr>
              <w:jc w:val="center"/>
              <w:ind w:right="120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294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(I.R.S. Employer Identification No.)</w:t>
            </w:r>
          </w:p>
        </w:tc>
      </w:tr>
      <w:tr>
        <w:trPr>
          <w:trHeight w:val="1053"/>
        </w:trPr>
        <w:tc>
          <w:tcPr>
            <w:tcW w:w="720" w:type="dxa"/>
            <w:vAlign w:val="bottom"/>
          </w:tcPr>
          <w:p>
            <w:pPr>
              <w:spacing w:after="0"/>
              <w:rPr>
                <w:sz w:val="24"/>
                <w:szCs w:val="24"/>
                <w:color w:val="auto"/>
              </w:rPr>
            </w:pPr>
          </w:p>
        </w:tc>
        <w:tc>
          <w:tcPr>
            <w:tcW w:w="69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2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84116</w:t>
            </w:r>
          </w:p>
        </w:tc>
        <w:tc>
          <w:tcPr>
            <w:tcW w:w="740" w:type="dxa"/>
            <w:vAlign w:val="bottom"/>
          </w:tcPr>
          <w:p>
            <w:pPr>
              <w:spacing w:after="0"/>
              <w:rPr>
                <w:sz w:val="24"/>
                <w:szCs w:val="24"/>
                <w:color w:val="auto"/>
              </w:rPr>
            </w:pPr>
          </w:p>
        </w:tc>
      </w:tr>
      <w:tr>
        <w:trPr>
          <w:trHeight w:val="27"/>
        </w:trPr>
        <w:tc>
          <w:tcPr>
            <w:tcW w:w="7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right="204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(Zip Code)</w:t>
            </w:r>
          </w:p>
        </w:tc>
      </w:tr>
      <w:tr>
        <w:trPr>
          <w:trHeight w:val="635"/>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20" w:type="dxa"/>
            <w:vAlign w:val="bottom"/>
            <w:gridSpan w:val="6"/>
          </w:tcPr>
          <w:p>
            <w:pPr>
              <w:jc w:val="center"/>
              <w:ind w:left="1770"/>
              <w:spacing w:after="0"/>
              <w:rPr>
                <w:sz w:val="20"/>
                <w:szCs w:val="20"/>
                <w:color w:val="auto"/>
              </w:rPr>
            </w:pPr>
            <w:r>
              <w:rPr>
                <w:rFonts w:ascii="Arial" w:cs="Arial" w:eastAsia="Arial" w:hAnsi="Arial"/>
                <w:sz w:val="18"/>
                <w:szCs w:val="18"/>
                <w:b w:val="1"/>
                <w:bCs w:val="1"/>
                <w:color w:val="auto"/>
                <w:w w:val="91"/>
              </w:rPr>
              <w:t>+1 (801) 975-7200</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10"/>
          </w:tcPr>
          <w:p>
            <w:pPr>
              <w:jc w:val="center"/>
              <w:ind w:left="70"/>
              <w:spacing w:after="0"/>
              <w:rPr>
                <w:sz w:val="20"/>
                <w:szCs w:val="20"/>
                <w:color w:val="auto"/>
              </w:rPr>
            </w:pPr>
            <w:r>
              <w:rPr>
                <w:rFonts w:ascii="Arial" w:cs="Arial" w:eastAsia="Arial" w:hAnsi="Arial"/>
                <w:sz w:val="18"/>
                <w:szCs w:val="18"/>
                <w:color w:val="auto"/>
                <w:w w:val="90"/>
              </w:rPr>
              <w:t>(Registrant’s telephone number, including area code)</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68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8, 2016, ClearOne, Inc. held its 2016 Annual Meeting of Shareholders at which ClearOne’s shareholders voted on the three proposals listed below. The final voting results with respect to each proposal are also set forth below. As of April 28, 2016, the record date for the meeting, there were 9,191,333 shares of common stock were issued and outstanding.</w:t>
      </w:r>
    </w:p>
    <w:p>
      <w:pPr>
        <w:spacing w:after="0" w:line="181" w:lineRule="exact"/>
        <w:rPr>
          <w:sz w:val="20"/>
          <w:szCs w:val="20"/>
          <w:color w:val="auto"/>
        </w:rPr>
      </w:pPr>
    </w:p>
    <w:p>
      <w:pPr>
        <w:ind w:left="320" w:right="52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Directors: Four out of five existing directors were re-elected to serve terms expiring at the 2017 Annual Meeting of Shareholders of the Company.</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Nominee</w:t>
            </w:r>
          </w:p>
        </w:tc>
        <w:tc>
          <w:tcPr>
            <w:tcW w:w="3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320" w:type="dxa"/>
            <w:vAlign w:val="bottom"/>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Votes withheld</w:t>
            </w:r>
          </w:p>
        </w:tc>
      </w:tr>
      <w:tr>
        <w:trPr>
          <w:trHeight w:val="237"/>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Zeynep Hakimoglu</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4,553,939</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44,714</w:t>
            </w:r>
          </w:p>
        </w:tc>
      </w:tr>
      <w:tr>
        <w:trPr>
          <w:trHeight w:val="270"/>
        </w:trPr>
        <w:tc>
          <w:tcPr>
            <w:tcW w:w="55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Brad R. Baldwin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4,553,964</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44,689</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Larry R. Hendricks</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4,537,683</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60,970</w:t>
            </w:r>
          </w:p>
        </w:tc>
      </w:tr>
      <w:tr>
        <w:trPr>
          <w:trHeight w:val="270"/>
        </w:trPr>
        <w:tc>
          <w:tcPr>
            <w:tcW w:w="5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Eric L. Robinson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4,550,381</w:t>
            </w:r>
          </w:p>
        </w:tc>
        <w:tc>
          <w:tcPr>
            <w:tcW w:w="32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48,272</w:t>
            </w:r>
          </w:p>
        </w:tc>
      </w:tr>
    </w:tbl>
    <w:p>
      <w:pPr>
        <w:spacing w:after="0" w:line="200" w:lineRule="exact"/>
        <w:rPr>
          <w:sz w:val="20"/>
          <w:szCs w:val="20"/>
          <w:color w:val="auto"/>
        </w:rPr>
      </w:pPr>
    </w:p>
    <w:p>
      <w:pPr>
        <w:spacing w:after="0" w:line="245" w:lineRule="exact"/>
        <w:rPr>
          <w:sz w:val="20"/>
          <w:szCs w:val="20"/>
          <w:color w:val="auto"/>
        </w:rPr>
      </w:pPr>
    </w:p>
    <w:p>
      <w:pPr>
        <w:ind w:left="320" w:right="60" w:hanging="312"/>
        <w:spacing w:after="0" w:line="277"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Ratification of the appointment of Tanner, LLC as ClearOne’s independent public accountants: Our shareholders ratified the appointment of Tanner, LLC as our independent public accountants.</w:t>
      </w:r>
    </w:p>
    <w:p>
      <w:pPr>
        <w:spacing w:after="0" w:line="302"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27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Votes 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Votes abstained</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7,178,541</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25,368</w:t>
            </w:r>
          </w:p>
        </w:tc>
        <w:tc>
          <w:tcPr>
            <w:tcW w:w="320" w:type="dxa"/>
            <w:vAlign w:val="bottom"/>
          </w:tcPr>
          <w:p>
            <w:pPr>
              <w:spacing w:after="0"/>
              <w:rPr>
                <w:sz w:val="20"/>
                <w:szCs w:val="20"/>
                <w:color w:val="auto"/>
              </w:rPr>
            </w:pPr>
          </w:p>
        </w:tc>
        <w:tc>
          <w:tcPr>
            <w:tcW w:w="25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90,174</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Advisory vote on the compensation of our named executive officers: Our shareholders approved the compensation of our named executive officers.</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27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Votes For</w:t>
            </w:r>
            <w:r>
              <w:rPr>
                <w:rFonts w:ascii="Arial" w:cs="Arial" w:eastAsia="Arial" w:hAnsi="Arial"/>
                <w:sz w:val="25"/>
                <w:szCs w:val="25"/>
                <w:color w:val="auto"/>
                <w:w w:val="85"/>
                <w:vertAlign w:val="superscript"/>
              </w:rPr>
              <w:t>(1)</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Votes 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Votes abstained</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Broker Non-votes</w:t>
            </w:r>
          </w:p>
        </w:tc>
      </w:tr>
      <w:tr>
        <w:trPr>
          <w:trHeight w:val="237"/>
        </w:trPr>
        <w:tc>
          <w:tcPr>
            <w:tcW w:w="2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4,245,523</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298,222</w:t>
            </w:r>
          </w:p>
        </w:tc>
        <w:tc>
          <w:tcPr>
            <w:tcW w:w="320" w:type="dxa"/>
            <w:vAlign w:val="bottom"/>
          </w:tcPr>
          <w:p>
            <w:pPr>
              <w:spacing w:after="0"/>
              <w:rPr>
                <w:sz w:val="20"/>
                <w:szCs w:val="20"/>
                <w:color w:val="auto"/>
              </w:rPr>
            </w:pPr>
          </w:p>
        </w:tc>
        <w:tc>
          <w:tcPr>
            <w:tcW w:w="25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54,908</w:t>
            </w:r>
          </w:p>
        </w:tc>
        <w:tc>
          <w:tcPr>
            <w:tcW w:w="320" w:type="dxa"/>
            <w:vAlign w:val="bottom"/>
          </w:tcPr>
          <w:p>
            <w:pPr>
              <w:spacing w:after="0"/>
              <w:rPr>
                <w:sz w:val="20"/>
                <w:szCs w:val="20"/>
                <w:color w:val="auto"/>
              </w:rPr>
            </w:pPr>
          </w:p>
        </w:tc>
        <w:tc>
          <w:tcPr>
            <w:tcW w:w="24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2,695,430</w:t>
            </w:r>
          </w:p>
        </w:tc>
      </w:tr>
    </w:tbl>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b w:val="1"/>
          <w:bCs w:val="1"/>
          <w:color w:val="auto"/>
        </w:rPr>
        <w:t xml:space="preserve"> </w:t>
      </w:r>
      <w:r>
        <w:rPr>
          <w:rFonts w:ascii="Arial" w:cs="Arial" w:eastAsia="Arial" w:hAnsi="Arial"/>
          <w:sz w:val="18"/>
          <w:szCs w:val="18"/>
          <w:color w:val="auto"/>
        </w:rPr>
        <w:t>: Votes reported as adjusted pursuant to the provisions of Utah Control Shares Acquisitions Act, as approved by ClearOne shareholders on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3, 2013.</w:t>
      </w:r>
    </w:p>
    <w:p>
      <w:pPr>
        <w:sectPr>
          <w:pgSz w:w="11900" w:h="16838" w:orient="portrait"/>
          <w:cols w:equalWidth="0" w:num="1">
            <w:col w:w="11420"/>
          </w:cols>
          <w:pgMar w:left="240" w:top="7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spacing w:after="0"/>
        <w:tabs>
          <w:tab w:leader="none" w:pos="4640" w:val="left"/>
          <w:tab w:leader="none" w:pos="5280" w:val="left"/>
        </w:tabs>
        <w:rPr>
          <w:sz w:val="20"/>
          <w:szCs w:val="20"/>
          <w:color w:val="auto"/>
        </w:rPr>
      </w:pPr>
      <w:r>
        <w:rPr>
          <w:rFonts w:ascii="Arial" w:cs="Arial" w:eastAsia="Arial" w:hAnsi="Arial"/>
          <w:sz w:val="18"/>
          <w:szCs w:val="18"/>
          <w:color w:val="auto"/>
        </w:rPr>
        <w:t>Date: June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Zeynep Hakimoglu</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2019-12-05T21:54:43Z</dcterms:created>
  <dcterms:modified xsi:type="dcterms:W3CDTF">2019-12-05T21:54:43Z</dcterms:modified>
</cp:coreProperties>
</file>