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10-QSB</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1160" w:right="3259" w:hanging="836"/>
        <w:spacing w:after="0" w:line="235" w:lineRule="auto"/>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 the quarterly period ended September 30, 1998</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160" w:right="3159" w:hanging="836"/>
        <w:spacing w:after="0" w:line="235" w:lineRule="auto"/>
        <w:tabs>
          <w:tab w:leader="none" w:pos="52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ectPr>
          <w:pgSz w:w="11900" w:h="16838" w:orient="portrait"/>
          <w:cols w:equalWidth="0" w:num="1">
            <w:col w:w="10219"/>
          </w:cols>
          <w:pgMar w:left="240" w:top="244" w:right="1440" w:bottom="1440" w:gutter="0" w:footer="0" w:header="0"/>
        </w:sectPr>
      </w:pPr>
    </w:p>
    <w:p>
      <w:pPr>
        <w:spacing w:after="0" w:line="20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sectPr>
          <w:pgSz w:w="11900" w:h="16838" w:orient="portrait"/>
          <w:cols w:equalWidth="0" w:num="2">
            <w:col w:w="5180" w:space="720"/>
            <w:col w:w="4319"/>
          </w:cols>
          <w:pgMar w:left="240" w:top="244" w:right="1440" w:bottom="1440" w:gutter="0" w:footer="0" w:header="0"/>
          <w:type w:val="continuous"/>
        </w:sect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800" w:space="420"/>
            <w:col w:w="3999"/>
          </w:cols>
          <w:pgMar w:left="240" w:top="244" w:right="1440" w:bottom="1440" w:gutter="0" w:footer="0" w:header="0"/>
          <w:type w:val="continuous"/>
        </w:sectPr>
      </w:pPr>
    </w:p>
    <w:p>
      <w:pPr>
        <w:spacing w:after="0" w:line="24"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Commission file number: 0-17219</w:t>
      </w:r>
    </w:p>
    <w:p>
      <w:pPr>
        <w:sectPr>
          <w:pgSz w:w="11900" w:h="16838" w:orient="portrait"/>
          <w:cols w:equalWidth="0" w:num="1">
            <w:col w:w="10219"/>
          </w:cols>
          <w:pgMar w:left="240" w:top="244" w:right="1440" w:bottom="1440" w:gutter="0" w:footer="0" w:header="0"/>
          <w:type w:val="continuous"/>
        </w:sectPr>
      </w:pP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ind w:left="1800"/>
              <w:spacing w:after="0"/>
              <w:rPr>
                <w:sz w:val="20"/>
                <w:szCs w:val="20"/>
                <w:color w:val="auto"/>
              </w:rPr>
            </w:pPr>
            <w:r>
              <w:rPr>
                <w:rFonts w:ascii="Courier New" w:cs="Courier New" w:eastAsia="Courier New" w:hAnsi="Courier New"/>
                <w:sz w:val="18"/>
                <w:szCs w:val="18"/>
                <w:color w:val="auto"/>
              </w:rPr>
              <w:t>UTAH</w:t>
            </w:r>
          </w:p>
        </w:tc>
        <w:tc>
          <w:tcPr>
            <w:tcW w:w="2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87-0398877</w:t>
            </w: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78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78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1825 RESEARCH WAY, SALT LAKE CITY, UTAH</w:t>
            </w:r>
          </w:p>
        </w:tc>
        <w:tc>
          <w:tcPr>
            <w:tcW w:w="2780" w:type="dxa"/>
            <w:vAlign w:val="bottom"/>
          </w:tcPr>
          <w:p>
            <w:pPr>
              <w:ind w:left="1520"/>
              <w:spacing w:after="0"/>
              <w:rPr>
                <w:sz w:val="20"/>
                <w:szCs w:val="20"/>
                <w:color w:val="auto"/>
              </w:rPr>
            </w:pPr>
            <w:r>
              <w:rPr>
                <w:rFonts w:ascii="Courier New" w:cs="Courier New" w:eastAsia="Courier New" w:hAnsi="Courier New"/>
                <w:sz w:val="18"/>
                <w:szCs w:val="18"/>
                <w:color w:val="auto"/>
              </w:rPr>
              <w:t>84119</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780" w:type="dxa"/>
            <w:vAlign w:val="bottom"/>
          </w:tcPr>
          <w:p>
            <w:pPr>
              <w:ind w:left="1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78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608"/>
        </w:trPr>
        <w:tc>
          <w:tcPr>
            <w:tcW w:w="790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Registrant's telephone number, including area code: (801) 975-7200</w:t>
            </w:r>
          </w:p>
        </w:tc>
      </w:tr>
    </w:tbl>
    <w:p>
      <w:pPr>
        <w:spacing w:after="0" w:line="200" w:lineRule="exact"/>
        <w:rPr>
          <w:sz w:val="24"/>
          <w:szCs w:val="24"/>
          <w:color w:val="auto"/>
        </w:rPr>
      </w:pPr>
    </w:p>
    <w:p>
      <w:pPr>
        <w:spacing w:after="0" w:line="204"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 name, former address and former fiscal year,</w:t>
      </w:r>
    </w:p>
    <w:p>
      <w:pPr>
        <w:jc w:val="center"/>
        <w:ind w:right="1779"/>
        <w:spacing w:after="0"/>
        <w:rPr>
          <w:sz w:val="20"/>
          <w:szCs w:val="20"/>
          <w:color w:val="auto"/>
        </w:rPr>
      </w:pPr>
      <w:r>
        <w:rPr>
          <w:rFonts w:ascii="Courier New" w:cs="Courier New" w:eastAsia="Courier New" w:hAnsi="Courier New"/>
          <w:sz w:val="18"/>
          <w:szCs w:val="18"/>
          <w:color w:val="auto"/>
        </w:rPr>
        <w:t>if changed since last report.)</w:t>
      </w:r>
    </w:p>
    <w:p>
      <w:pPr>
        <w:spacing w:after="0" w:line="200" w:lineRule="exact"/>
        <w:rPr>
          <w:sz w:val="24"/>
          <w:szCs w:val="24"/>
          <w:color w:val="auto"/>
        </w:rPr>
      </w:pPr>
    </w:p>
    <w:p>
      <w:pPr>
        <w:spacing w:after="0" w:line="209" w:lineRule="exact"/>
        <w:rPr>
          <w:sz w:val="24"/>
          <w:szCs w:val="24"/>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Check whether the issuer (1) filed all reports required to be filed by Section 13 or 15(d) of the Securities Exchange Act during the preceding 12 months (or</w:t>
      </w:r>
    </w:p>
    <w:tbl>
      <w:tblPr>
        <w:tblLayout w:type="fixed"/>
        <w:tblInd w:w="0" w:type="dxa"/>
        <w:tblCellMar>
          <w:top w:w="0" w:type="dxa"/>
          <w:left w:w="0" w:type="dxa"/>
          <w:bottom w:w="0" w:type="dxa"/>
          <w:right w:w="0" w:type="dxa"/>
        </w:tblCellMar>
      </w:tblPr>
      <w:tr>
        <w:trPr>
          <w:trHeight w:val="199"/>
        </w:trPr>
        <w:tc>
          <w:tcPr>
            <w:tcW w:w="17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7"/>
              </w:rPr>
              <w:t>for such shorter</w:t>
            </w:r>
          </w:p>
        </w:tc>
        <w:tc>
          <w:tcPr>
            <w:tcW w:w="6700" w:type="dxa"/>
            <w:vAlign w:val="bottom"/>
            <w:gridSpan w:val="2"/>
          </w:tcPr>
          <w:p>
            <w:pPr>
              <w:ind w:left="60"/>
              <w:spacing w:after="0" w:line="198" w:lineRule="exact"/>
              <w:rPr>
                <w:sz w:val="20"/>
                <w:szCs w:val="20"/>
                <w:color w:val="auto"/>
              </w:rPr>
            </w:pPr>
            <w:r>
              <w:rPr>
                <w:rFonts w:ascii="Courier New" w:cs="Courier New" w:eastAsia="Courier New" w:hAnsi="Courier New"/>
                <w:sz w:val="18"/>
                <w:szCs w:val="18"/>
                <w:color w:val="auto"/>
                <w:w w:val="98"/>
              </w:rPr>
              <w:t>period that the registrant was required to file such reports),</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and (2) has been</w:t>
            </w:r>
          </w:p>
        </w:tc>
        <w:tc>
          <w:tcPr>
            <w:tcW w:w="6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subject to such filing requirements for the past 90 days.</w:t>
            </w:r>
          </w:p>
        </w:tc>
      </w:tr>
      <w:tr>
        <w:trPr>
          <w:trHeight w:val="405"/>
        </w:trPr>
        <w:tc>
          <w:tcPr>
            <w:tcW w:w="1740" w:type="dxa"/>
            <w:vAlign w:val="bottom"/>
          </w:tcPr>
          <w:p>
            <w:pPr>
              <w:spacing w:after="0"/>
              <w:rPr>
                <w:sz w:val="24"/>
                <w:szCs w:val="24"/>
                <w:color w:val="auto"/>
              </w:rPr>
            </w:pPr>
          </w:p>
        </w:tc>
        <w:tc>
          <w:tcPr>
            <w:tcW w:w="3540" w:type="dxa"/>
            <w:vAlign w:val="bottom"/>
          </w:tcPr>
          <w:p>
            <w:pPr>
              <w:ind w:left="1740"/>
              <w:spacing w:after="0"/>
              <w:rPr>
                <w:sz w:val="20"/>
                <w:szCs w:val="20"/>
                <w:color w:val="auto"/>
              </w:rPr>
            </w:pPr>
            <w:r>
              <w:rPr>
                <w:rFonts w:ascii="Courier New" w:cs="Courier New" w:eastAsia="Courier New" w:hAnsi="Courier New"/>
                <w:sz w:val="18"/>
                <w:szCs w:val="18"/>
                <w:color w:val="auto"/>
              </w:rPr>
              <w:t>[X] Yes [ ] No</w:t>
            </w:r>
          </w:p>
        </w:tc>
        <w:tc>
          <w:tcPr>
            <w:tcW w:w="3160" w:type="dxa"/>
            <w:vAlign w:val="bottom"/>
          </w:tcPr>
          <w:p>
            <w:pPr>
              <w:spacing w:after="0"/>
              <w:rPr>
                <w:sz w:val="24"/>
                <w:szCs w:val="24"/>
                <w:color w:val="auto"/>
              </w:rPr>
            </w:pPr>
          </w:p>
        </w:tc>
      </w:tr>
      <w:tr>
        <w:trPr>
          <w:trHeight w:val="405"/>
        </w:trPr>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w w:val="97"/>
              </w:rPr>
              <w:t>State the number</w:t>
            </w:r>
          </w:p>
        </w:tc>
        <w:tc>
          <w:tcPr>
            <w:tcW w:w="67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of shares outstanding of each of the issuer's classes of common</w:t>
            </w: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 as of the latest practicable date.</w:t>
            </w:r>
          </w:p>
        </w:tc>
        <w:tc>
          <w:tcPr>
            <w:tcW w:w="3160" w:type="dxa"/>
            <w:vAlign w:val="bottom"/>
          </w:tcPr>
          <w:p>
            <w:pPr>
              <w:spacing w:after="0"/>
              <w:rPr>
                <w:sz w:val="17"/>
                <w:szCs w:val="17"/>
                <w:color w:val="auto"/>
              </w:rPr>
            </w:pPr>
          </w:p>
        </w:tc>
      </w:tr>
      <w:tr>
        <w:trPr>
          <w:trHeight w:val="405"/>
        </w:trPr>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CLASS OF</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COMMON STOCK</w:t>
            </w:r>
          </w:p>
        </w:tc>
        <w:tc>
          <w:tcPr>
            <w:tcW w:w="3160" w:type="dxa"/>
            <w:vAlign w:val="bottom"/>
          </w:tcPr>
          <w:p>
            <w:pPr>
              <w:ind w:left="320"/>
              <w:spacing w:after="0"/>
              <w:rPr>
                <w:sz w:val="20"/>
                <w:szCs w:val="20"/>
                <w:color w:val="auto"/>
              </w:rPr>
            </w:pPr>
            <w:r>
              <w:rPr>
                <w:rFonts w:ascii="Courier New" w:cs="Courier New" w:eastAsia="Courier New" w:hAnsi="Courier New"/>
                <w:sz w:val="18"/>
                <w:szCs w:val="18"/>
                <w:color w:val="auto"/>
              </w:rPr>
              <w:t>NOVEMBER 13, 1998</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$0.001</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 VALUE</w:t>
            </w:r>
          </w:p>
        </w:tc>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8,122,616 SHARES</w:t>
            </w:r>
          </w:p>
        </w:tc>
      </w:tr>
    </w:tbl>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Transitional Small Business Disclosure Format (check one)</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 ] Yes [X] No</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5100" w:type="dxa"/>
            <w:vAlign w:val="bottom"/>
          </w:tcPr>
          <w:p>
            <w:pPr>
              <w:ind w:left="2900"/>
              <w:spacing w:after="0"/>
              <w:rPr>
                <w:sz w:val="20"/>
                <w:szCs w:val="20"/>
                <w:color w:val="auto"/>
              </w:rPr>
            </w:pPr>
            <w:r>
              <w:rPr>
                <w:rFonts w:ascii="Courier New" w:cs="Courier New" w:eastAsia="Courier New" w:hAnsi="Courier New"/>
                <w:sz w:val="18"/>
                <w:szCs w:val="18"/>
                <w:color w:val="auto"/>
              </w:rPr>
              <w:t>INDEX</w:t>
            </w:r>
          </w:p>
        </w:tc>
        <w:tc>
          <w:tcPr>
            <w:tcW w:w="2420" w:type="dxa"/>
            <w:vAlign w:val="bottom"/>
          </w:tcPr>
          <w:p>
            <w:pPr>
              <w:spacing w:after="0"/>
              <w:rPr>
                <w:sz w:val="17"/>
                <w:szCs w:val="17"/>
                <w:color w:val="auto"/>
              </w:rPr>
            </w:pPr>
          </w:p>
        </w:tc>
      </w:tr>
      <w:tr>
        <w:trPr>
          <w:trHeight w:val="1013"/>
        </w:trPr>
        <w:tc>
          <w:tcPr>
            <w:tcW w:w="11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1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NUMBER</w:t>
            </w:r>
          </w:p>
        </w:tc>
      </w:tr>
      <w:tr>
        <w:trPr>
          <w:trHeight w:val="203"/>
        </w:trPr>
        <w:tc>
          <w:tcPr>
            <w:tcW w:w="11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PART I -- FINANCIAL  INFORMATION</w:t>
            </w:r>
          </w:p>
        </w:tc>
        <w:tc>
          <w:tcPr>
            <w:tcW w:w="2420" w:type="dxa"/>
            <w:vAlign w:val="bottom"/>
          </w:tcPr>
          <w:p>
            <w:pPr>
              <w:spacing w:after="0"/>
              <w:rPr>
                <w:sz w:val="17"/>
                <w:szCs w:val="17"/>
                <w:color w:val="auto"/>
              </w:rPr>
            </w:pPr>
          </w:p>
        </w:tc>
      </w:tr>
      <w:tr>
        <w:trPr>
          <w:trHeight w:val="405"/>
        </w:trPr>
        <w:tc>
          <w:tcPr>
            <w:tcW w:w="62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Item 1. Financial Statements</w:t>
            </w:r>
          </w:p>
        </w:tc>
        <w:tc>
          <w:tcPr>
            <w:tcW w:w="2420" w:type="dxa"/>
            <w:vAlign w:val="bottom"/>
          </w:tcPr>
          <w:p>
            <w:pPr>
              <w:spacing w:after="0"/>
              <w:rPr>
                <w:sz w:val="24"/>
                <w:szCs w:val="24"/>
                <w:color w:val="auto"/>
              </w:rPr>
            </w:pPr>
          </w:p>
        </w:tc>
      </w:tr>
      <w:tr>
        <w:trPr>
          <w:trHeight w:val="405"/>
        </w:trPr>
        <w:tc>
          <w:tcPr>
            <w:tcW w:w="622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Balance Sheets</w:t>
            </w:r>
          </w:p>
        </w:tc>
        <w:tc>
          <w:tcPr>
            <w:tcW w:w="242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5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September 30, 1998 (unaudited) and June 30, 1998</w:t>
            </w:r>
          </w:p>
        </w:tc>
        <w:tc>
          <w:tcPr>
            <w:tcW w:w="2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 3</w:t>
            </w:r>
          </w:p>
        </w:tc>
      </w:tr>
      <w:tr>
        <w:trPr>
          <w:trHeight w:val="608"/>
        </w:trPr>
        <w:tc>
          <w:tcPr>
            <w:tcW w:w="622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Statements of Operations</w:t>
            </w:r>
          </w:p>
        </w:tc>
        <w:tc>
          <w:tcPr>
            <w:tcW w:w="242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5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Three Months Ended September 30, 1998 and</w:t>
            </w:r>
          </w:p>
        </w:tc>
        <w:tc>
          <w:tcPr>
            <w:tcW w:w="24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w w:val="78"/>
              </w:rPr>
              <w:t>1997 (unaudited)...................................................</w:t>
            </w:r>
          </w:p>
        </w:tc>
        <w:tc>
          <w:tcPr>
            <w:tcW w:w="2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622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Condensed Statements of Cash Flows</w:t>
            </w:r>
          </w:p>
        </w:tc>
        <w:tc>
          <w:tcPr>
            <w:tcW w:w="242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5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Three Months Ended September 30, 1998 and</w:t>
            </w:r>
          </w:p>
        </w:tc>
        <w:tc>
          <w:tcPr>
            <w:tcW w:w="24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w w:val="78"/>
              </w:rPr>
              <w:t>1997 (unaudited)...................................................</w:t>
            </w:r>
          </w:p>
        </w:tc>
        <w:tc>
          <w:tcPr>
            <w:tcW w:w="2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w:t>
            </w:r>
          </w:p>
        </w:tc>
      </w:tr>
      <w:tr>
        <w:trPr>
          <w:trHeight w:val="608"/>
        </w:trPr>
        <w:tc>
          <w:tcPr>
            <w:tcW w:w="6220" w:type="dxa"/>
            <w:vAlign w:val="bottom"/>
            <w:gridSpan w:val="2"/>
          </w:tcPr>
          <w:p>
            <w:pPr>
              <w:ind w:left="960"/>
              <w:spacing w:after="0"/>
              <w:rPr>
                <w:sz w:val="20"/>
                <w:szCs w:val="20"/>
                <w:color w:val="auto"/>
              </w:rPr>
            </w:pPr>
            <w:r>
              <w:rPr>
                <w:rFonts w:ascii="Courier New" w:cs="Courier New" w:eastAsia="Courier New" w:hAnsi="Courier New"/>
                <w:sz w:val="18"/>
                <w:szCs w:val="18"/>
                <w:color w:val="auto"/>
                <w:w w:val="70"/>
              </w:rPr>
              <w:t>Notes to Financial Statements........................................</w:t>
            </w:r>
          </w:p>
        </w:tc>
        <w:tc>
          <w:tcPr>
            <w:tcW w:w="2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r>
      <w:tr>
        <w:trPr>
          <w:trHeight w:val="608"/>
        </w:trPr>
        <w:tc>
          <w:tcPr>
            <w:tcW w:w="622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Item 2. Management's Discussion and Analysis of Financial</w:t>
            </w:r>
          </w:p>
        </w:tc>
        <w:tc>
          <w:tcPr>
            <w:tcW w:w="2420" w:type="dxa"/>
            <w:vAlign w:val="bottom"/>
          </w:tcPr>
          <w:p>
            <w:pPr>
              <w:spacing w:after="0"/>
              <w:rPr>
                <w:sz w:val="24"/>
                <w:szCs w:val="24"/>
                <w:color w:val="auto"/>
              </w:rPr>
            </w:pPr>
          </w:p>
        </w:tc>
      </w:tr>
      <w:tr>
        <w:trPr>
          <w:trHeight w:val="203"/>
        </w:trPr>
        <w:tc>
          <w:tcPr>
            <w:tcW w:w="622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70"/>
              </w:rPr>
              <w:t>Condition and Results of Operations..................................</w:t>
            </w:r>
          </w:p>
        </w:tc>
        <w:tc>
          <w:tcPr>
            <w:tcW w:w="2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w:t>
            </w:r>
          </w:p>
        </w:tc>
      </w:tr>
      <w:tr>
        <w:trPr>
          <w:trHeight w:val="810"/>
        </w:trPr>
        <w:tc>
          <w:tcPr>
            <w:tcW w:w="1120" w:type="dxa"/>
            <w:vAlign w:val="bottom"/>
          </w:tcPr>
          <w:p>
            <w:pPr>
              <w:spacing w:after="0"/>
              <w:rPr>
                <w:sz w:val="20"/>
                <w:szCs w:val="20"/>
                <w:color w:val="auto"/>
              </w:rPr>
            </w:pPr>
            <w:r>
              <w:rPr>
                <w:rFonts w:ascii="Courier New" w:cs="Courier New" w:eastAsia="Courier New" w:hAnsi="Courier New"/>
                <w:sz w:val="18"/>
                <w:szCs w:val="18"/>
                <w:color w:val="auto"/>
              </w:rPr>
              <w:t>PART II --</w:t>
            </w:r>
          </w:p>
        </w:tc>
        <w:tc>
          <w:tcPr>
            <w:tcW w:w="5100" w:type="dxa"/>
            <w:vAlign w:val="bottom"/>
          </w:tcPr>
          <w:p>
            <w:pPr>
              <w:ind w:left="40"/>
              <w:spacing w:after="0"/>
              <w:rPr>
                <w:sz w:val="20"/>
                <w:szCs w:val="20"/>
                <w:color w:val="auto"/>
              </w:rPr>
            </w:pPr>
            <w:r>
              <w:rPr>
                <w:rFonts w:ascii="Courier New" w:cs="Courier New" w:eastAsia="Courier New" w:hAnsi="Courier New"/>
                <w:sz w:val="18"/>
                <w:szCs w:val="18"/>
                <w:color w:val="auto"/>
              </w:rPr>
              <w:t>OTHER  INFORMATION</w:t>
            </w:r>
          </w:p>
        </w:tc>
        <w:tc>
          <w:tcPr>
            <w:tcW w:w="2420" w:type="dxa"/>
            <w:vAlign w:val="bottom"/>
          </w:tcPr>
          <w:p>
            <w:pPr>
              <w:spacing w:after="0"/>
              <w:rPr>
                <w:sz w:val="24"/>
                <w:szCs w:val="24"/>
                <w:color w:val="auto"/>
              </w:rPr>
            </w:pPr>
          </w:p>
        </w:tc>
      </w:tr>
      <w:tr>
        <w:trPr>
          <w:trHeight w:val="405"/>
        </w:trPr>
        <w:tc>
          <w:tcPr>
            <w:tcW w:w="1120" w:type="dxa"/>
            <w:vAlign w:val="bottom"/>
          </w:tcPr>
          <w:p>
            <w:pPr>
              <w:ind w:left="220"/>
              <w:spacing w:after="0"/>
              <w:rPr>
                <w:sz w:val="20"/>
                <w:szCs w:val="20"/>
                <w:color w:val="auto"/>
              </w:rPr>
            </w:pPr>
            <w:r>
              <w:rPr>
                <w:rFonts w:ascii="Courier New" w:cs="Courier New" w:eastAsia="Courier New" w:hAnsi="Courier New"/>
                <w:sz w:val="18"/>
                <w:szCs w:val="18"/>
                <w:color w:val="auto"/>
              </w:rPr>
              <w:t>Item 6.</w:t>
            </w: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w w:val="78"/>
              </w:rPr>
              <w:t>Exhibits and Reports on Form 8-K...................................</w:t>
            </w:r>
          </w:p>
        </w:tc>
        <w:tc>
          <w:tcPr>
            <w:tcW w:w="2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w:t>
            </w:r>
          </w:p>
        </w:tc>
      </w:tr>
      <w:tr>
        <w:trPr>
          <w:trHeight w:val="1013"/>
        </w:trPr>
        <w:tc>
          <w:tcPr>
            <w:tcW w:w="1120" w:type="dxa"/>
            <w:vAlign w:val="bottom"/>
          </w:tcPr>
          <w:p>
            <w:pPr>
              <w:spacing w:after="0"/>
              <w:rPr>
                <w:sz w:val="24"/>
                <w:szCs w:val="24"/>
                <w:color w:val="auto"/>
              </w:rPr>
            </w:pPr>
          </w:p>
        </w:tc>
        <w:tc>
          <w:tcPr>
            <w:tcW w:w="5100" w:type="dxa"/>
            <w:vAlign w:val="bottom"/>
          </w:tcPr>
          <w:p>
            <w:pPr>
              <w:ind w:left="3000"/>
              <w:spacing w:after="0"/>
              <w:rPr>
                <w:sz w:val="20"/>
                <w:szCs w:val="20"/>
                <w:color w:val="auto"/>
              </w:rPr>
            </w:pPr>
            <w:r>
              <w:rPr>
                <w:rFonts w:ascii="Courier New" w:cs="Courier New" w:eastAsia="Courier New" w:hAnsi="Courier New"/>
                <w:sz w:val="18"/>
                <w:szCs w:val="18"/>
                <w:color w:val="auto"/>
              </w:rPr>
              <w:t>2</w:t>
            </w:r>
          </w:p>
        </w:tc>
        <w:tc>
          <w:tcPr>
            <w:tcW w:w="242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60" w:type="dxa"/>
            <w:vAlign w:val="bottom"/>
          </w:tcPr>
          <w:p>
            <w:pPr>
              <w:jc w:val="right"/>
              <w:ind w:right="6452"/>
              <w:spacing w:after="0"/>
              <w:rPr>
                <w:sz w:val="20"/>
                <w:szCs w:val="20"/>
                <w:color w:val="auto"/>
              </w:rPr>
            </w:pPr>
            <w:r>
              <w:rPr>
                <w:rFonts w:ascii="Courier New" w:cs="Courier New" w:eastAsia="Courier New" w:hAnsi="Courier New"/>
                <w:sz w:val="18"/>
                <w:szCs w:val="18"/>
                <w:color w:val="auto"/>
              </w:rPr>
              <w:t>3</w:t>
            </w: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8"/>
        </w:trPr>
        <w:tc>
          <w:tcPr>
            <w:tcW w:w="69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GENTNER COMMUNICATIONS CORPORATION</w:t>
            </w: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696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BALANCE SHEETS</w:t>
            </w: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810"/>
        </w:trPr>
        <w:tc>
          <w:tcPr>
            <w:tcW w:w="6960" w:type="dxa"/>
            <w:vAlign w:val="bottom"/>
          </w:tcPr>
          <w:p>
            <w:pPr>
              <w:spacing w:after="0"/>
              <w:rPr>
                <w:sz w:val="24"/>
                <w:szCs w:val="24"/>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8"/>
                <w:szCs w:val="18"/>
                <w:color w:val="auto"/>
              </w:rPr>
              <w:t>(Unaudited)</w:t>
            </w:r>
          </w:p>
        </w:tc>
        <w:tc>
          <w:tcPr>
            <w:tcW w:w="3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Courier New" w:cs="Courier New" w:eastAsia="Courier New" w:hAnsi="Courier New"/>
                <w:sz w:val="18"/>
                <w:szCs w:val="18"/>
                <w:color w:val="auto"/>
                <w:w w:val="94"/>
              </w:rPr>
              <w:t>(Audited)</w:t>
            </w:r>
          </w:p>
        </w:tc>
      </w:tr>
      <w:tr>
        <w:trPr>
          <w:trHeight w:val="203"/>
        </w:trPr>
        <w:tc>
          <w:tcPr>
            <w:tcW w:w="6960" w:type="dxa"/>
            <w:vAlign w:val="bottom"/>
          </w:tcPr>
          <w:p>
            <w:pPr>
              <w:spacing w:after="0"/>
              <w:rPr>
                <w:sz w:val="17"/>
                <w:szCs w:val="17"/>
                <w:color w:val="auto"/>
              </w:rPr>
            </w:pPr>
          </w:p>
        </w:tc>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September 30,</w:t>
            </w:r>
          </w:p>
        </w:tc>
        <w:tc>
          <w:tcPr>
            <w:tcW w:w="38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6960" w:type="dxa"/>
            <w:vAlign w:val="bottom"/>
          </w:tcPr>
          <w:p>
            <w:pPr>
              <w:spacing w:after="0"/>
              <w:rPr>
                <w:sz w:val="17"/>
                <w:szCs w:val="17"/>
                <w:color w:val="auto"/>
              </w:rPr>
            </w:pPr>
          </w:p>
        </w:tc>
        <w:tc>
          <w:tcPr>
            <w:tcW w:w="18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1998</w:t>
            </w:r>
          </w:p>
        </w:tc>
        <w:tc>
          <w:tcPr>
            <w:tcW w:w="3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960" w:type="dxa"/>
            <w:vAlign w:val="bottom"/>
          </w:tcPr>
          <w:p>
            <w:pPr>
              <w:spacing w:after="0"/>
              <w:rPr>
                <w:sz w:val="17"/>
                <w:szCs w:val="17"/>
                <w:color w:val="auto"/>
              </w:rPr>
            </w:pPr>
          </w:p>
        </w:tc>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60" w:type="dxa"/>
            <w:vAlign w:val="bottom"/>
          </w:tcPr>
          <w:p>
            <w:pPr>
              <w:jc w:val="right"/>
              <w:ind w:right="3492"/>
              <w:spacing w:after="0"/>
              <w:rPr>
                <w:sz w:val="20"/>
                <w:szCs w:val="20"/>
                <w:color w:val="auto"/>
              </w:rPr>
            </w:pPr>
            <w:r>
              <w:rPr>
                <w:rFonts w:ascii="Courier New" w:cs="Courier New" w:eastAsia="Courier New" w:hAnsi="Courier New"/>
                <w:sz w:val="18"/>
                <w:szCs w:val="18"/>
                <w:color w:val="auto"/>
              </w:rPr>
              <w:t>ASSETS</w:t>
            </w: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Cash and cash equivalents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$2,059,947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715,325</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Accounts receivable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2,199,339</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1,743,390</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Inventory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2,523,053</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3,154,983</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Deferred taxes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40,000</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Other current assets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144,467</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174,667</w:t>
            </w:r>
          </w:p>
        </w:tc>
      </w:tr>
      <w:tr>
        <w:trPr>
          <w:trHeight w:val="203"/>
        </w:trPr>
        <w:tc>
          <w:tcPr>
            <w:tcW w:w="696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current assets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6,966,806</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5,828,365</w:t>
            </w:r>
          </w:p>
        </w:tc>
      </w:tr>
      <w:tr>
        <w:trPr>
          <w:trHeight w:val="405"/>
        </w:trPr>
        <w:tc>
          <w:tcPr>
            <w:tcW w:w="6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Property and equipment, net ....................................</w:t>
            </w: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2,152,268</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2,320,336</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Related party note receivable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122,846</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126,505</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Other assets, net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31,076</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36,534</w:t>
            </w:r>
          </w:p>
        </w:tc>
      </w:tr>
      <w:tr>
        <w:trPr>
          <w:trHeight w:val="203"/>
        </w:trPr>
        <w:tc>
          <w:tcPr>
            <w:tcW w:w="696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Total assets ...........................................</w:t>
            </w: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$9,272,996</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$8,311,740</w:t>
            </w:r>
          </w:p>
        </w:tc>
      </w:tr>
      <w:tr>
        <w:trPr>
          <w:trHeight w:val="203"/>
        </w:trPr>
        <w:tc>
          <w:tcPr>
            <w:tcW w:w="696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96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LIABILITIES AND SHAREHOLDERS' EQUITY</w:t>
            </w: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Accounts payable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669,127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537,202</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Accrued compensation and other benefits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562,332</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486,658</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Other accrued expenses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422,187</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372,823</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Current portion of long-term debt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294,274</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285,630</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Current portion of capital lease obligations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238,927</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237,109</w:t>
            </w:r>
          </w:p>
        </w:tc>
      </w:tr>
      <w:tr>
        <w:trPr>
          <w:trHeight w:val="203"/>
        </w:trPr>
        <w:tc>
          <w:tcPr>
            <w:tcW w:w="696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current liabilities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2,186,847</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1,919,422</w:t>
            </w:r>
          </w:p>
        </w:tc>
      </w:tr>
      <w:tr>
        <w:trPr>
          <w:trHeight w:val="405"/>
        </w:trPr>
        <w:tc>
          <w:tcPr>
            <w:tcW w:w="6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Long-term debt .................................................</w:t>
            </w: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325,472</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402,584</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Capital lease obligations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696,854</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752,728</w:t>
            </w:r>
          </w:p>
        </w:tc>
      </w:tr>
      <w:tr>
        <w:trPr>
          <w:trHeight w:val="203"/>
        </w:trPr>
        <w:tc>
          <w:tcPr>
            <w:tcW w:w="696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liabilities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3,209,173</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3,074,734</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Common stock, 50,000,000 shares authorized, par value $.001,</w:t>
            </w: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8,122,095 and 7,698,523 shares issued and outstanding</w:t>
            </w: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at September 30, 1998 and June 30, 1998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8,122</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7,699</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Additional paid-in capital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4,772,004</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4,454,407</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Retained earnings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1,283,697</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774,900</w:t>
            </w:r>
          </w:p>
        </w:tc>
      </w:tr>
      <w:tr>
        <w:trPr>
          <w:trHeight w:val="203"/>
        </w:trPr>
        <w:tc>
          <w:tcPr>
            <w:tcW w:w="696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shareholders' equity .............................</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6,063,823</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5,237,006</w:t>
            </w:r>
          </w:p>
        </w:tc>
      </w:tr>
      <w:tr>
        <w:trPr>
          <w:trHeight w:val="203"/>
        </w:trPr>
        <w:tc>
          <w:tcPr>
            <w:tcW w:w="696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Total liabilities and shareholders' equity .............</w:t>
            </w: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$9,272,996</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$8,311,740</w:t>
            </w:r>
          </w:p>
        </w:tc>
      </w:tr>
      <w:tr>
        <w:trPr>
          <w:trHeight w:val="203"/>
        </w:trPr>
        <w:tc>
          <w:tcPr>
            <w:tcW w:w="696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700" w:type="dxa"/>
            <w:vAlign w:val="bottom"/>
          </w:tcPr>
          <w:p>
            <w:pPr>
              <w:spacing w:after="0"/>
              <w:rPr>
                <w:sz w:val="17"/>
                <w:szCs w:val="17"/>
                <w:color w:val="auto"/>
              </w:rPr>
            </w:pPr>
          </w:p>
        </w:tc>
        <w:tc>
          <w:tcPr>
            <w:tcW w:w="332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1998</w:t>
            </w:r>
          </w:p>
        </w:tc>
        <w:tc>
          <w:tcPr>
            <w:tcW w:w="4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Net sales .................................</w:t>
            </w:r>
          </w:p>
        </w:tc>
        <w:tc>
          <w:tcPr>
            <w:tcW w:w="17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$ 5,497,943</w:t>
            </w:r>
          </w:p>
        </w:tc>
        <w:tc>
          <w:tcPr>
            <w:tcW w:w="15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$ 3,724,979</w:t>
            </w: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Cost of goods sold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2,517,362</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1,827,190</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Gross profit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2,980,581</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1,897,789</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Marketing and selling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1,129,179</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736,780</w:t>
            </w: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General and administrative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635,632</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599,522</w:t>
            </w: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Product development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363,529</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296,489</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operating expense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2,128,340</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1,632,791</w:t>
            </w:r>
          </w:p>
        </w:tc>
      </w:tr>
      <w:tr>
        <w:trPr>
          <w:trHeight w:val="405"/>
        </w:trPr>
        <w:tc>
          <w:tcPr>
            <w:tcW w:w="4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Operating income ..................</w:t>
            </w:r>
          </w:p>
        </w:tc>
        <w:tc>
          <w:tcPr>
            <w:tcW w:w="36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852,241</w:t>
            </w:r>
          </w:p>
        </w:tc>
        <w:tc>
          <w:tcPr>
            <w:tcW w:w="46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264,998</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income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8,825</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3,717</w:t>
            </w: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expense ......................</w:t>
            </w:r>
          </w:p>
        </w:tc>
        <w:tc>
          <w:tcPr>
            <w:tcW w:w="3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(34,460)</w:t>
            </w:r>
          </w:p>
        </w:tc>
        <w:tc>
          <w:tcPr>
            <w:tcW w:w="4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(64,554)</w:t>
            </w: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net ............................</w:t>
            </w:r>
          </w:p>
        </w:tc>
        <w:tc>
          <w:tcPr>
            <w:tcW w:w="3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(9,809)</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4,018</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other income (expense) ......</w:t>
            </w:r>
          </w:p>
        </w:tc>
        <w:tc>
          <w:tcPr>
            <w:tcW w:w="3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(35,444)</w:t>
            </w:r>
          </w:p>
        </w:tc>
        <w:tc>
          <w:tcPr>
            <w:tcW w:w="4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(56,819)</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Income before income taxes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816,797</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208,179</w:t>
            </w:r>
          </w:p>
        </w:tc>
      </w:tr>
      <w:tr>
        <w:trPr>
          <w:trHeight w:val="405"/>
        </w:trPr>
        <w:tc>
          <w:tcPr>
            <w:tcW w:w="47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Provision for income taxes ................</w:t>
            </w:r>
          </w:p>
        </w:tc>
        <w:tc>
          <w:tcPr>
            <w:tcW w:w="36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308,000</w:t>
            </w:r>
          </w:p>
        </w:tc>
        <w:tc>
          <w:tcPr>
            <w:tcW w:w="46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 ........................</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508,797</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208,179</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Basic earnings (loss) per common share ....</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0.06</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0.03</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Diluted earnings (loss) per common share...</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0.06</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0.03</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7020" w:type="dxa"/>
            <w:vAlign w:val="bottom"/>
          </w:tcPr>
          <w:p>
            <w:pPr>
              <w:jc w:val="right"/>
              <w:ind w:right="6512"/>
              <w:spacing w:after="0"/>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8"/>
        </w:trPr>
        <w:tc>
          <w:tcPr>
            <w:tcW w:w="702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GENTNER COMMUNICATIONS CORPORATION</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7020" w:type="dxa"/>
            <w:vAlign w:val="bottom"/>
          </w:tcPr>
          <w:p>
            <w:pPr>
              <w:jc w:val="right"/>
              <w:ind w:right="1452"/>
              <w:spacing w:after="0"/>
              <w:rPr>
                <w:sz w:val="20"/>
                <w:szCs w:val="20"/>
                <w:color w:val="auto"/>
              </w:rPr>
            </w:pPr>
            <w:r>
              <w:rPr>
                <w:rFonts w:ascii="Courier New" w:cs="Courier New" w:eastAsia="Courier New" w:hAnsi="Courier New"/>
                <w:sz w:val="18"/>
                <w:szCs w:val="18"/>
                <w:color w:val="auto"/>
              </w:rPr>
              <w:t>STATEMENTS OF CASH FLOWS</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10"/>
        </w:trPr>
        <w:tc>
          <w:tcPr>
            <w:tcW w:w="7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(Unaudited)</w:t>
            </w:r>
          </w:p>
        </w:tc>
        <w:tc>
          <w:tcPr>
            <w:tcW w:w="1000" w:type="dxa"/>
            <w:vAlign w:val="bottom"/>
          </w:tcPr>
          <w:p>
            <w:pPr>
              <w:spacing w:after="0"/>
              <w:rPr>
                <w:sz w:val="24"/>
                <w:szCs w:val="24"/>
                <w:color w:val="auto"/>
              </w:rPr>
            </w:pPr>
          </w:p>
        </w:tc>
      </w:tr>
      <w:tr>
        <w:trPr>
          <w:trHeight w:val="203"/>
        </w:trPr>
        <w:tc>
          <w:tcPr>
            <w:tcW w:w="7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7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7020" w:type="dxa"/>
            <w:vAlign w:val="bottom"/>
          </w:tcPr>
          <w:p>
            <w:pPr>
              <w:spacing w:after="0"/>
              <w:rPr>
                <w:sz w:val="17"/>
                <w:szCs w:val="17"/>
                <w:color w:val="auto"/>
              </w:rPr>
            </w:pPr>
          </w:p>
        </w:tc>
        <w:tc>
          <w:tcPr>
            <w:tcW w:w="332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1998</w:t>
            </w:r>
          </w:p>
        </w:tc>
        <w:tc>
          <w:tcPr>
            <w:tcW w:w="58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702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 ..................................................</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508,797</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208,179</w:t>
            </w:r>
          </w:p>
        </w:tc>
      </w:tr>
      <w:tr>
        <w:trPr>
          <w:trHeight w:val="203"/>
        </w:trPr>
        <w:tc>
          <w:tcPr>
            <w:tcW w:w="70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020" w:type="dxa"/>
            <w:vAlign w:val="bottom"/>
          </w:tcPr>
          <w:p>
            <w:pPr>
              <w:jc w:val="right"/>
              <w:ind w:right="2812"/>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02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Depreciation and amortization of property and</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equipment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216,106</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159,483</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Amortization of other assets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5,458</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14,147</w:t>
            </w:r>
          </w:p>
        </w:tc>
      </w:tr>
      <w:tr>
        <w:trPr>
          <w:trHeight w:val="203"/>
        </w:trPr>
        <w:tc>
          <w:tcPr>
            <w:tcW w:w="702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receivable ..................................</w:t>
            </w:r>
          </w:p>
        </w:tc>
        <w:tc>
          <w:tcPr>
            <w:tcW w:w="3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(455,949)</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(263,391)</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Inventory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631,930</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(24,337)</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current assets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30,200</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4,591</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payable and other accrued expenses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256,964</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(5,967)</w:t>
            </w:r>
          </w:p>
        </w:tc>
      </w:tr>
      <w:tr>
        <w:trPr>
          <w:trHeight w:val="203"/>
        </w:trPr>
        <w:tc>
          <w:tcPr>
            <w:tcW w:w="702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cash provided by operating activities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1,193,506</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92,705</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Purchases of property and equipment .........................</w:t>
            </w:r>
          </w:p>
        </w:tc>
        <w:tc>
          <w:tcPr>
            <w:tcW w:w="3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(48,038)</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(74,309)</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Repayment of note receivable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3,659</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Increase in other assets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(1,061)</w:t>
            </w:r>
          </w:p>
        </w:tc>
      </w:tr>
      <w:tr>
        <w:trPr>
          <w:trHeight w:val="203"/>
        </w:trPr>
        <w:tc>
          <w:tcPr>
            <w:tcW w:w="702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cash used in investing activities ................</w:t>
            </w:r>
          </w:p>
        </w:tc>
        <w:tc>
          <w:tcPr>
            <w:tcW w:w="3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(44,379)</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(75,370)</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Proceeds from issuance of common stock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1,064</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811</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Exercise of employee stock options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316,955</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7,719</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borrowings under line of credit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44,040</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Principal payments of capital lease obligations .............</w:t>
            </w:r>
          </w:p>
        </w:tc>
        <w:tc>
          <w:tcPr>
            <w:tcW w:w="3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(54,056)</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(65,916)</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Principal payments of long-term debt ........................</w:t>
            </w:r>
          </w:p>
        </w:tc>
        <w:tc>
          <w:tcPr>
            <w:tcW w:w="3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(68,468)</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(60,894)</w:t>
            </w:r>
          </w:p>
        </w:tc>
      </w:tr>
      <w:tr>
        <w:trPr>
          <w:trHeight w:val="203"/>
        </w:trPr>
        <w:tc>
          <w:tcPr>
            <w:tcW w:w="702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cash provided by (used in) financing activities...</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195,495</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(74,240)</w:t>
            </w:r>
          </w:p>
        </w:tc>
      </w:tr>
      <w:tr>
        <w:trPr>
          <w:trHeight w:val="405"/>
        </w:trPr>
        <w:tc>
          <w:tcPr>
            <w:tcW w:w="70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Net increase (decrease) in cash .................................</w:t>
            </w:r>
          </w:p>
        </w:tc>
        <w:tc>
          <w:tcPr>
            <w:tcW w:w="36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1,344,622</w:t>
            </w:r>
          </w:p>
        </w:tc>
        <w:tc>
          <w:tcPr>
            <w:tcW w:w="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(56,905)</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Cash at the beginning of the year ...............................</w:t>
            </w: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715,325</w:t>
            </w:r>
          </w:p>
        </w:tc>
        <w:tc>
          <w:tcPr>
            <w:tcW w:w="5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63,992</w:t>
            </w:r>
          </w:p>
        </w:tc>
      </w:tr>
      <w:tr>
        <w:trPr>
          <w:trHeight w:val="203"/>
        </w:trPr>
        <w:tc>
          <w:tcPr>
            <w:tcW w:w="702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Cash at the end of the year .....................................</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$ 2,059,947</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7,087</w:t>
            </w:r>
          </w:p>
        </w:tc>
      </w:tr>
      <w:tr>
        <w:trPr>
          <w:trHeight w:val="203"/>
        </w:trPr>
        <w:tc>
          <w:tcPr>
            <w:tcW w:w="7020" w:type="dxa"/>
            <w:vAlign w:val="bottom"/>
          </w:tcPr>
          <w:p>
            <w:pPr>
              <w:spacing w:after="0"/>
              <w:rPr>
                <w:sz w:val="17"/>
                <w:szCs w:val="17"/>
                <w:color w:val="auto"/>
              </w:rPr>
            </w:pP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disclosure of cash flow information:</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Property and equipment financed by capital leases ....</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11,545</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Income taxes paid ....................................</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53,500</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paid ........................................</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33,638</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(67,947)</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340"/>
          </w:cols>
          <w:pgMar w:left="240" w:top="312" w:right="131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NOTES TO FINANCIAL STATEMENTS</w:t>
      </w:r>
    </w:p>
    <w:p>
      <w:pPr>
        <w:ind w:left="3280"/>
        <w:spacing w:after="0" w:line="238" w:lineRule="auto"/>
        <w:rPr>
          <w:sz w:val="20"/>
          <w:szCs w:val="20"/>
          <w:color w:val="auto"/>
        </w:rPr>
      </w:pPr>
      <w:r>
        <w:rPr>
          <w:rFonts w:ascii="Courier New" w:cs="Courier New" w:eastAsia="Courier New" w:hAnsi="Courier New"/>
          <w:sz w:val="18"/>
          <w:szCs w:val="18"/>
          <w:color w:val="auto"/>
        </w:rPr>
        <w:t>SEPTEMBER 30, 1998</w:t>
      </w: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2720" w:firstLine="527"/>
        <w:spacing w:after="0" w:line="271" w:lineRule="auto"/>
        <w:rPr>
          <w:sz w:val="20"/>
          <w:szCs w:val="20"/>
          <w:color w:val="auto"/>
        </w:rPr>
      </w:pPr>
      <w:r>
        <w:rPr>
          <w:rFonts w:ascii="Courier New" w:cs="Courier New" w:eastAsia="Courier New" w:hAnsi="Courier New"/>
          <w:sz w:val="16"/>
          <w:szCs w:val="16"/>
          <w:color w:val="auto"/>
        </w:rPr>
        <w:t>The accompanying unaudited financial statements have been prepared in accordance with generally accepted accounting principles for interim financial information and with the instructions to Form 10-QSB of Regulation S-B. Accordingly, certain information and footnote disclosures normally included in complete financial statements have been condensed or omitted. These financial statements should be read in conjunction with the financial statements and footnotes thereto included in the Company's 1998 Annual Report and Form 10-KSB.</w:t>
      </w:r>
    </w:p>
    <w:p>
      <w:pPr>
        <w:spacing w:after="0" w:line="188" w:lineRule="exact"/>
        <w:rPr>
          <w:sz w:val="20"/>
          <w:szCs w:val="20"/>
          <w:color w:val="auto"/>
        </w:rPr>
      </w:pPr>
    </w:p>
    <w:p>
      <w:pPr>
        <w:ind w:right="2940" w:firstLine="527"/>
        <w:spacing w:after="0" w:line="275" w:lineRule="auto"/>
        <w:rPr>
          <w:sz w:val="20"/>
          <w:szCs w:val="20"/>
          <w:color w:val="auto"/>
        </w:rPr>
      </w:pPr>
      <w:r>
        <w:rPr>
          <w:rFonts w:ascii="Courier New" w:cs="Courier New" w:eastAsia="Courier New" w:hAnsi="Courier New"/>
          <w:sz w:val="16"/>
          <w:szCs w:val="16"/>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177"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w:t>
      </w:r>
    </w:p>
    <w:p>
      <w:pPr>
        <w:spacing w:after="0" w:line="207" w:lineRule="exact"/>
        <w:rPr>
          <w:sz w:val="20"/>
          <w:szCs w:val="20"/>
          <w:color w:val="auto"/>
        </w:rPr>
      </w:pPr>
    </w:p>
    <w:p>
      <w:pPr>
        <w:ind w:right="3040" w:firstLine="527"/>
        <w:spacing w:after="0" w:line="235" w:lineRule="auto"/>
        <w:rPr>
          <w:sz w:val="20"/>
          <w:szCs w:val="20"/>
          <w:color w:val="auto"/>
        </w:rPr>
      </w:pPr>
      <w:r>
        <w:rPr>
          <w:rFonts w:ascii="Courier New" w:cs="Courier New" w:eastAsia="Courier New" w:hAnsi="Courier New"/>
          <w:sz w:val="18"/>
          <w:szCs w:val="18"/>
          <w:color w:val="auto"/>
        </w:rPr>
        <w:t>The following table sets forth the computation of basic and diluted net income per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3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3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1998</w:t>
            </w:r>
          </w:p>
        </w:tc>
        <w:tc>
          <w:tcPr>
            <w:tcW w:w="32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3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480" w:type="dxa"/>
            <w:vAlign w:val="bottom"/>
            <w:gridSpan w:val="2"/>
          </w:tcPr>
          <w:p>
            <w:pPr>
              <w:spacing w:after="0"/>
              <w:rPr>
                <w:sz w:val="20"/>
                <w:szCs w:val="20"/>
                <w:color w:val="auto"/>
              </w:rPr>
            </w:pPr>
            <w:r>
              <w:rPr>
                <w:rFonts w:ascii="Courier New" w:cs="Courier New" w:eastAsia="Courier New" w:hAnsi="Courier New"/>
                <w:sz w:val="18"/>
                <w:szCs w:val="18"/>
                <w:color w:val="auto"/>
              </w:rPr>
              <w:t>Numerator:</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8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508,798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208,179</w:t>
            </w:r>
          </w:p>
        </w:tc>
      </w:tr>
      <w:tr>
        <w:trPr>
          <w:trHeight w:val="203"/>
        </w:trPr>
        <w:tc>
          <w:tcPr>
            <w:tcW w:w="3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8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Denominator:</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8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Denominator for basic net income per share -- weighted average shares.......</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7,948,358</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7,666,409</w:t>
            </w:r>
          </w:p>
        </w:tc>
      </w:tr>
      <w:tr>
        <w:trPr>
          <w:trHeight w:val="203"/>
        </w:trPr>
        <w:tc>
          <w:tcPr>
            <w:tcW w:w="320" w:type="dxa"/>
            <w:vAlign w:val="bottom"/>
          </w:tcPr>
          <w:p>
            <w:pPr>
              <w:spacing w:after="0"/>
              <w:rPr>
                <w:sz w:val="17"/>
                <w:szCs w:val="17"/>
                <w:color w:val="auto"/>
              </w:rPr>
            </w:pPr>
          </w:p>
        </w:tc>
        <w:tc>
          <w:tcPr>
            <w:tcW w:w="8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Effect of dilutive securities using treasury stock method...................</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174,082</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97,608</w:t>
            </w:r>
          </w:p>
        </w:tc>
      </w:tr>
      <w:tr>
        <w:trPr>
          <w:trHeight w:val="203"/>
        </w:trPr>
        <w:tc>
          <w:tcPr>
            <w:tcW w:w="3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8,122,440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7,764,017</w:t>
            </w:r>
          </w:p>
        </w:tc>
      </w:tr>
      <w:tr>
        <w:trPr>
          <w:trHeight w:val="203"/>
        </w:trPr>
        <w:tc>
          <w:tcPr>
            <w:tcW w:w="3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8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Net income per share -- basic...................................................</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8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Net income per share - dilutive.................................................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810"/>
        </w:trPr>
        <w:tc>
          <w:tcPr>
            <w:tcW w:w="32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8160" w:type="dxa"/>
            <w:vAlign w:val="bottom"/>
          </w:tcPr>
          <w:p>
            <w:pPr>
              <w:ind w:left="220"/>
              <w:spacing w:after="0"/>
              <w:rPr>
                <w:sz w:val="20"/>
                <w:szCs w:val="20"/>
                <w:color w:val="auto"/>
              </w:rPr>
            </w:pPr>
            <w:r>
              <w:rPr>
                <w:rFonts w:ascii="Courier New" w:cs="Courier New" w:eastAsia="Courier New" w:hAnsi="Courier New"/>
                <w:sz w:val="18"/>
                <w:szCs w:val="18"/>
                <w:color w:val="auto"/>
              </w:rPr>
              <w:t>COMPREHENSIVE INCOME</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320" w:type="dxa"/>
            <w:vAlign w:val="bottom"/>
          </w:tcPr>
          <w:p>
            <w:pPr>
              <w:spacing w:after="0"/>
              <w:rPr>
                <w:sz w:val="24"/>
                <w:szCs w:val="24"/>
                <w:color w:val="auto"/>
              </w:rPr>
            </w:pPr>
          </w:p>
        </w:tc>
        <w:tc>
          <w:tcPr>
            <w:tcW w:w="8160" w:type="dxa"/>
            <w:vAlign w:val="bottom"/>
          </w:tcPr>
          <w:p>
            <w:pPr>
              <w:ind w:left="220"/>
              <w:spacing w:after="0"/>
              <w:rPr>
                <w:sz w:val="20"/>
                <w:szCs w:val="20"/>
                <w:color w:val="auto"/>
              </w:rPr>
            </w:pPr>
            <w:r>
              <w:rPr>
                <w:rFonts w:ascii="Courier New" w:cs="Courier New" w:eastAsia="Courier New" w:hAnsi="Courier New"/>
                <w:sz w:val="18"/>
                <w:szCs w:val="18"/>
                <w:color w:val="auto"/>
              </w:rPr>
              <w:t>As of July 1, 1998, the Company adopted Statement of Financial Accounting</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8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Standards No. 130, "Reporting Comprehensive Income." Comprehensive income for</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three-month periods ended September 30, 1998 and 1997 was equal to net</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8160" w:type="dxa"/>
            <w:vAlign w:val="bottom"/>
          </w:tcPr>
          <w:p>
            <w:pPr>
              <w:ind w:left="220"/>
              <w:spacing w:after="0"/>
              <w:rPr>
                <w:sz w:val="20"/>
                <w:szCs w:val="20"/>
                <w:color w:val="auto"/>
              </w:rPr>
            </w:pPr>
            <w:r>
              <w:rPr>
                <w:rFonts w:ascii="Courier New" w:cs="Courier New" w:eastAsia="Courier New" w:hAnsi="Courier New"/>
                <w:sz w:val="18"/>
                <w:szCs w:val="18"/>
                <w:color w:val="auto"/>
              </w:rPr>
              <w:t>USE OF ESTIMATES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320" w:type="dxa"/>
            <w:vAlign w:val="bottom"/>
          </w:tcPr>
          <w:p>
            <w:pPr>
              <w:spacing w:after="0"/>
              <w:rPr>
                <w:sz w:val="24"/>
                <w:szCs w:val="24"/>
                <w:color w:val="auto"/>
              </w:rPr>
            </w:pPr>
          </w:p>
        </w:tc>
        <w:tc>
          <w:tcPr>
            <w:tcW w:w="8160" w:type="dxa"/>
            <w:vAlign w:val="bottom"/>
          </w:tcPr>
          <w:p>
            <w:pPr>
              <w:ind w:left="220"/>
              <w:spacing w:after="0"/>
              <w:rPr>
                <w:sz w:val="20"/>
                <w:szCs w:val="20"/>
                <w:color w:val="auto"/>
              </w:rPr>
            </w:pPr>
            <w:r>
              <w:rPr>
                <w:rFonts w:ascii="Courier New" w:cs="Courier New" w:eastAsia="Courier New" w:hAnsi="Courier New"/>
                <w:sz w:val="18"/>
                <w:szCs w:val="18"/>
                <w:color w:val="auto"/>
              </w:rPr>
              <w:t>The preparation of financial statements in conformity with generally</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8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accepted accounting principles requires management to make estimates and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assumptions that affect the reported amounts in the financial statements and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these accompanying notes. Actual results could differ from those estimates.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3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(Unaudited)</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(Audited)</w:t>
            </w:r>
          </w:p>
        </w:tc>
      </w:tr>
      <w:tr>
        <w:trPr>
          <w:trHeight w:val="203"/>
        </w:trPr>
        <w:tc>
          <w:tcPr>
            <w:tcW w:w="3580" w:type="dxa"/>
            <w:vAlign w:val="bottom"/>
          </w:tcPr>
          <w:p>
            <w:pPr>
              <w:spacing w:after="0"/>
              <w:rPr>
                <w:sz w:val="17"/>
                <w:szCs w:val="17"/>
                <w:color w:val="auto"/>
              </w:rPr>
            </w:pPr>
          </w:p>
        </w:tc>
        <w:tc>
          <w:tcPr>
            <w:tcW w:w="3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September 30,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3580" w:type="dxa"/>
            <w:vAlign w:val="bottom"/>
          </w:tcPr>
          <w:p>
            <w:pPr>
              <w:spacing w:after="0"/>
              <w:rPr>
                <w:sz w:val="17"/>
                <w:szCs w:val="17"/>
                <w:color w:val="auto"/>
              </w:rPr>
            </w:pPr>
          </w:p>
        </w:tc>
        <w:tc>
          <w:tcPr>
            <w:tcW w:w="3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3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1998</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580" w:type="dxa"/>
            <w:vAlign w:val="bottom"/>
          </w:tcPr>
          <w:p>
            <w:pPr>
              <w:spacing w:after="0"/>
              <w:rPr>
                <w:sz w:val="17"/>
                <w:szCs w:val="17"/>
                <w:color w:val="auto"/>
              </w:rPr>
            </w:pPr>
          </w:p>
        </w:tc>
        <w:tc>
          <w:tcPr>
            <w:tcW w:w="3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Raw Materials</w:t>
            </w:r>
          </w:p>
        </w:tc>
        <w:tc>
          <w:tcPr>
            <w:tcW w:w="3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847,147</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$ 1,014,732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progress</w:t>
            </w:r>
          </w:p>
        </w:tc>
        <w:tc>
          <w:tcPr>
            <w:tcW w:w="3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403,296</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524,313</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3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1,272,610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1,615,938</w:t>
            </w:r>
          </w:p>
        </w:tc>
      </w:tr>
    </w:tbl>
    <w:p>
      <w:pPr>
        <w:sectPr>
          <w:pgSz w:w="11900" w:h="16838" w:orient="portrait"/>
          <w:cols w:equalWidth="0" w:num="1">
            <w:col w:w="11060"/>
          </w:cols>
          <w:pgMar w:left="240" w:top="312" w:right="599" w:bottom="0" w:gutter="0" w:footer="0" w:header="0"/>
        </w:sectPr>
      </w:pPr>
    </w:p>
    <w:bookmarkStart w:id="6" w:name="page7"/>
    <w:bookmarkEnd w:id="6"/>
    <w:p>
      <w:pPr>
        <w:spacing w:after="0" w:line="20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Total inventory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$ 2,523,053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$ 3,154,983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520" w:space="720"/>
            <w:col w:w="1180" w:space="720"/>
            <w:col w:w="1879"/>
          </w:cols>
          <w:pgMar w:left="14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14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FINANCIAL STATEMENTS -- (CONTINUED)</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EXERCISE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table shows the changes in stock options outstanding.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ind w:left="280"/>
              <w:spacing w:after="0"/>
              <w:rPr>
                <w:sz w:val="20"/>
                <w:szCs w:val="20"/>
                <w:color w:val="auto"/>
              </w:rPr>
            </w:pPr>
            <w:r>
              <w:rPr>
                <w:rFonts w:ascii="Courier New" w:cs="Courier New" w:eastAsia="Courier New" w:hAnsi="Courier New"/>
                <w:sz w:val="18"/>
                <w:szCs w:val="18"/>
                <w:color w:val="auto"/>
              </w:rPr>
              <w:t>Weighted</w:t>
            </w:r>
          </w:p>
        </w:tc>
      </w:tr>
      <w:tr>
        <w:trPr>
          <w:trHeight w:val="203"/>
        </w:trPr>
        <w:tc>
          <w:tcPr>
            <w:tcW w:w="73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Number</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Average</w:t>
            </w:r>
          </w:p>
        </w:tc>
      </w:tr>
      <w:tr>
        <w:trPr>
          <w:trHeight w:val="203"/>
        </w:trPr>
        <w:tc>
          <w:tcPr>
            <w:tcW w:w="7320" w:type="dxa"/>
            <w:vAlign w:val="bottom"/>
          </w:tcPr>
          <w:p>
            <w:pPr>
              <w:spacing w:after="0"/>
              <w:rPr>
                <w:sz w:val="17"/>
                <w:szCs w:val="17"/>
                <w:color w:val="auto"/>
              </w:rPr>
            </w:pPr>
          </w:p>
        </w:tc>
        <w:tc>
          <w:tcPr>
            <w:tcW w:w="11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of Shares</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Exercise Price</w:t>
            </w:r>
          </w:p>
        </w:tc>
      </w:tr>
      <w:tr>
        <w:trPr>
          <w:trHeight w:val="203"/>
        </w:trPr>
        <w:tc>
          <w:tcPr>
            <w:tcW w:w="7320" w:type="dxa"/>
            <w:vAlign w:val="bottom"/>
          </w:tcPr>
          <w:p>
            <w:pPr>
              <w:spacing w:after="0"/>
              <w:rPr>
                <w:sz w:val="17"/>
                <w:szCs w:val="17"/>
                <w:color w:val="auto"/>
              </w:rPr>
            </w:pPr>
          </w:p>
        </w:tc>
        <w:tc>
          <w:tcPr>
            <w:tcW w:w="11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320" w:type="dxa"/>
            <w:vAlign w:val="bottom"/>
          </w:tcPr>
          <w:p>
            <w:pPr>
              <w:spacing w:after="0"/>
              <w:rPr>
                <w:sz w:val="20"/>
                <w:szCs w:val="20"/>
                <w:color w:val="auto"/>
              </w:rPr>
            </w:pPr>
            <w:r>
              <w:rPr>
                <w:rFonts w:ascii="Courier New" w:cs="Courier New" w:eastAsia="Courier New" w:hAnsi="Courier New"/>
                <w:sz w:val="18"/>
                <w:szCs w:val="18"/>
                <w:color w:val="auto"/>
                <w:w w:val="97"/>
              </w:rPr>
              <w:t>Options outstanding as of June 30, 1998..............................</w:t>
            </w:r>
          </w:p>
        </w:tc>
        <w:tc>
          <w:tcPr>
            <w:tcW w:w="11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1,853,080</w:t>
            </w: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6"/>
              </w:rPr>
              <w:t>$1.61</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Options expired &amp; canceled...........................................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$0.75</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Options exercised....................................................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(423,202)</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$0.75</w:t>
            </w:r>
          </w:p>
        </w:tc>
      </w:tr>
      <w:tr>
        <w:trPr>
          <w:trHeight w:val="203"/>
        </w:trPr>
        <w:tc>
          <w:tcPr>
            <w:tcW w:w="7320" w:type="dxa"/>
            <w:vAlign w:val="bottom"/>
          </w:tcPr>
          <w:p>
            <w:pPr>
              <w:spacing w:after="0"/>
              <w:rPr>
                <w:sz w:val="17"/>
                <w:szCs w:val="17"/>
                <w:color w:val="auto"/>
              </w:rPr>
            </w:pPr>
          </w:p>
        </w:tc>
        <w:tc>
          <w:tcPr>
            <w:tcW w:w="11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Options outstanding as of September 30, 1998.........................</w:t>
            </w:r>
          </w:p>
        </w:tc>
        <w:tc>
          <w:tcPr>
            <w:tcW w:w="11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1,425,378</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$1.86</w:t>
            </w:r>
          </w:p>
        </w:tc>
      </w:tr>
      <w:tr>
        <w:trPr>
          <w:trHeight w:val="203"/>
        </w:trPr>
        <w:tc>
          <w:tcPr>
            <w:tcW w:w="7320" w:type="dxa"/>
            <w:vAlign w:val="bottom"/>
          </w:tcPr>
          <w:p>
            <w:pPr>
              <w:spacing w:after="0"/>
              <w:rPr>
                <w:sz w:val="17"/>
                <w:szCs w:val="17"/>
                <w:color w:val="auto"/>
              </w:rPr>
            </w:pPr>
          </w:p>
        </w:tc>
        <w:tc>
          <w:tcPr>
            <w:tcW w:w="11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Company has entered into an agreement to purchase 300 units of RSI video conference engines over the next year.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 FINANCIAL</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CONDITION 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Sales for the three months ended September 30, 1998 increased 48% compared to the same three-month period last year.</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Sales in Teleconferencing operations increased 95% comparing the first quarter of this fiscal year to the same quarter last year. This increase is due to increased sales of the Company's teleconferencing products. Teleconferencing products experienced a 96% sales growth, driven by the Audio Perfect(TM) product line. The Audio Perfect(TM) product line began shipping in April of 1998. These products use a new digital technology called Distributed Echo Cancellation(TM) and incorporate several functional devices including automatic microphone mixing, echo cancellation, audio routing, audio equalization and audio processing into a single device. Instead of just getting the revenue from the sale of an echo cancellation unit, the Company will get more of the revenue associated with a room installation as a result of the expanded applications. Continuing strong sales in teleconferencing services also contributed to Teleconferencing growth. The Company's conference calling service experienced a 90% sales growth over the same quarter last fiscal year. This increase is the result of the Company expanding its sales staff, who are aggressively marketing its conference calling service.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Broadcast sales increased 22% in the first quarter of this fiscal year as compared to the first quarter of last fiscal year. In this market, Remote Facilities Management (formerly known as Remote Site Control) grew 46%, mainly due to increased sales of the GSC3000. The GSC3000 allows broadcasters to monitor and control many transmitter sites from one location. Sales to the television market and the introduction of the Voice Interface also contributed to the increased sales of the GSC3000. The Voice Interface allows an engineer to call the remote equipment from any telephone, check on its status, and make adjustments using only the telephone. The Telephone Interface line of products also contributed to the broadcast sales growth, primarily due to the Company's line of new telephone hybrids. Telephone hybrids are used to connect telephone line audio to professional audio equipment.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other sales decreased 13% in the first quarter of this fiscal year as compared to the first quarter of last fiscal year. This was caused by the drop in Assistive Listening Systems (ALS) product sales. ALS sales were higher in the first quarter of fiscal 1998 than in the first quarter of fiscal 1999 due to a large backlog of orders for ALS products, including the then new PTX portable transmitter.</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Company's gross profit margin percentage was 54% for the first quarter of this year, compared to 51% for the same quarter last year. This increase is primarily due to a critical focus on improving manufacturing processes, aggressive vendor pricing, new products with higher gross profit margins, and a different product mix. The Company's conference calling service has a lower gross profit margin than its manufacturing operations. As conference calling becomes a higher percentage of total sales, this could negatively impact the Company's overall gross profit margin.</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Operating expenses for the quarter increased 30% when comparing the first quarters of this fiscal year and last fiscal year. The most significant portion of this increase came in Sales &amp; Marketing expenses, which increased 53%, comparing first quarters of this year and last year.</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Sales and Marketing expenses increased 53%. This was mainly due to increased commission expense resulting from the increase in sales. This increase is also due to the hiring of additional personnel to more aggressively market the Company's products and service. An expanded co-op program for the Company's dealers also contributed to increased Sales and Marketing expenses.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Product Development expenses increased 23% in the first quarter of this year compared to last year. The Product Development team is aggressively working on new product development, which the Company anticipates will enhance future revenue growth. Part of this product development requires hiring additional personnel and investment in technical research.</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First quarter General and Administrative expenses are up 6% compared to the same period last year. This increase is mainly due to consulting fees related to assessing internal needs for various information systems. The Company is currently evaluating its customer contact information systems. Plans are underway to implement a new contact management database in the second fiscal</w:t>
      </w:r>
    </w:p>
    <w:p>
      <w:pPr>
        <w:sectPr>
          <w:pgSz w:w="11900" w:h="16838" w:orient="portrait"/>
          <w:cols w:equalWidth="0" w:num="1">
            <w:col w:w="10219"/>
          </w:cols>
          <w:pgMar w:left="240" w:top="312" w:right="1440" w:bottom="0" w:gutter="0" w:footer="0" w:header="0"/>
        </w:sectPr>
      </w:pPr>
    </w:p>
    <w:bookmarkStart w:id="9" w:name="page10"/>
    <w:bookmarkEnd w:id="9"/>
    <w:p>
      <w:pPr>
        <w:ind w:right="1879"/>
        <w:spacing w:after="0" w:line="235" w:lineRule="auto"/>
        <w:rPr>
          <w:sz w:val="20"/>
          <w:szCs w:val="20"/>
          <w:color w:val="auto"/>
        </w:rPr>
      </w:pPr>
      <w:r>
        <w:rPr>
          <w:rFonts w:ascii="Courier New" w:cs="Courier New" w:eastAsia="Courier New" w:hAnsi="Courier New"/>
          <w:sz w:val="18"/>
          <w:szCs w:val="18"/>
          <w:color w:val="auto"/>
        </w:rPr>
        <w:t>quarter of this fiscal year. Additionally, the Company is obtaining training to better utilize its financial information systems.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4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left="1700" w:right="3259"/>
        <w:spacing w:after="0" w:line="290"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 -- (CONTINUED)</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 (continued)</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Interest expense for the quarter is down 47% compared to the same quarter last year. In the past three months, the Company has not used its line of credit. Since there was no outstanding balance, there was no interest expense associated with the line of credit. Also contributing to this decrease in interest expense was the maturing of some of the Company's leases.</w:t>
      </w:r>
    </w:p>
    <w:p>
      <w:pPr>
        <w:spacing w:after="0" w:line="18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Due to tax loss carryforwards, the Company paid no income taxes in the first quarter of fiscal 1998. During the first quarter of fiscal 1999, income tax expense was calculated at a combined federal and state tax rate of about 38%, resulting in a tax expense of $308,000.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Company's current ratio increased from 3.04:1 on June 30, 1998 to 3.19:1 on September 30, 1998. This increase in current ratio was caused primarily by an increase in the amount of cash on hand, offsetting the increase in accounts payable and accrued expenses. Also affecting the current ratio is the increase in the Accounts Receivable due to increased sales.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continues to experience strong operating cash flows. The reduction of inventory has been a significant factor in operating cash flows. Inventory has been reduced due to improvements made to the manufacturing process. The length of time that a job is open has been reduced from an average of 60 days to 5 to 7 days. Increasing sales and profitability have also contributed to positive operating cash flows.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has an available revolving line of credit of $2.0 million, which is secured by the Company's accounts receivable. The interest rate on the line of credit is a variable interest rate (anywhere from three to five percentage points over the London Interbank Offered Rate (LIBOR)). There was no outstanding balance on September 30, 1998. The line of credit expires in December of 1998. The Company intends to renew a line of credit.</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sales continue to increase, the Company expects to achieve its business plan through a combination of internally generated funds and short-term or long-term borrowings, if necessary.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Statements and Risk Factors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the extent any statement presented herein deals with information that is not historical, such statement is necessarily forward looking. As such, it is subject to occurrence of many events outside of the Company's control that could cause the Company's results to differ materially from predicted results. Please see a detailed list of the risk factors that are outlined in the Company's Form 10-KSB for the fiscal year ended June 30, 1998, incorporated herein by reference.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continuing to assess the impact of the Year 2000 issue* on its information technology ("IT") and non-IT systems and believes that certain software and hardware currently in use will have to be upgraded. To date, the Company has assessed approximately 100% of its existing IT systems and 80% of its existing non-IT systems. $49,860 has been incurred to upgrade existing systems so that they are Year 2000 compatible. The Company does not foresee any other expense to upgrade. To date, the Company has identified two of its systems that will have to be upgraded. One upgrade has taken place, and the other is scheduled for completion by November 30, 1998. There should be no significant interruptions to the business caused by the upgrade process. However, if these upgrades are not completed in a timely manner, the impact on the operations of the Company could be material. The Company plans to finance these upgrades with operating income.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has purchased the software and hardware to upgrade the internal phone system, including the voice mail system. The system was upgraded, and associates were trained how to use the new system by the end of October of 1998. The cost of this software and hardware was $49,860. The second system identified to date is the conference calling bridge. This system is essential to the Company's conference calling service. It is scheduled for upgrading in November of 1998. The manufacturer is furnishing the software to the Company at no cost.</w:t>
      </w:r>
    </w:p>
    <w:p>
      <w:pPr>
        <w:sectPr>
          <w:pgSz w:w="11900" w:h="16838" w:orient="portrait"/>
          <w:cols w:equalWidth="0" w:num="1">
            <w:col w:w="10219"/>
          </w:cols>
          <w:pgMar w:left="240" w:top="312" w:right="1440" w:bottom="0" w:gutter="0" w:footer="0" w:header="0"/>
        </w:sectPr>
      </w:pPr>
    </w:p>
    <w:bookmarkStart w:id="11" w:name="page12"/>
    <w:bookmarkEnd w:id="11"/>
    <w:p>
      <w:pPr>
        <w:ind w:left="29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547"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MANAGEMENT'S DISCUSSION AND ANALYSIS OF FINANCIAL</w:t>
      </w:r>
    </w:p>
    <w:p>
      <w:pPr>
        <w:ind w:left="1580"/>
        <w:spacing w:after="0" w:line="238" w:lineRule="auto"/>
        <w:rPr>
          <w:sz w:val="20"/>
          <w:szCs w:val="20"/>
          <w:color w:val="auto"/>
        </w:rPr>
      </w:pPr>
      <w:r>
        <w:rPr>
          <w:rFonts w:ascii="Courier New" w:cs="Courier New" w:eastAsia="Courier New" w:hAnsi="Courier New"/>
          <w:sz w:val="18"/>
          <w:szCs w:val="18"/>
          <w:color w:val="auto"/>
        </w:rPr>
        <w:t>CONDITION AND RESULTS OF OPERATIONS -- (CONTINUED)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Statements and Risk Factors -- (continued)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is in the process of determining through direct contacts whether its material vendors and suppliers, and its larger customers are Year 2000 compliant. To date, no major customer or supplier that the Company contacted has any Year 2000 compliance problems that would significantly impact the operations of the Company.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the present time, the company believes that a reasonably likely worst case scenario involving a Year 2000 event would be in a non-IT system affecting the Company's manufacturing process. Such an event could result in the suspension of the affected portion of the manufacturing process until such a problem is corrected. However, the Company believes that as it continues its Year 2000 assessment the risk of such an event will decrease.</w:t>
      </w:r>
    </w:p>
    <w:p>
      <w:pPr>
        <w:spacing w:after="0" w:line="210"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The Company currently is in the process of developing contingency plans for dealing with Year 2000 issues, including the worst case scenario just described. Those plans are scheduled to be complete and in place by the end of fiscal 1999.</w:t>
      </w:r>
    </w:p>
    <w:p>
      <w:pPr>
        <w:spacing w:after="0" w:line="178"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Company has performed a Year 2000 compliance review of its product line. To date, the company has addressed all existing Year 2000 compliance issues on products.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costs of the projects and the dates on which the Company believes it will complete the Year 2000 upgrades are based on management's best estimates at this time, which were derived utilizing numerous assumptions of future events, including the continued availability of certain resources and other factors. However, there can be no guarantees that these estimates will be achieved, that personnel trained in this area will be available at a reasonable cost, or that we will locate and correct all relevant computer codes and similar uncertainties.</w:t>
      </w:r>
    </w:p>
    <w:p>
      <w:pPr>
        <w:spacing w:after="0" w:line="212" w:lineRule="exact"/>
        <w:rPr>
          <w:sz w:val="20"/>
          <w:szCs w:val="20"/>
          <w:color w:val="auto"/>
        </w:rPr>
      </w:pPr>
    </w:p>
    <w:p>
      <w:pPr>
        <w:ind w:left="220" w:right="2419" w:hanging="212"/>
        <w:spacing w:after="0" w:line="237"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"Year 2000 Problem" has arisen because many computer programs were written using only the last two digits to refer to a year (i.e. "98" for 1998). Therefore, these computer programs may not properly recognize the year 2000. If not corrected, many computer applications could fail or create erroneous results.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Exhibits Required by Item 601 of Regulation S-B</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The following exhibits are hereby incorporated by reference from the Company's Annual Report on Form 10-K for the fiscal year ended June 30, 1989. The exhibit numbers shown are those in the 1989 Form 10-K as originally filed.</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22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0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0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3.1(1)(2)</w:t>
            </w:r>
          </w:p>
        </w:tc>
        <w:tc>
          <w:tcPr>
            <w:tcW w:w="70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Articles of Incorporation and all amendments thereto through</w:t>
            </w:r>
          </w:p>
        </w:tc>
      </w:tr>
      <w:tr>
        <w:trPr>
          <w:trHeight w:val="203"/>
        </w:trPr>
        <w:tc>
          <w:tcPr>
            <w:tcW w:w="1320" w:type="dxa"/>
            <w:vAlign w:val="bottom"/>
          </w:tcPr>
          <w:p>
            <w:pPr>
              <w:spacing w:after="0"/>
              <w:rPr>
                <w:sz w:val="17"/>
                <w:szCs w:val="17"/>
                <w:color w:val="auto"/>
              </w:rPr>
            </w:pP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March 1,</w:t>
            </w:r>
          </w:p>
        </w:tc>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1988. (Page 10)</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10.4(1)(2)</w:t>
            </w:r>
          </w:p>
        </w:tc>
        <w:tc>
          <w:tcPr>
            <w:tcW w:w="1220" w:type="dxa"/>
            <w:vAlign w:val="bottom"/>
          </w:tcPr>
          <w:p>
            <w:pPr>
              <w:ind w:left="260"/>
              <w:spacing w:after="0"/>
              <w:rPr>
                <w:sz w:val="20"/>
                <w:szCs w:val="20"/>
                <w:color w:val="auto"/>
              </w:rPr>
            </w:pPr>
            <w:r>
              <w:rPr>
                <w:rFonts w:ascii="Courier New" w:cs="Courier New" w:eastAsia="Courier New" w:hAnsi="Courier New"/>
                <w:sz w:val="18"/>
                <w:szCs w:val="18"/>
                <w:color w:val="auto"/>
              </w:rPr>
              <w:t>VRC-1000</w:t>
            </w:r>
          </w:p>
        </w:tc>
        <w:tc>
          <w:tcPr>
            <w:tcW w:w="5800" w:type="dxa"/>
            <w:vAlign w:val="bottom"/>
          </w:tcPr>
          <w:p>
            <w:pPr>
              <w:spacing w:after="0"/>
              <w:rPr>
                <w:sz w:val="20"/>
                <w:szCs w:val="20"/>
                <w:color w:val="auto"/>
              </w:rPr>
            </w:pPr>
            <w:r>
              <w:rPr>
                <w:rFonts w:ascii="Courier New" w:cs="Courier New" w:eastAsia="Courier New" w:hAnsi="Courier New"/>
                <w:sz w:val="18"/>
                <w:szCs w:val="18"/>
                <w:color w:val="auto"/>
                <w:w w:val="97"/>
              </w:rPr>
              <w:t>Purchase Agreement between Gentner Engineering Company,</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Inc. (a former subsidiary of the Company which was merged into</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Company) and Gentner Research Ltd., dated January 1, 1987.</w:t>
            </w:r>
          </w:p>
        </w:tc>
      </w:tr>
      <w:tr>
        <w:trPr>
          <w:trHeight w:val="203"/>
        </w:trPr>
        <w:tc>
          <w:tcPr>
            <w:tcW w:w="1320" w:type="dxa"/>
            <w:vAlign w:val="bottom"/>
          </w:tcPr>
          <w:p>
            <w:pPr>
              <w:spacing w:after="0"/>
              <w:rPr>
                <w:sz w:val="17"/>
                <w:szCs w:val="17"/>
                <w:color w:val="auto"/>
              </w:rPr>
            </w:pP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(Page 71)</w:t>
            </w:r>
          </w:p>
        </w:tc>
        <w:tc>
          <w:tcPr>
            <w:tcW w:w="58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The following exhibits are hereby incorporated by reference from the Company's Annual Report on Form 10-K for the fiscal year ended June 30, 1991. The exhibit numbers shown are those in the 1991 Form 10-K as originally filed.</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620"/>
            <w:col w:w="8639"/>
          </w:cols>
          <w:pgMar w:left="240" w:top="31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3.1(1)(2)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to Articles of Incorporation, dated July 1, 1991.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65)</w:t>
      </w:r>
    </w:p>
    <w:p>
      <w:pPr>
        <w:spacing w:after="0" w:line="200" w:lineRule="exact"/>
        <w:rPr>
          <w:sz w:val="20"/>
          <w:szCs w:val="20"/>
          <w:color w:val="auto"/>
        </w:rPr>
      </w:pPr>
    </w:p>
    <w:p>
      <w:pPr>
        <w:sectPr>
          <w:pgSz w:w="11900" w:h="16838" w:orient="portrait"/>
          <w:cols w:equalWidth="0" w:num="2">
            <w:col w:w="960" w:space="620"/>
            <w:col w:w="8639"/>
          </w:cols>
          <w:pgMar w:left="240" w:top="31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10.1(1)(2)</w:t>
      </w:r>
    </w:p>
    <w:p>
      <w:pPr>
        <w:spacing w:after="0" w:line="20" w:lineRule="exact"/>
        <w:rPr>
          <w:sz w:val="20"/>
          <w:szCs w:val="20"/>
          <w:color w:val="auto"/>
        </w:rPr>
      </w:pPr>
      <w:r>
        <w:rPr>
          <w:sz w:val="20"/>
          <w:szCs w:val="20"/>
          <w:color w:val="auto"/>
        </w:rPr>
        <w:br w:type="column"/>
      </w:r>
    </w:p>
    <w:p>
      <w:pPr>
        <w:ind w:right="1779"/>
        <w:spacing w:after="0" w:line="236" w:lineRule="auto"/>
        <w:rPr>
          <w:sz w:val="20"/>
          <w:szCs w:val="20"/>
          <w:color w:val="auto"/>
        </w:rPr>
      </w:pPr>
      <w:r>
        <w:rPr>
          <w:rFonts w:ascii="Courier New" w:cs="Courier New" w:eastAsia="Courier New" w:hAnsi="Courier New"/>
          <w:sz w:val="18"/>
          <w:szCs w:val="18"/>
          <w:color w:val="auto"/>
        </w:rPr>
        <w:t>Internal Modem Purchase Agreement between Gentner Engineering Company, Inc. and Gentner Research, Ltd., dated October 12, 1987. (Page 69)</w:t>
      </w:r>
    </w:p>
    <w:p>
      <w:pPr>
        <w:spacing w:after="0" w:line="200" w:lineRule="exact"/>
        <w:rPr>
          <w:sz w:val="20"/>
          <w:szCs w:val="20"/>
          <w:color w:val="auto"/>
        </w:rPr>
      </w:pPr>
    </w:p>
    <w:p>
      <w:pPr>
        <w:sectPr>
          <w:pgSz w:w="11900" w:h="16838" w:orient="portrait"/>
          <w:cols w:equalWidth="0" w:num="2">
            <w:col w:w="1060" w:space="520"/>
            <w:col w:w="8639"/>
          </w:cols>
          <w:pgMar w:left="240" w:top="312" w:right="1440"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10.2(1)(2)</w:t>
      </w:r>
    </w:p>
    <w:p>
      <w:pPr>
        <w:spacing w:after="0" w:line="20" w:lineRule="exact"/>
        <w:rPr>
          <w:sz w:val="20"/>
          <w:szCs w:val="20"/>
          <w:color w:val="auto"/>
        </w:rPr>
      </w:pPr>
      <w:r>
        <w:rPr>
          <w:sz w:val="20"/>
          <w:szCs w:val="20"/>
          <w:color w:val="auto"/>
        </w:rPr>
        <w:br w:type="column"/>
      </w:r>
    </w:p>
    <w:p>
      <w:pPr>
        <w:ind w:right="2099"/>
        <w:spacing w:after="0" w:line="236" w:lineRule="auto"/>
        <w:rPr>
          <w:sz w:val="20"/>
          <w:szCs w:val="20"/>
          <w:color w:val="auto"/>
        </w:rPr>
      </w:pPr>
      <w:r>
        <w:rPr>
          <w:rFonts w:ascii="Courier New" w:cs="Courier New" w:eastAsia="Courier New" w:hAnsi="Courier New"/>
          <w:sz w:val="18"/>
          <w:szCs w:val="18"/>
          <w:color w:val="auto"/>
        </w:rPr>
        <w:t>Digital Hybrid Purchase Agreement between Gentner Engineering, Inc. and Gentner Research, Ltd., dated September 8, 1988. (Page 74)</w:t>
      </w:r>
    </w:p>
    <w:p>
      <w:pPr>
        <w:spacing w:after="0" w:line="200" w:lineRule="exact"/>
        <w:rPr>
          <w:sz w:val="20"/>
          <w:szCs w:val="20"/>
          <w:color w:val="auto"/>
        </w:rPr>
      </w:pPr>
    </w:p>
    <w:p>
      <w:pPr>
        <w:sectPr>
          <w:pgSz w:w="11900" w:h="16838" w:orient="portrait"/>
          <w:cols w:equalWidth="0" w:num="2">
            <w:col w:w="1060" w:space="520"/>
            <w:col w:w="8639"/>
          </w:cols>
          <w:pgMar w:left="240" w:top="312" w:right="1440" w:bottom="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following documents are hereby incorporated by reference from the Company's Form 10-KSB for the fiscal year ended June 30, 1993. The exhibit numbers shown are those in the 1993 Form 10-KSB as originally filed.</w:t>
      </w:r>
    </w:p>
    <w:p>
      <w:pPr>
        <w:sectPr>
          <w:pgSz w:w="11900" w:h="16838" w:orient="portrait"/>
          <w:cols w:equalWidth="0" w:num="1">
            <w:col w:w="10219"/>
          </w:cols>
          <w:pgMar w:left="240" w:top="3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620"/>
            <w:col w:w="8639"/>
          </w:cols>
          <w:pgMar w:left="240" w:top="31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Bylaws, as amended on August 24, 1993. (Page 16)</w:t>
      </w:r>
    </w:p>
    <w:p>
      <w:pPr>
        <w:spacing w:after="0" w:line="200" w:lineRule="exact"/>
        <w:rPr>
          <w:sz w:val="20"/>
          <w:szCs w:val="20"/>
          <w:color w:val="auto"/>
        </w:rPr>
      </w:pPr>
    </w:p>
    <w:p>
      <w:pPr>
        <w:sectPr>
          <w:pgSz w:w="11900" w:h="16838" w:orient="portrait"/>
          <w:cols w:equalWidth="0" w:num="2">
            <w:col w:w="860" w:space="720"/>
            <w:col w:w="8639"/>
          </w:cols>
          <w:pgMar w:left="240" w:top="312"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following documents are hereby incorporated by reference from the Company's Form 10-KSB for the fiscal year ended June 30, 1996. The exhibit numbers shown are those in the 1996 Form 10-KSB as originally filed.</w:t>
      </w:r>
    </w:p>
    <w:p>
      <w:pPr>
        <w:sectPr>
          <w:pgSz w:w="11900" w:h="16838" w:orient="portrait"/>
          <w:cols w:equalWidth="0" w:num="1">
            <w:col w:w="10219"/>
          </w:cols>
          <w:pgMar w:left="240" w:top="3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960" w:space="620"/>
            <w:col w:w="8639"/>
          </w:cols>
          <w:pgMar w:left="240" w:top="312" w:right="1440" w:bottom="0" w:gutter="0" w:footer="0" w:header="0"/>
          <w:type w:val="continuous"/>
        </w:sectPr>
      </w:pPr>
    </w:p>
    <w:bookmarkStart w:id="14" w:name="page15"/>
    <w:bookmarkEnd w:id="14"/>
    <w:p>
      <w:pPr>
        <w:spacing w:after="0"/>
        <w:tabs>
          <w:tab w:leader="none" w:pos="1560" w:val="left"/>
        </w:tabs>
        <w:rPr>
          <w:sz w:val="20"/>
          <w:szCs w:val="20"/>
          <w:color w:val="auto"/>
        </w:rPr>
      </w:pPr>
      <w:r>
        <w:rPr>
          <w:rFonts w:ascii="Courier New" w:cs="Courier New" w:eastAsia="Courier New" w:hAnsi="Courier New"/>
          <w:sz w:val="18"/>
          <w:szCs w:val="18"/>
          <w:color w:val="auto"/>
        </w:rPr>
        <w:t>10(1)(2)(3)</w:t>
      </w:r>
      <w:r>
        <w:rPr>
          <w:sz w:val="20"/>
          <w:szCs w:val="20"/>
          <w:color w:val="auto"/>
        </w:rPr>
        <w:tab/>
      </w:r>
      <w:r>
        <w:rPr>
          <w:rFonts w:ascii="Courier New" w:cs="Courier New" w:eastAsia="Courier New" w:hAnsi="Courier New"/>
          <w:sz w:val="18"/>
          <w:szCs w:val="18"/>
          <w:color w:val="auto"/>
        </w:rPr>
        <w:t>1990 Incentive Plan, as amended August 7, 1996 (Page 40)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following documents are hereby incorporated by reference from the Company's Form 10-KSB for the fiscal year ended June 30, 1997. The exhibit numbers shown are those in the 1997 Form 10-KSB as originally filed.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36"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69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10.1(1)(2)</w:t>
            </w:r>
          </w:p>
        </w:tc>
        <w:tc>
          <w:tcPr>
            <w:tcW w:w="6960" w:type="dxa"/>
            <w:vAlign w:val="bottom"/>
          </w:tcPr>
          <w:p>
            <w:pPr>
              <w:ind w:left="100"/>
              <w:spacing w:after="0"/>
              <w:rPr>
                <w:sz w:val="20"/>
                <w:szCs w:val="20"/>
                <w:color w:val="auto"/>
              </w:rPr>
            </w:pPr>
            <w:r>
              <w:rPr>
                <w:rFonts w:ascii="Courier New" w:cs="Courier New" w:eastAsia="Courier New" w:hAnsi="Courier New"/>
                <w:sz w:val="18"/>
                <w:szCs w:val="18"/>
                <w:color w:val="auto"/>
              </w:rPr>
              <w:t>Commercial Credit and Security Agreement, and Promissory Note,</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between Company and First Security Bank, N.A. (original aggregate</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amount of $2,500,000) (Page 7)</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10.2(1)(2)(3)</w:t>
            </w:r>
          </w:p>
        </w:tc>
        <w:tc>
          <w:tcPr>
            <w:tcW w:w="6960" w:type="dxa"/>
            <w:vAlign w:val="bottom"/>
          </w:tcPr>
          <w:p>
            <w:pPr>
              <w:ind w:left="100"/>
              <w:spacing w:after="0"/>
              <w:rPr>
                <w:sz w:val="20"/>
                <w:szCs w:val="20"/>
                <w:color w:val="auto"/>
              </w:rPr>
            </w:pPr>
            <w:r>
              <w:rPr>
                <w:rFonts w:ascii="Courier New" w:cs="Courier New" w:eastAsia="Courier New" w:hAnsi="Courier New"/>
                <w:sz w:val="18"/>
                <w:szCs w:val="18"/>
                <w:color w:val="auto"/>
              </w:rPr>
              <w:t>1997 Employee Stock Purchase Plan (Page 37)</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10.3(1)(2)</w:t>
            </w:r>
          </w:p>
        </w:tc>
        <w:tc>
          <w:tcPr>
            <w:tcW w:w="6960" w:type="dxa"/>
            <w:vAlign w:val="bottom"/>
          </w:tcPr>
          <w:p>
            <w:pPr>
              <w:ind w:left="100"/>
              <w:spacing w:after="0"/>
              <w:rPr>
                <w:sz w:val="20"/>
                <w:szCs w:val="20"/>
                <w:color w:val="auto"/>
              </w:rPr>
            </w:pPr>
            <w:r>
              <w:rPr>
                <w:rFonts w:ascii="Courier New" w:cs="Courier New" w:eastAsia="Courier New" w:hAnsi="Courier New"/>
                <w:sz w:val="18"/>
                <w:szCs w:val="18"/>
                <w:color w:val="auto"/>
              </w:rPr>
              <w:t>Promissory Note in favor of Safeco Credit Company ($419,000)</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(Page 52)</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10.4(1)(2)</w:t>
            </w:r>
          </w:p>
        </w:tc>
        <w:tc>
          <w:tcPr>
            <w:tcW w:w="6960" w:type="dxa"/>
            <w:vAlign w:val="bottom"/>
          </w:tcPr>
          <w:p>
            <w:pPr>
              <w:ind w:left="100"/>
              <w:spacing w:after="0"/>
              <w:rPr>
                <w:sz w:val="20"/>
                <w:szCs w:val="20"/>
                <w:color w:val="auto"/>
              </w:rPr>
            </w:pPr>
            <w:r>
              <w:rPr>
                <w:rFonts w:ascii="Courier New" w:cs="Courier New" w:eastAsia="Courier New" w:hAnsi="Courier New"/>
                <w:sz w:val="18"/>
                <w:szCs w:val="18"/>
                <w:color w:val="auto"/>
              </w:rPr>
              <w:t>Commercial Credit and Security Agreement, and Promissory Note,</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between Company and First Security Bank ($322,716.55) (Page 53)</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10.5(1)(2)</w:t>
            </w:r>
          </w:p>
        </w:tc>
        <w:tc>
          <w:tcPr>
            <w:tcW w:w="6960" w:type="dxa"/>
            <w:vAlign w:val="bottom"/>
          </w:tcPr>
          <w:p>
            <w:pPr>
              <w:ind w:left="100"/>
              <w:spacing w:after="0"/>
              <w:rPr>
                <w:sz w:val="20"/>
                <w:szCs w:val="20"/>
                <w:color w:val="auto"/>
              </w:rPr>
            </w:pPr>
            <w:r>
              <w:rPr>
                <w:rFonts w:ascii="Courier New" w:cs="Courier New" w:eastAsia="Courier New" w:hAnsi="Courier New"/>
                <w:sz w:val="18"/>
                <w:szCs w:val="18"/>
                <w:color w:val="auto"/>
              </w:rPr>
              <w:t>Lease between Company and Valley American Investment Company</w:t>
            </w:r>
          </w:p>
        </w:tc>
      </w:tr>
      <w:tr>
        <w:trPr>
          <w:trHeight w:val="203"/>
        </w:trPr>
        <w:tc>
          <w:tcPr>
            <w:tcW w:w="1480" w:type="dxa"/>
            <w:vAlign w:val="bottom"/>
          </w:tcPr>
          <w:p>
            <w:pPr>
              <w:spacing w:after="0"/>
              <w:rPr>
                <w:sz w:val="17"/>
                <w:szCs w:val="17"/>
                <w:color w:val="auto"/>
              </w:rPr>
            </w:pPr>
          </w:p>
        </w:tc>
        <w:tc>
          <w:tcPr>
            <w:tcW w:w="6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(Page 71)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following documents are hereby incorporated by reference from the Company's Form 10-KSB for the fiscal year ended June 30, 1998. The exhibit numbers shown are those in the 1998 Form 10-KSB as originally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tabs>
          <w:tab w:leader="none" w:pos="1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10.1(3)</w:t>
      </w:r>
      <w:r>
        <w:rPr>
          <w:sz w:val="20"/>
          <w:szCs w:val="20"/>
          <w:color w:val="auto"/>
        </w:rPr>
        <w:tab/>
      </w:r>
      <w:r>
        <w:rPr>
          <w:rFonts w:ascii="Courier New" w:cs="Courier New" w:eastAsia="Courier New" w:hAnsi="Courier New"/>
          <w:sz w:val="16"/>
          <w:szCs w:val="16"/>
          <w:color w:val="auto"/>
        </w:rPr>
        <w:t>1998 Stock Option Plan and Form of Grant</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Modification Agreement dated as of December 24, 1997, between</w:t>
      </w:r>
    </w:p>
    <w:p>
      <w:pPr>
        <w:ind w:left="1580"/>
        <w:spacing w:after="0" w:line="238" w:lineRule="auto"/>
        <w:rPr>
          <w:sz w:val="20"/>
          <w:szCs w:val="20"/>
          <w:color w:val="auto"/>
        </w:rPr>
      </w:pPr>
      <w:r>
        <w:rPr>
          <w:rFonts w:ascii="Courier New" w:cs="Courier New" w:eastAsia="Courier New" w:hAnsi="Courier New"/>
          <w:sz w:val="18"/>
          <w:szCs w:val="18"/>
          <w:color w:val="auto"/>
        </w:rPr>
        <w:t>First Security Bank, N.A. and the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1999" w:hanging="412"/>
        <w:spacing w:after="0" w:line="236"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into this Form 10-KSB by reference to other filings pursuant to the provisions of Rule 12B-32 under the Securities Exchange Act of 1934.</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420" w:right="2099" w:hanging="412"/>
        <w:spacing w:after="0" w:line="237"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into this Form 10-KSB by reference, pursuant to Regulation S-B, Item 10(f)(2). These documents are located under File No. 0-17219 and are located at the Securities and Exchange Commission, Public Reference Branch, 450 South 5th St., N.W., Washington, DC 20549.</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Identifies management or compensatory plans, contracts or arrangements.</w:t>
      </w:r>
    </w:p>
    <w:p>
      <w:pPr>
        <w:spacing w:after="0" w:line="200" w:lineRule="exact"/>
        <w:rPr>
          <w:sz w:val="20"/>
          <w:szCs w:val="20"/>
          <w:color w:val="auto"/>
        </w:rPr>
      </w:pPr>
    </w:p>
    <w:p>
      <w:pPr>
        <w:spacing w:after="0" w:line="204" w:lineRule="exact"/>
        <w:rPr>
          <w:sz w:val="20"/>
          <w:szCs w:val="20"/>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filed no reports on Form 8-K during the latest fiscal quarter.</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Susie Strohm</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Susie Strohm</w:t>
      </w:r>
    </w:p>
    <w:p>
      <w:pPr>
        <w:ind w:left="4220"/>
        <w:spacing w:after="0" w:line="238" w:lineRule="auto"/>
        <w:rPr>
          <w:sz w:val="20"/>
          <w:szCs w:val="20"/>
          <w:color w:val="auto"/>
        </w:rPr>
      </w:pPr>
      <w:r>
        <w:rPr>
          <w:rFonts w:ascii="Courier New" w:cs="Courier New" w:eastAsia="Courier New" w:hAnsi="Courier New"/>
          <w:sz w:val="18"/>
          <w:szCs w:val="18"/>
          <w:color w:val="auto"/>
        </w:rPr>
        <w:t>Vice President, Finance</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13, 1998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JUN-30-1999</w:t>
      </w:r>
    </w:p>
    <w:p>
      <w:pPr>
        <w:ind w:left="3160"/>
        <w:spacing w:after="0"/>
        <w:rPr>
          <w:sz w:val="20"/>
          <w:szCs w:val="20"/>
          <w:color w:val="auto"/>
        </w:rPr>
      </w:pPr>
      <w:r>
        <w:rPr>
          <w:rFonts w:ascii="Courier New" w:cs="Courier New" w:eastAsia="Courier New" w:hAnsi="Courier New"/>
          <w:sz w:val="18"/>
          <w:szCs w:val="18"/>
          <w:color w:val="auto"/>
        </w:rPr>
        <w:t>SEP-30-1998</w:t>
      </w:r>
    </w:p>
    <w:p>
      <w:pPr>
        <w:ind w:left="4000"/>
        <w:spacing w:after="0" w:line="237" w:lineRule="auto"/>
        <w:rPr>
          <w:sz w:val="20"/>
          <w:szCs w:val="20"/>
          <w:color w:val="auto"/>
        </w:rPr>
      </w:pPr>
      <w:r>
        <w:rPr>
          <w:rFonts w:ascii="Courier New" w:cs="Courier New" w:eastAsia="Courier New" w:hAnsi="Courier New"/>
          <w:sz w:val="18"/>
          <w:szCs w:val="18"/>
          <w:color w:val="auto"/>
        </w:rPr>
        <w:t>2,059,947</w:t>
      </w:r>
    </w:p>
    <w:p>
      <w:pPr>
        <w:ind w:left="4200"/>
        <w:spacing w:after="0" w:line="238"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2,460,339</w:t>
      </w:r>
    </w:p>
    <w:p>
      <w:pPr>
        <w:ind w:left="3360"/>
        <w:spacing w:after="0" w:line="237" w:lineRule="auto"/>
        <w:rPr>
          <w:sz w:val="20"/>
          <w:szCs w:val="20"/>
          <w:color w:val="auto"/>
        </w:rPr>
      </w:pPr>
      <w:r>
        <w:rPr>
          <w:rFonts w:ascii="Courier New" w:cs="Courier New" w:eastAsia="Courier New" w:hAnsi="Courier New"/>
          <w:sz w:val="18"/>
          <w:szCs w:val="18"/>
          <w:color w:val="auto"/>
        </w:rPr>
        <w:t>(261,000)</w:t>
      </w:r>
    </w:p>
    <w:p>
      <w:pPr>
        <w:ind w:left="3460"/>
        <w:spacing w:after="0"/>
        <w:rPr>
          <w:sz w:val="20"/>
          <w:szCs w:val="20"/>
          <w:color w:val="auto"/>
        </w:rPr>
      </w:pPr>
      <w:r>
        <w:rPr>
          <w:rFonts w:ascii="Courier New" w:cs="Courier New" w:eastAsia="Courier New" w:hAnsi="Courier New"/>
          <w:sz w:val="18"/>
          <w:szCs w:val="18"/>
          <w:color w:val="auto"/>
        </w:rPr>
        <w:t>2,523,053</w:t>
      </w:r>
    </w:p>
    <w:p>
      <w:pPr>
        <w:ind w:left="2940"/>
        <w:spacing w:after="0" w:line="237" w:lineRule="auto"/>
        <w:rPr>
          <w:sz w:val="20"/>
          <w:szCs w:val="20"/>
          <w:color w:val="auto"/>
        </w:rPr>
      </w:pPr>
      <w:r>
        <w:rPr>
          <w:rFonts w:ascii="Courier New" w:cs="Courier New" w:eastAsia="Courier New" w:hAnsi="Courier New"/>
          <w:sz w:val="18"/>
          <w:szCs w:val="18"/>
          <w:color w:val="auto"/>
        </w:rPr>
        <w:t>6,966,806</w:t>
      </w:r>
    </w:p>
    <w:p>
      <w:pPr>
        <w:ind w:left="4000"/>
        <w:spacing w:after="0"/>
        <w:rPr>
          <w:sz w:val="20"/>
          <w:szCs w:val="20"/>
          <w:color w:val="auto"/>
        </w:rPr>
      </w:pPr>
      <w:r>
        <w:rPr>
          <w:rFonts w:ascii="Courier New" w:cs="Courier New" w:eastAsia="Courier New" w:hAnsi="Courier New"/>
          <w:sz w:val="18"/>
          <w:szCs w:val="18"/>
          <w:color w:val="auto"/>
        </w:rPr>
        <w:t>5,879,645</w:t>
      </w:r>
    </w:p>
    <w:p>
      <w:pPr>
        <w:ind w:left="2940"/>
        <w:spacing w:after="0" w:line="237" w:lineRule="auto"/>
        <w:rPr>
          <w:sz w:val="20"/>
          <w:szCs w:val="20"/>
          <w:color w:val="auto"/>
        </w:rPr>
      </w:pPr>
      <w:r>
        <w:rPr>
          <w:rFonts w:ascii="Courier New" w:cs="Courier New" w:eastAsia="Courier New" w:hAnsi="Courier New"/>
          <w:sz w:val="18"/>
          <w:szCs w:val="18"/>
          <w:color w:val="auto"/>
        </w:rPr>
        <w:t>(3,727,377)</w:t>
      </w:r>
    </w:p>
    <w:p>
      <w:pPr>
        <w:ind w:left="3160"/>
        <w:spacing w:after="0" w:line="238" w:lineRule="auto"/>
        <w:rPr>
          <w:sz w:val="20"/>
          <w:szCs w:val="20"/>
          <w:color w:val="auto"/>
        </w:rPr>
      </w:pPr>
      <w:r>
        <w:rPr>
          <w:rFonts w:ascii="Courier New" w:cs="Courier New" w:eastAsia="Courier New" w:hAnsi="Courier New"/>
          <w:sz w:val="18"/>
          <w:szCs w:val="18"/>
          <w:color w:val="auto"/>
        </w:rPr>
        <w:t>9,272,996</w:t>
      </w:r>
    </w:p>
    <w:p>
      <w:pPr>
        <w:ind w:left="2420"/>
        <w:spacing w:after="0"/>
        <w:rPr>
          <w:sz w:val="20"/>
          <w:szCs w:val="20"/>
          <w:color w:val="auto"/>
        </w:rPr>
      </w:pPr>
      <w:r>
        <w:rPr>
          <w:rFonts w:ascii="Courier New" w:cs="Courier New" w:eastAsia="Courier New" w:hAnsi="Courier New"/>
          <w:sz w:val="18"/>
          <w:szCs w:val="18"/>
          <w:color w:val="auto"/>
        </w:rPr>
        <w:t>2,186,847</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200"/>
        <w:spacing w:after="0"/>
        <w:rPr>
          <w:sz w:val="20"/>
          <w:szCs w:val="20"/>
          <w:color w:val="auto"/>
        </w:rPr>
      </w:pPr>
      <w:r>
        <w:rPr>
          <w:rFonts w:ascii="Courier New" w:cs="Courier New" w:eastAsia="Courier New" w:hAnsi="Courier New"/>
          <w:sz w:val="18"/>
          <w:szCs w:val="18"/>
          <w:color w:val="auto"/>
        </w:rPr>
        <w:t>8,122</w:t>
      </w:r>
    </w:p>
    <w:p>
      <w:pPr>
        <w:ind w:left="3580"/>
        <w:spacing w:after="0" w:line="237" w:lineRule="auto"/>
        <w:rPr>
          <w:sz w:val="20"/>
          <w:szCs w:val="20"/>
          <w:color w:val="auto"/>
        </w:rPr>
      </w:pPr>
      <w:r>
        <w:rPr>
          <w:rFonts w:ascii="Courier New" w:cs="Courier New" w:eastAsia="Courier New" w:hAnsi="Courier New"/>
          <w:sz w:val="18"/>
          <w:szCs w:val="18"/>
          <w:color w:val="auto"/>
        </w:rPr>
        <w:t>6,055,701</w:t>
      </w:r>
    </w:p>
    <w:p>
      <w:pPr>
        <w:ind w:left="1680"/>
        <w:spacing w:after="0" w:line="238" w:lineRule="auto"/>
        <w:rPr>
          <w:sz w:val="20"/>
          <w:szCs w:val="20"/>
          <w:color w:val="auto"/>
        </w:rPr>
      </w:pPr>
      <w:r>
        <w:rPr>
          <w:rFonts w:ascii="Courier New" w:cs="Courier New" w:eastAsia="Courier New" w:hAnsi="Courier New"/>
          <w:sz w:val="18"/>
          <w:szCs w:val="18"/>
          <w:color w:val="auto"/>
        </w:rPr>
        <w:t>9,272,996</w:t>
      </w:r>
    </w:p>
    <w:p>
      <w:pPr>
        <w:ind w:left="3900"/>
        <w:spacing w:after="0"/>
        <w:rPr>
          <w:sz w:val="20"/>
          <w:szCs w:val="20"/>
          <w:color w:val="auto"/>
        </w:rPr>
      </w:pPr>
      <w:r>
        <w:rPr>
          <w:rFonts w:ascii="Courier New" w:cs="Courier New" w:eastAsia="Courier New" w:hAnsi="Courier New"/>
          <w:sz w:val="18"/>
          <w:szCs w:val="18"/>
          <w:color w:val="auto"/>
        </w:rPr>
        <w:t>5,497,943</w:t>
      </w:r>
    </w:p>
    <w:p>
      <w:pPr>
        <w:ind w:left="2940"/>
        <w:spacing w:after="0" w:line="237" w:lineRule="auto"/>
        <w:rPr>
          <w:sz w:val="20"/>
          <w:szCs w:val="20"/>
          <w:color w:val="auto"/>
        </w:rPr>
      </w:pPr>
      <w:r>
        <w:rPr>
          <w:rFonts w:ascii="Courier New" w:cs="Courier New" w:eastAsia="Courier New" w:hAnsi="Courier New"/>
          <w:sz w:val="18"/>
          <w:szCs w:val="18"/>
          <w:color w:val="auto"/>
        </w:rPr>
        <w:t>5,506,768</w:t>
      </w:r>
    </w:p>
    <w:p>
      <w:pPr>
        <w:jc w:val="right"/>
        <w:ind w:right="5059"/>
        <w:spacing w:after="0"/>
        <w:rPr>
          <w:sz w:val="20"/>
          <w:szCs w:val="20"/>
          <w:color w:val="auto"/>
        </w:rPr>
      </w:pPr>
      <w:r>
        <w:rPr>
          <w:rFonts w:ascii="Courier New" w:cs="Courier New" w:eastAsia="Courier New" w:hAnsi="Courier New"/>
          <w:sz w:val="18"/>
          <w:szCs w:val="18"/>
          <w:color w:val="auto"/>
        </w:rPr>
        <w:t>2,517,362</w:t>
      </w:r>
    </w:p>
    <w:p>
      <w:pPr>
        <w:ind w:left="3260"/>
        <w:spacing w:after="0" w:line="237" w:lineRule="auto"/>
        <w:rPr>
          <w:sz w:val="20"/>
          <w:szCs w:val="20"/>
          <w:color w:val="auto"/>
        </w:rPr>
      </w:pPr>
      <w:r>
        <w:rPr>
          <w:rFonts w:ascii="Courier New" w:cs="Courier New" w:eastAsia="Courier New" w:hAnsi="Courier New"/>
          <w:sz w:val="18"/>
          <w:szCs w:val="18"/>
          <w:color w:val="auto"/>
        </w:rPr>
        <w:t>4,645,702</w:t>
      </w:r>
    </w:p>
    <w:p>
      <w:pPr>
        <w:ind w:left="3780"/>
        <w:spacing w:after="0"/>
        <w:rPr>
          <w:sz w:val="20"/>
          <w:szCs w:val="20"/>
          <w:color w:val="auto"/>
        </w:rPr>
      </w:pPr>
      <w:r>
        <w:rPr>
          <w:rFonts w:ascii="Courier New" w:cs="Courier New" w:eastAsia="Courier New" w:hAnsi="Courier New"/>
          <w:sz w:val="18"/>
          <w:szCs w:val="18"/>
          <w:color w:val="auto"/>
        </w:rPr>
        <w:t>0</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040"/>
        <w:spacing w:after="0"/>
        <w:rPr>
          <w:sz w:val="20"/>
          <w:szCs w:val="20"/>
          <w:color w:val="auto"/>
        </w:rPr>
      </w:pPr>
      <w:r>
        <w:rPr>
          <w:rFonts w:ascii="Courier New" w:cs="Courier New" w:eastAsia="Courier New" w:hAnsi="Courier New"/>
          <w:sz w:val="18"/>
          <w:szCs w:val="18"/>
          <w:color w:val="auto"/>
        </w:rPr>
        <w:t>34,460</w:t>
      </w:r>
    </w:p>
    <w:p>
      <w:pPr>
        <w:ind w:left="3260"/>
        <w:spacing w:after="0" w:line="237" w:lineRule="auto"/>
        <w:rPr>
          <w:sz w:val="20"/>
          <w:szCs w:val="20"/>
          <w:color w:val="auto"/>
        </w:rPr>
      </w:pPr>
      <w:r>
        <w:rPr>
          <w:rFonts w:ascii="Courier New" w:cs="Courier New" w:eastAsia="Courier New" w:hAnsi="Courier New"/>
          <w:sz w:val="18"/>
          <w:szCs w:val="18"/>
          <w:color w:val="auto"/>
        </w:rPr>
        <w:t>816,797</w:t>
      </w:r>
    </w:p>
    <w:p>
      <w:pPr>
        <w:ind w:left="3580"/>
        <w:spacing w:after="0" w:line="238" w:lineRule="auto"/>
        <w:rPr>
          <w:sz w:val="20"/>
          <w:szCs w:val="20"/>
          <w:color w:val="auto"/>
        </w:rPr>
      </w:pPr>
      <w:r>
        <w:rPr>
          <w:rFonts w:ascii="Courier New" w:cs="Courier New" w:eastAsia="Courier New" w:hAnsi="Courier New"/>
          <w:sz w:val="18"/>
          <w:szCs w:val="18"/>
          <w:color w:val="auto"/>
        </w:rPr>
        <w:t>308,000</w:t>
      </w:r>
    </w:p>
    <w:p>
      <w:pPr>
        <w:ind w:left="2840"/>
        <w:spacing w:after="0"/>
        <w:rPr>
          <w:sz w:val="20"/>
          <w:szCs w:val="20"/>
          <w:color w:val="auto"/>
        </w:rPr>
      </w:pPr>
      <w:r>
        <w:rPr>
          <w:rFonts w:ascii="Courier New" w:cs="Courier New" w:eastAsia="Courier New" w:hAnsi="Courier New"/>
          <w:sz w:val="18"/>
          <w:szCs w:val="18"/>
          <w:color w:val="auto"/>
        </w:rPr>
        <w:t>508,797</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508,797</w:t>
      </w:r>
    </w:p>
    <w:p>
      <w:pPr>
        <w:ind w:left="3780"/>
        <w:spacing w:after="0" w:line="237" w:lineRule="auto"/>
        <w:rPr>
          <w:sz w:val="20"/>
          <w:szCs w:val="20"/>
          <w:color w:val="auto"/>
        </w:rPr>
      </w:pPr>
      <w:r>
        <w:rPr>
          <w:rFonts w:ascii="Courier New" w:cs="Courier New" w:eastAsia="Courier New" w:hAnsi="Courier New"/>
          <w:sz w:val="18"/>
          <w:szCs w:val="18"/>
          <w:color w:val="auto"/>
        </w:rPr>
        <w:t>0.06</w:t>
      </w:r>
    </w:p>
    <w:p>
      <w:pPr>
        <w:ind w:left="3780"/>
        <w:spacing w:after="0" w:line="238" w:lineRule="auto"/>
        <w:rPr>
          <w:sz w:val="20"/>
          <w:szCs w:val="20"/>
          <w:color w:val="auto"/>
        </w:rPr>
      </w:pPr>
      <w:r>
        <w:rPr>
          <w:rFonts w:ascii="Courier New" w:cs="Courier New" w:eastAsia="Courier New" w:hAnsi="Courier New"/>
          <w:sz w:val="18"/>
          <w:szCs w:val="18"/>
          <w:color w:val="auto"/>
        </w:rPr>
        <w:t>0.06</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2019-12-13T18:08:09Z</dcterms:created>
  <dcterms:modified xsi:type="dcterms:W3CDTF">2019-12-13T18:08:09Z</dcterms:modified>
</cp:coreProperties>
</file>