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SCHEDULE 13D/A</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No. 6)*</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ClearOne Inc.</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185060100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Edward Dallin Bagley</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2350 Oakhill Drive</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Salt Lake City, Utah 84121</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Tel. (801) 573-8227</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August 25, 2017</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4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Rule 13d-1(e), (f) (g),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 parties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 copies are to be sent.</w:t>
      </w:r>
    </w:p>
    <w:p>
      <w:pPr>
        <w:spacing w:after="0" w:line="159"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441" w:right="2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185060100</w:t>
      </w:r>
    </w:p>
    <w:p>
      <w:pPr>
        <w:spacing w:after="0" w:line="243" w:lineRule="exact"/>
        <w:rPr>
          <w:sz w:val="20"/>
          <w:szCs w:val="20"/>
          <w:color w:val="auto"/>
        </w:rPr>
      </w:pPr>
    </w:p>
    <w:p>
      <w:pPr>
        <w:ind w:left="1120" w:right="7840" w:hanging="279"/>
        <w:spacing w:after="0" w:line="261" w:lineRule="auto"/>
        <w:tabs>
          <w:tab w:leader="none" w:pos="1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 Edward Dallin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-284480</wp:posOffset>
            </wp:positionV>
            <wp:extent cx="7103110" cy="4838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3110" cy="4838700"/>
                    </a:xfrm>
                    <a:prstGeom prst="rect">
                      <a:avLst/>
                    </a:prstGeom>
                    <a:noFill/>
                  </pic:spPr>
                </pic:pic>
              </a:graphicData>
            </a:graphic>
          </wp:anchor>
        </w:drawing>
      </w:r>
    </w:p>
    <w:p>
      <w:pPr>
        <w:ind w:left="1120" w:hanging="279"/>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rFonts w:ascii="Times New Roman" w:cs="Times New Roman" w:eastAsia="Times New Roman" w:hAnsi="Times New Roman"/>
          <w:sz w:val="18"/>
          <w:szCs w:val="18"/>
          <w:color w:val="auto"/>
        </w:rPr>
      </w:pPr>
    </w:p>
    <w:p>
      <w:pPr>
        <w:ind w:left="2080" w:hanging="243"/>
        <w:spacing w:after="0" w:line="207" w:lineRule="exact"/>
        <w:tabs>
          <w:tab w:leader="none" w:pos="208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 w:lineRule="exact"/>
        <w:rPr>
          <w:rFonts w:ascii="Times New Roman" w:cs="Times New Roman" w:eastAsia="Times New Roman" w:hAnsi="Times New Roman"/>
          <w:sz w:val="18"/>
          <w:szCs w:val="18"/>
          <w:color w:val="auto"/>
        </w:rPr>
      </w:pPr>
    </w:p>
    <w:p>
      <w:pPr>
        <w:ind w:left="2100" w:hanging="263"/>
        <w:spacing w:after="0" w:line="207" w:lineRule="exact"/>
        <w:tabs>
          <w:tab w:leader="none" w:pos="21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3" w:lineRule="exact"/>
        <w:rPr>
          <w:sz w:val="20"/>
          <w:szCs w:val="20"/>
          <w:color w:val="auto"/>
        </w:rPr>
      </w:pPr>
    </w:p>
    <w:p>
      <w:pPr>
        <w:ind w:left="1120" w:hanging="279"/>
        <w:spacing w:after="0"/>
        <w:tabs>
          <w:tab w:leader="none" w:pos="11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19" w:lineRule="exact"/>
        <w:rPr>
          <w:sz w:val="20"/>
          <w:szCs w:val="20"/>
          <w:color w:val="auto"/>
        </w:rPr>
      </w:pPr>
    </w:p>
    <w:p>
      <w:pPr>
        <w:ind w:left="1120" w:right="8780" w:hanging="279"/>
        <w:spacing w:after="0" w:line="276" w:lineRule="auto"/>
        <w:tabs>
          <w:tab w:leader="none" w:pos="11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Source of Funds Not applicable</w:t>
      </w:r>
    </w:p>
    <w:p>
      <w:pPr>
        <w:spacing w:after="0" w:line="1" w:lineRule="exact"/>
        <w:rPr>
          <w:sz w:val="20"/>
          <w:szCs w:val="20"/>
          <w:color w:val="auto"/>
        </w:rPr>
      </w:pPr>
    </w:p>
    <w:p>
      <w:pPr>
        <w:ind w:left="1120" w:right="3900" w:hanging="279"/>
        <w:spacing w:after="0" w:line="258" w:lineRule="auto"/>
        <w:tabs>
          <w:tab w:leader="none" w:pos="11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 Not applicable</w:t>
      </w:r>
    </w:p>
    <w:p>
      <w:pPr>
        <w:spacing w:after="0" w:line="1" w:lineRule="exact"/>
        <w:rPr>
          <w:sz w:val="20"/>
          <w:szCs w:val="20"/>
          <w:color w:val="auto"/>
        </w:rPr>
      </w:pPr>
    </w:p>
    <w:p>
      <w:pPr>
        <w:ind w:left="1120" w:right="7320" w:hanging="279"/>
        <w:spacing w:after="0" w:line="258" w:lineRule="auto"/>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U.S.</w:t>
      </w:r>
    </w:p>
    <w:p>
      <w:pPr>
        <w:sectPr>
          <w:pgSz w:w="11900" w:h="16838" w:orient="portrait"/>
          <w:cols w:equalWidth="0" w:num="1">
            <w:col w:w="11080"/>
          </w:cols>
          <w:pgMar w:left="240" w:top="576" w:right="579" w:bottom="1440" w:gutter="0" w:footer="0" w:header="0"/>
        </w:sectPr>
      </w:pP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Number of</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Shares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Person With</w:t>
      </w:r>
    </w:p>
    <w:p>
      <w:pPr>
        <w:spacing w:after="0" w:line="20" w:lineRule="exact"/>
        <w:rPr>
          <w:sz w:val="20"/>
          <w:szCs w:val="20"/>
          <w:color w:val="auto"/>
        </w:rPr>
      </w:pPr>
      <w:r>
        <w:rPr>
          <w:sz w:val="20"/>
          <w:szCs w:val="20"/>
          <w:color w:val="auto"/>
        </w:rPr>
        <w:br w:type="column"/>
      </w:r>
    </w:p>
    <w:p>
      <w:pPr>
        <w:ind w:left="367" w:hanging="277"/>
        <w:spacing w:after="0"/>
        <w:tabs>
          <w:tab w:leader="none" w:pos="36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2" w:lineRule="exact"/>
        <w:rPr>
          <w:rFonts w:ascii="Times New Roman" w:cs="Times New Roman" w:eastAsia="Times New Roman" w:hAnsi="Times New Roman"/>
          <w:sz w:val="18"/>
          <w:szCs w:val="18"/>
          <w:color w:val="auto"/>
        </w:rPr>
      </w:pPr>
    </w:p>
    <w:p>
      <w:pPr>
        <w:ind w:left="3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2,623,997 (not including 10,137 shares subject to options exercisable within 60 days and 18,196 shares subject to unvested</w:t>
      </w:r>
    </w:p>
    <w:p>
      <w:pPr>
        <w:spacing w:after="0" w:line="9"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8"/>
          <w:szCs w:val="18"/>
          <w:color w:val="auto"/>
        </w:rPr>
        <w:t>options)</w:t>
      </w:r>
    </w:p>
    <w:p>
      <w:pPr>
        <w:spacing w:after="0" w:line="9" w:lineRule="exact"/>
        <w:rPr>
          <w:sz w:val="20"/>
          <w:szCs w:val="20"/>
          <w:color w:val="auto"/>
        </w:rPr>
      </w:pPr>
    </w:p>
    <w:p>
      <w:pPr>
        <w:ind w:left="367" w:right="7760" w:hanging="277"/>
        <w:spacing w:after="0" w:line="258" w:lineRule="auto"/>
        <w:tabs>
          <w:tab w:leader="none" w:pos="36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0 *</w:t>
      </w:r>
    </w:p>
    <w:p>
      <w:pPr>
        <w:spacing w:after="0" w:line="1" w:lineRule="exact"/>
        <w:rPr>
          <w:sz w:val="20"/>
          <w:szCs w:val="20"/>
          <w:color w:val="auto"/>
        </w:rPr>
      </w:pPr>
    </w:p>
    <w:p>
      <w:pPr>
        <w:ind w:left="367" w:hanging="277"/>
        <w:spacing w:after="0"/>
        <w:tabs>
          <w:tab w:leader="none" w:pos="36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w:t>
      </w:r>
    </w:p>
    <w:p>
      <w:pPr>
        <w:spacing w:after="0" w:line="22" w:lineRule="exact"/>
        <w:rPr>
          <w:rFonts w:ascii="Times New Roman" w:cs="Times New Roman" w:eastAsia="Times New Roman" w:hAnsi="Times New Roman"/>
          <w:sz w:val="18"/>
          <w:szCs w:val="18"/>
          <w:color w:val="auto"/>
        </w:rPr>
      </w:pPr>
    </w:p>
    <w:p>
      <w:pPr>
        <w:ind w:left="3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2,634,134 (including 10,137 shares subject to options exercisable within 60 days and not including 18,196 shares subject to</w:t>
      </w:r>
    </w:p>
    <w:p>
      <w:pPr>
        <w:spacing w:after="0" w:line="9" w:lineRule="exact"/>
        <w:rPr>
          <w:sz w:val="20"/>
          <w:szCs w:val="20"/>
          <w:color w:val="auto"/>
        </w:rPr>
      </w:pPr>
    </w:p>
    <w:p>
      <w:pPr>
        <w:ind w:left="287"/>
        <w:spacing w:after="0"/>
        <w:rPr>
          <w:sz w:val="20"/>
          <w:szCs w:val="20"/>
          <w:color w:val="auto"/>
        </w:rPr>
      </w:pPr>
      <w:r>
        <w:rPr>
          <w:rFonts w:ascii="Times New Roman" w:cs="Times New Roman" w:eastAsia="Times New Roman" w:hAnsi="Times New Roman"/>
          <w:sz w:val="18"/>
          <w:szCs w:val="18"/>
          <w:color w:val="auto"/>
        </w:rPr>
        <w:t>unvested options)</w:t>
      </w:r>
    </w:p>
    <w:p>
      <w:pPr>
        <w:spacing w:after="0" w:line="9" w:lineRule="exact"/>
        <w:rPr>
          <w:sz w:val="20"/>
          <w:szCs w:val="20"/>
          <w:color w:val="auto"/>
        </w:rPr>
      </w:pPr>
    </w:p>
    <w:p>
      <w:pPr>
        <w:ind w:left="367" w:right="7420" w:hanging="367"/>
        <w:spacing w:after="0" w:line="258" w:lineRule="auto"/>
        <w:tabs>
          <w:tab w:leader="none" w:pos="3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 *</w:t>
      </w:r>
    </w:p>
    <w:p>
      <w:pPr>
        <w:spacing w:after="0" w:line="1" w:lineRule="exact"/>
        <w:rPr>
          <w:sz w:val="20"/>
          <w:szCs w:val="20"/>
          <w:color w:val="auto"/>
        </w:rPr>
      </w:pPr>
    </w:p>
    <w:p>
      <w:pPr>
        <w:sectPr>
          <w:pgSz w:w="11900" w:h="16838" w:orient="portrait"/>
          <w:cols w:equalWidth="0" w:num="2">
            <w:col w:w="1080" w:space="333"/>
            <w:col w:w="9667"/>
          </w:cols>
          <w:pgMar w:left="240" w:top="576" w:right="579" w:bottom="1440" w:gutter="0" w:footer="0" w:header="0"/>
          <w:type w:val="continuous"/>
        </w:sectPr>
      </w:pPr>
    </w:p>
    <w:p>
      <w:pPr>
        <w:ind w:left="760"/>
        <w:spacing w:after="0"/>
        <w:tabs>
          <w:tab w:leader="none" w:pos="1100" w:val="left"/>
        </w:tabs>
        <w:rPr>
          <w:sz w:val="20"/>
          <w:szCs w:val="20"/>
          <w:color w:val="auto"/>
        </w:rPr>
      </w:pPr>
      <w:r>
        <w:rPr>
          <w:rFonts w:ascii="Times New Roman" w:cs="Times New Roman" w:eastAsia="Times New Roman" w:hAnsi="Times New Roman"/>
          <w:sz w:val="18"/>
          <w:szCs w:val="18"/>
          <w:color w:val="auto"/>
        </w:rPr>
        <w:t>11</w:t>
        <w:tab/>
        <w:t>Aggregate Amount Beneficially Owned by Each Reporting Person</w:t>
      </w:r>
    </w:p>
    <w:p>
      <w:pPr>
        <w:spacing w:after="0" w:line="23" w:lineRule="exact"/>
        <w:rPr>
          <w:sz w:val="20"/>
          <w:szCs w:val="20"/>
          <w:color w:val="auto"/>
        </w:rPr>
      </w:pPr>
    </w:p>
    <w:p>
      <w:pPr>
        <w:ind w:left="1040" w:right="340" w:firstLine="90"/>
        <w:spacing w:after="0" w:line="250" w:lineRule="auto"/>
        <w:rPr>
          <w:sz w:val="20"/>
          <w:szCs w:val="20"/>
          <w:color w:val="auto"/>
        </w:rPr>
      </w:pPr>
      <w:r>
        <w:rPr>
          <w:rFonts w:ascii="Times New Roman" w:cs="Times New Roman" w:eastAsia="Times New Roman" w:hAnsi="Times New Roman"/>
          <w:sz w:val="18"/>
          <w:szCs w:val="18"/>
          <w:color w:val="auto"/>
        </w:rPr>
        <w:t>2,634,134 (including 10,137 shares subject to options exercisable within 60 days and not including 18,196 shares subject to unvested options) *</w:t>
      </w:r>
    </w:p>
    <w:p>
      <w:pPr>
        <w:spacing w:after="0" w:line="1" w:lineRule="exact"/>
        <w:rPr>
          <w:sz w:val="20"/>
          <w:szCs w:val="20"/>
          <w:color w:val="auto"/>
        </w:rPr>
      </w:pPr>
    </w:p>
    <w:p>
      <w:pPr>
        <w:ind w:left="1120" w:hanging="369"/>
        <w:spacing w:after="0" w:line="207" w:lineRule="exact"/>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3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Class Represented by Amount in Row (11)</w:t>
      </w:r>
    </w:p>
    <w:p>
      <w:pPr>
        <w:spacing w:after="0" w:line="27"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31.3% (including 10,137 shares subject to options exercisable within 60 days and not including 18,196 shares subject to unvested options)</w:t>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120" w:hanging="369"/>
        <w:spacing w:after="0"/>
        <w:tabs>
          <w:tab w:leader="none" w:pos="11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1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87" w:lineRule="exact"/>
        <w:rPr>
          <w:rFonts w:ascii="Times New Roman" w:cs="Times New Roman" w:eastAsia="Times New Roman" w:hAnsi="Times New Roman"/>
          <w:sz w:val="18"/>
          <w:szCs w:val="18"/>
          <w:color w:val="auto"/>
        </w:rPr>
      </w:pPr>
    </w:p>
    <w:p>
      <w:pPr>
        <w:ind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Mr. Bagley may be deemed to own 126,166 shares of common stock that Carolyn Bagley owns individually. Mr. Bagley, however, disclaims beneficial ownership of these shares.</w:t>
      </w:r>
    </w:p>
    <w:p>
      <w:pPr>
        <w:spacing w:after="0" w:line="1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576" w:right="5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180" w:firstLine="648"/>
        <w:spacing w:after="0" w:line="313" w:lineRule="auto"/>
        <w:rPr>
          <w:sz w:val="20"/>
          <w:szCs w:val="20"/>
          <w:color w:val="auto"/>
        </w:rPr>
      </w:pPr>
      <w:r>
        <w:rPr>
          <w:rFonts w:ascii="Times New Roman" w:cs="Times New Roman" w:eastAsia="Times New Roman" w:hAnsi="Times New Roman"/>
          <w:sz w:val="17"/>
          <w:szCs w:val="17"/>
          <w:color w:val="auto"/>
        </w:rPr>
        <w:t>This statement on Schedule 13D relates to the shares of common stock, par value $.001 per share (the “Common Stock”), of ClearOne Inc., a Utah corporation (the “Company”). The Company’s principal executive offices are located at 5225 Wiley Post Way, Suite 500, Salt Lake City, Utah 84116.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 Name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statement is being filed by Edward Dallin Bagley.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 Residence or business address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Bagley’s address is 2350 Oakhill Drive, Salt Lake City, Utah 84121.</w:t>
      </w:r>
    </w:p>
    <w:p>
      <w:pPr>
        <w:spacing w:after="0" w:line="221" w:lineRule="exact"/>
        <w:rPr>
          <w:sz w:val="20"/>
          <w:szCs w:val="20"/>
          <w:color w:val="auto"/>
        </w:rPr>
      </w:pPr>
    </w:p>
    <w:p>
      <w:pPr>
        <w:ind w:right="200" w:firstLine="656"/>
        <w:spacing w:after="0" w:line="286" w:lineRule="auto"/>
        <w:tabs>
          <w:tab w:leader="none" w:pos="893"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Present principal occupation or employment and the name, principal business and address of any corporation or other organization in which such employment is conducted</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Bagley is principally self-employed as an investor and attorney.</w:t>
      </w:r>
    </w:p>
    <w:p>
      <w:pPr>
        <w:spacing w:after="0" w:line="221" w:lineRule="exact"/>
        <w:rPr>
          <w:sz w:val="20"/>
          <w:szCs w:val="20"/>
          <w:color w:val="auto"/>
        </w:rPr>
      </w:pPr>
    </w:p>
    <w:p>
      <w:pPr>
        <w:ind w:firstLine="656"/>
        <w:spacing w:after="0" w:line="268" w:lineRule="auto"/>
        <w:tabs>
          <w:tab w:leader="none" w:pos="91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firstLine="656"/>
        <w:spacing w:after="0" w:line="262" w:lineRule="auto"/>
        <w:tabs>
          <w:tab w:leader="none" w:pos="893"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 Citizenship.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Bagley is a citizen of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Bagley used personal funds to acquire the shares. See Item 5 for amount of funds.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Bagley has acquired the Common Stock for investment purposes.</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pursuing such investment purposes, Mr. Bagley may further purchase, hold, vote, trade, dispose or otherwise deal in the Common Stock at such times, and in such manner, as he deems advisable to benefit from changes in market prices of the Common Stock, changes in the Issuer's operations, business strategy or prospects, or from sale or merger of the Issuer. To evaluate such alternatives, Mr. Bagley will routinely monitor the Issuer's operations, prospects, business development, management, competitive and strategic matters, capital structure, and prevailing market conditions, as well as alternative investment opportunities, liquidity requirements of Mr. Bagley and other investment considerations. Mr. Bagley may discuss such matters with management or directors of the Issuer, other shareholders, industry analysts, investment and financing professionals, sources of credit and other investors. Such factors and discussions may materially affect, and result in, Mr. Bagley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bookmarkStart w:id="3" w:name="page4"/>
    <w:bookmarkEnd w:id="3"/>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Mr. Bagley reserves the right to formulate other plans and/or make other proposals, and take such actions with respect to his investment in the Issuer, including any or all of the actions set forth in paragraphs (a) through (j) of Item 4 of Schedule 13D, or acquire additional Common Stock or dispose of all the Common Stock beneficially owned by him, in the public market or privately negotiated transactions. Mr. Bagley may at any time reconsider and change his plans or proposals relating to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right="100" w:firstLine="8"/>
        <w:spacing w:after="0" w:line="266" w:lineRule="auto"/>
        <w:tabs>
          <w:tab w:leader="none" w:pos="6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and except for the option described below, Mr. Bagley is the beneficial owner of 2,634,134 (including 10,137 shares subject to options exercisable within 60 days and not including 18,196 shares subject to unvested options) shares of the Common Stock, representing approximately 31.3% of the Issuer’s outstanding Common Stock.</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Mr. Bagley may be deemed to own 126,166 shares of common stock that Carolyn Bagley owns individually. Mr. Bagley, however, disclaims beneficial ownership of these shares.</w:t>
      </w:r>
    </w:p>
    <w:p>
      <w:pPr>
        <w:spacing w:after="0" w:line="162" w:lineRule="exact"/>
        <w:rPr>
          <w:sz w:val="20"/>
          <w:szCs w:val="20"/>
          <w:color w:val="auto"/>
        </w:rPr>
      </w:pPr>
    </w:p>
    <w:p>
      <w:pPr>
        <w:ind w:left="540" w:hanging="532"/>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Common Stock as to which the Reporting Person has: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61"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2,623,997 (not including 10,137 shares subject to options exercisable within 60 days and 18,196 shares subject to unvested options)</w:t>
      </w: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0 *</w:t>
      </w:r>
    </w:p>
    <w:p>
      <w:pPr>
        <w:spacing w:after="0" w:line="9" w:lineRule="exact"/>
        <w:rPr>
          <w:rFonts w:ascii="Times New Roman" w:cs="Times New Roman" w:eastAsia="Times New Roman" w:hAnsi="Times New Roman"/>
          <w:sz w:val="18"/>
          <w:szCs w:val="18"/>
          <w:color w:val="auto"/>
        </w:rPr>
      </w:pPr>
    </w:p>
    <w:p>
      <w:pPr>
        <w:ind w:left="980" w:right="620" w:hanging="324"/>
        <w:spacing w:after="0" w:line="250"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2,634,134 (including 10,137 shares subject to options exercisable within 60 days and not including 18,196 shares subject to unvested options)</w:t>
      </w:r>
    </w:p>
    <w:p>
      <w:pPr>
        <w:ind w:left="980" w:hanging="324"/>
        <w:spacing w:after="0"/>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0 *</w:t>
      </w:r>
    </w:p>
    <w:p>
      <w:pPr>
        <w:spacing w:after="0" w:line="207" w:lineRule="exact"/>
        <w:rPr>
          <w:sz w:val="20"/>
          <w:szCs w:val="20"/>
          <w:color w:val="auto"/>
        </w:rPr>
      </w:pPr>
    </w:p>
    <w:p>
      <w:pPr>
        <w:ind w:right="400" w:firstLine="8"/>
        <w:spacing w:after="0" w:line="282" w:lineRule="auto"/>
        <w:tabs>
          <w:tab w:leader="none" w:pos="1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Bagley may be deemed to own 126,166 shares of common stock that Carolyn Bagley owns individually. Mr. Bagley, however, disclaims beneficial ownership of these shares.</w:t>
      </w:r>
    </w:p>
    <w:p>
      <w:pPr>
        <w:spacing w:after="0" w:line="162" w:lineRule="exact"/>
        <w:rPr>
          <w:sz w:val="20"/>
          <w:szCs w:val="20"/>
          <w:color w:val="auto"/>
        </w:rPr>
      </w:pPr>
    </w:p>
    <w:p>
      <w:pPr>
        <w:jc w:val="both"/>
        <w:ind w:firstLine="8"/>
        <w:spacing w:after="0" w:line="266" w:lineRule="auto"/>
        <w:tabs>
          <w:tab w:leader="none" w:pos="69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all transactions with respect to the Common Stock effected during the past sixty (60) days by the Reporting Person, inclusive of any transactions effected through 5:00 p.m., Salt Lake City time, on December 4, 2017. All such transactions were purchases of Common Stock effected pursuant to acquisitions in the open market.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ind w:left="140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42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Number of Shares Purchased</w:t>
            </w:r>
          </w:p>
        </w:tc>
        <w:tc>
          <w:tcPr>
            <w:tcW w:w="3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Purchase Price Per Share</w:t>
            </w:r>
          </w:p>
        </w:tc>
      </w:tr>
      <w:tr>
        <w:trPr>
          <w:trHeight w:val="216"/>
        </w:trPr>
        <w:tc>
          <w:tcPr>
            <w:tcW w:w="39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216"/>
        </w:trPr>
        <w:tc>
          <w:tcPr>
            <w:tcW w:w="3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November 31, 2017</w:t>
            </w:r>
          </w:p>
        </w:tc>
        <w:tc>
          <w:tcPr>
            <w:tcW w:w="422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289,590</w:t>
            </w:r>
          </w:p>
        </w:tc>
        <w:tc>
          <w:tcPr>
            <w:tcW w:w="32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November 30, 2017</w:t>
            </w:r>
          </w:p>
        </w:tc>
        <w:tc>
          <w:tcPr>
            <w:tcW w:w="422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11</w:t>
            </w:r>
          </w:p>
        </w:tc>
        <w:tc>
          <w:tcPr>
            <w:tcW w:w="32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$6.95</w:t>
            </w:r>
          </w:p>
        </w:tc>
      </w:tr>
      <w:tr>
        <w:trPr>
          <w:trHeight w:val="216"/>
        </w:trPr>
        <w:tc>
          <w:tcPr>
            <w:tcW w:w="3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November 29, 2017</w:t>
            </w:r>
          </w:p>
        </w:tc>
        <w:tc>
          <w:tcPr>
            <w:tcW w:w="422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200,000</w:t>
            </w:r>
          </w:p>
        </w:tc>
        <w:tc>
          <w:tcPr>
            <w:tcW w:w="32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November 28, 2017</w:t>
            </w:r>
          </w:p>
        </w:tc>
        <w:tc>
          <w:tcPr>
            <w:tcW w:w="422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100,000</w:t>
            </w:r>
          </w:p>
        </w:tc>
        <w:tc>
          <w:tcPr>
            <w:tcW w:w="32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3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November 22, 2017</w:t>
            </w:r>
          </w:p>
        </w:tc>
        <w:tc>
          <w:tcPr>
            <w:tcW w:w="422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18</w:t>
            </w:r>
          </w:p>
        </w:tc>
        <w:tc>
          <w:tcPr>
            <w:tcW w:w="32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$6.90</w:t>
            </w:r>
          </w:p>
        </w:tc>
      </w:tr>
      <w:tr>
        <w:trPr>
          <w:trHeight w:val="216"/>
        </w:trPr>
        <w:tc>
          <w:tcPr>
            <w:tcW w:w="3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November 10, 2012</w:t>
            </w:r>
          </w:p>
        </w:tc>
        <w:tc>
          <w:tcPr>
            <w:tcW w:w="422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39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November 10, 2012</w:t>
            </w:r>
          </w:p>
        </w:tc>
        <w:tc>
          <w:tcPr>
            <w:tcW w:w="422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9,000</w:t>
            </w:r>
          </w:p>
        </w:tc>
        <w:tc>
          <w:tcPr>
            <w:tcW w:w="3280" w:type="dxa"/>
            <w:vAlign w:val="bottom"/>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$7.75</w:t>
            </w:r>
          </w:p>
        </w:tc>
      </w:tr>
      <w:tr>
        <w:trPr>
          <w:trHeight w:val="234"/>
        </w:trPr>
        <w:tc>
          <w:tcPr>
            <w:tcW w:w="392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November 18, 2017</w:t>
            </w:r>
          </w:p>
        </w:tc>
        <w:tc>
          <w:tcPr>
            <w:tcW w:w="422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rPr>
              <w:t>10,000</w:t>
            </w:r>
          </w:p>
        </w:tc>
        <w:tc>
          <w:tcPr>
            <w:tcW w:w="32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$7.60</w:t>
            </w: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960" w:type="dxa"/>
            <w:vAlign w:val="bottom"/>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Transaction Date</w:t>
            </w:r>
          </w:p>
        </w:tc>
        <w:tc>
          <w:tcPr>
            <w:tcW w:w="424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Number of Shares Purchased</w:t>
            </w:r>
          </w:p>
        </w:tc>
        <w:tc>
          <w:tcPr>
            <w:tcW w:w="32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Purchase Price Per Share</w:t>
            </w:r>
          </w:p>
        </w:tc>
      </w:tr>
      <w:tr>
        <w:trPr>
          <w:trHeight w:val="216"/>
        </w:trPr>
        <w:tc>
          <w:tcPr>
            <w:tcW w:w="39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November 15, 2017</w:t>
            </w:r>
          </w:p>
        </w:tc>
        <w:tc>
          <w:tcPr>
            <w:tcW w:w="42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1</w:t>
            </w:r>
          </w:p>
        </w:tc>
        <w:tc>
          <w:tcPr>
            <w:tcW w:w="32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39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November 14, 2017</w:t>
            </w:r>
          </w:p>
        </w:tc>
        <w:tc>
          <w:tcPr>
            <w:tcW w:w="42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2,000</w:t>
            </w:r>
          </w:p>
        </w:tc>
        <w:tc>
          <w:tcPr>
            <w:tcW w:w="32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$7.60</w:t>
            </w:r>
          </w:p>
        </w:tc>
      </w:tr>
      <w:tr>
        <w:trPr>
          <w:trHeight w:val="216"/>
        </w:trPr>
        <w:tc>
          <w:tcPr>
            <w:tcW w:w="39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November 8, 2017</w:t>
            </w:r>
          </w:p>
        </w:tc>
        <w:tc>
          <w:tcPr>
            <w:tcW w:w="42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20,000</w:t>
            </w:r>
          </w:p>
        </w:tc>
        <w:tc>
          <w:tcPr>
            <w:tcW w:w="32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w w:val="99"/>
              </w:rPr>
              <w:t>$7.5883</w:t>
            </w:r>
          </w:p>
        </w:tc>
      </w:tr>
      <w:tr>
        <w:trPr>
          <w:trHeight w:val="216"/>
        </w:trPr>
        <w:tc>
          <w:tcPr>
            <w:tcW w:w="39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November 8, 2017</w:t>
            </w:r>
          </w:p>
        </w:tc>
        <w:tc>
          <w:tcPr>
            <w:tcW w:w="42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2,195</w:t>
            </w:r>
          </w:p>
        </w:tc>
        <w:tc>
          <w:tcPr>
            <w:tcW w:w="32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396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November 5, 2017</w:t>
            </w:r>
          </w:p>
        </w:tc>
        <w:tc>
          <w:tcPr>
            <w:tcW w:w="4240" w:type="dxa"/>
            <w:vAlign w:val="bottom"/>
            <w:shd w:val="clear" w:color="auto" w:fill="CCEEFF"/>
          </w:tcPr>
          <w:p>
            <w:pPr>
              <w:jc w:val="right"/>
              <w:ind w:right="1450"/>
              <w:spacing w:after="0"/>
              <w:rPr>
                <w:sz w:val="20"/>
                <w:szCs w:val="20"/>
                <w:color w:val="auto"/>
              </w:rPr>
            </w:pPr>
            <w:r>
              <w:rPr>
                <w:rFonts w:ascii="Times New Roman" w:cs="Times New Roman" w:eastAsia="Times New Roman" w:hAnsi="Times New Roman"/>
                <w:sz w:val="18"/>
                <w:szCs w:val="18"/>
                <w:color w:val="auto"/>
              </w:rPr>
              <w:t>10,000</w:t>
            </w:r>
          </w:p>
        </w:tc>
        <w:tc>
          <w:tcPr>
            <w:tcW w:w="3220" w:type="dxa"/>
            <w:vAlign w:val="bottom"/>
            <w:shd w:val="clear" w:color="auto" w:fill="CCEEFF"/>
          </w:tcPr>
          <w:p>
            <w:pPr>
              <w:jc w:val="center"/>
              <w:ind w:left="190"/>
              <w:spacing w:after="0"/>
              <w:rPr>
                <w:sz w:val="20"/>
                <w:szCs w:val="20"/>
                <w:color w:val="auto"/>
              </w:rPr>
            </w:pPr>
            <w:r>
              <w:rPr>
                <w:rFonts w:ascii="Times New Roman" w:cs="Times New Roman" w:eastAsia="Times New Roman" w:hAnsi="Times New Roman"/>
                <w:sz w:val="18"/>
                <w:szCs w:val="18"/>
                <w:color w:val="auto"/>
              </w:rPr>
              <w:t>$7.50</w:t>
            </w:r>
          </w:p>
        </w:tc>
      </w:tr>
      <w:tr>
        <w:trPr>
          <w:trHeight w:val="234"/>
        </w:trPr>
        <w:tc>
          <w:tcPr>
            <w:tcW w:w="396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November 1, 2017</w:t>
            </w:r>
          </w:p>
        </w:tc>
        <w:tc>
          <w:tcPr>
            <w:tcW w:w="42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8,922</w:t>
            </w:r>
          </w:p>
        </w:tc>
        <w:tc>
          <w:tcPr>
            <w:tcW w:w="32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$7.55</w:t>
            </w:r>
          </w:p>
        </w:tc>
      </w:tr>
    </w:tbl>
    <w:p>
      <w:pPr>
        <w:spacing w:after="0" w:line="179" w:lineRule="exact"/>
        <w:rPr>
          <w:sz w:val="20"/>
          <w:szCs w:val="20"/>
          <w:color w:val="auto"/>
        </w:rPr>
      </w:pPr>
    </w:p>
    <w:p>
      <w:pPr>
        <w:ind w:right="460" w:firstLine="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Mr. Bagley, has the power to direct the receipt of dividends on and the proceeds of sales on the shares of Common Stock beneficially owned by Mr. Bagley.</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described herein, Mr. Bagley does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Dated: July 31, 2018</w:t>
            </w:r>
          </w:p>
        </w:tc>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 Dallin Bagley</w:t>
            </w:r>
          </w:p>
        </w:tc>
      </w:tr>
      <w:tr>
        <w:trPr>
          <w:trHeight w:val="237"/>
        </w:trPr>
        <w:tc>
          <w:tcPr>
            <w:tcW w:w="5820" w:type="dxa"/>
            <w:vAlign w:val="bottom"/>
          </w:tcPr>
          <w:p>
            <w:pPr>
              <w:spacing w:after="0"/>
              <w:rPr>
                <w:sz w:val="20"/>
                <w:szCs w:val="20"/>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E. Dallin Bagley</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bullet"/>
      <w:start w:val="1"/>
    </w:lvl>
  </w:abstractNum>
  <w:abstractNum w:abstractNumId="1">
    <w:nsid w:val="1F16E9E8"/>
    <w:multiLevelType w:val="hybridMultilevel"/>
    <w:lvl w:ilvl="0">
      <w:lvlJc w:val="left"/>
      <w:lvlText w:val="2"/>
      <w:numFmt w:val="bullet"/>
      <w:start w:val="1"/>
    </w:lvl>
    <w:lvl w:ilvl="1">
      <w:lvlJc w:val="left"/>
      <w:lvlText w:val="(%2)"/>
      <w:numFmt w:val="lowerLetter"/>
      <w:start w:val="1"/>
    </w:lvl>
  </w:abstractNum>
  <w:abstractNum w:abstractNumId="2">
    <w:nsid w:val="1190CDE7"/>
    <w:multiLevelType w:val="hybridMultilevel"/>
    <w:lvl w:ilvl="0">
      <w:lvlJc w:val="left"/>
      <w:lvlText w:val="3"/>
      <w:numFmt w:val="bullet"/>
      <w:start w:val="1"/>
    </w:lvl>
  </w:abstractNum>
  <w:abstractNum w:abstractNumId="3">
    <w:nsid w:val="66EF438D"/>
    <w:multiLevelType w:val="hybridMultilevel"/>
    <w:lvl w:ilvl="0">
      <w:lvlJc w:val="left"/>
      <w:lvlText w:val="4"/>
      <w:numFmt w:val="bullet"/>
      <w:start w:val="1"/>
    </w:lvl>
  </w:abstractNum>
  <w:abstractNum w:abstractNumId="4">
    <w:nsid w:val="140E0F76"/>
    <w:multiLevelType w:val="hybridMultilevel"/>
    <w:lvl w:ilvl="0">
      <w:lvlJc w:val="left"/>
      <w:lvlText w:val="5"/>
      <w:numFmt w:val="bullet"/>
      <w:start w:val="1"/>
    </w:lvl>
  </w:abstractNum>
  <w:abstractNum w:abstractNumId="5">
    <w:nsid w:val="3352255A"/>
    <w:multiLevelType w:val="hybridMultilevel"/>
    <w:lvl w:ilvl="0">
      <w:lvlJc w:val="left"/>
      <w:lvlText w:val="6"/>
      <w:numFmt w:val="bullet"/>
      <w:start w:val="1"/>
    </w:lvl>
  </w:abstractNum>
  <w:abstractNum w:abstractNumId="6">
    <w:nsid w:val="109CF92E"/>
    <w:multiLevelType w:val="hybridMultilevel"/>
    <w:lvl w:ilvl="0">
      <w:lvlJc w:val="left"/>
      <w:lvlText w:val="7"/>
      <w:numFmt w:val="bullet"/>
      <w:start w:val="1"/>
    </w:lvl>
  </w:abstractNum>
  <w:abstractNum w:abstractNumId="7">
    <w:nsid w:val="DED7263"/>
    <w:multiLevelType w:val="hybridMultilevel"/>
    <w:lvl w:ilvl="0">
      <w:lvlJc w:val="left"/>
      <w:lvlText w:val="8"/>
      <w:numFmt w:val="bullet"/>
      <w:start w:val="1"/>
    </w:lvl>
  </w:abstractNum>
  <w:abstractNum w:abstractNumId="8">
    <w:nsid w:val="7FDCC233"/>
    <w:multiLevelType w:val="hybridMultilevel"/>
    <w:lvl w:ilvl="0">
      <w:lvlJc w:val="left"/>
      <w:lvlText w:val="9"/>
      <w:numFmt w:val="bullet"/>
      <w:start w:val="1"/>
    </w:lvl>
  </w:abstractNum>
  <w:abstractNum w:abstractNumId="9">
    <w:nsid w:val="1BEFD79F"/>
    <w:multiLevelType w:val="hybridMultilevel"/>
    <w:lvl w:ilvl="0">
      <w:lvlJc w:val="left"/>
      <w:lvlText w:val="%1"/>
      <w:numFmt w:val="decimal"/>
      <w:start w:val="10"/>
    </w:lvl>
  </w:abstractNum>
  <w:abstractNum w:abstractNumId="10">
    <w:nsid w:val="41A7C4C9"/>
    <w:multiLevelType w:val="hybridMultilevel"/>
    <w:lvl w:ilvl="0">
      <w:lvlJc w:val="left"/>
      <w:lvlText w:val="%1"/>
      <w:numFmt w:val="decimal"/>
      <w:start w:val="12"/>
    </w:lvl>
  </w:abstractNum>
  <w:abstractNum w:abstractNumId="11">
    <w:nsid w:val="6B68079A"/>
    <w:multiLevelType w:val="hybridMultilevel"/>
    <w:lvl w:ilvl="0">
      <w:lvlJc w:val="left"/>
      <w:lvlText w:val="*"/>
      <w:numFmt w:val="bullet"/>
      <w:start w:val="1"/>
    </w:lvl>
    <w:lvl w:ilvl="1">
      <w:lvlJc w:val="left"/>
      <w:lvlText w:val="%2"/>
      <w:numFmt w:val="decimal"/>
      <w:start w:val="14"/>
    </w:lvl>
  </w:abstractNum>
  <w:abstractNum w:abstractNumId="12">
    <w:nsid w:val="4E6AFB66"/>
    <w:multiLevelType w:val="hybridMultilevel"/>
    <w:lvl w:ilvl="0">
      <w:lvlJc w:val="left"/>
      <w:lvlText w:val="(%1)"/>
      <w:numFmt w:val="lowerLetter"/>
      <w:start w:val="3"/>
    </w:lvl>
  </w:abstractNum>
  <w:abstractNum w:abstractNumId="13">
    <w:nsid w:val="25E45D32"/>
    <w:multiLevelType w:val="hybridMultilevel"/>
    <w:lvl w:ilvl="0">
      <w:lvlJc w:val="left"/>
      <w:lvlText w:val="(%1)"/>
      <w:numFmt w:val="lowerLetter"/>
      <w:start w:val="4"/>
    </w:lvl>
  </w:abstractNum>
  <w:abstractNum w:abstractNumId="14">
    <w:nsid w:val="519B500D"/>
    <w:multiLevelType w:val="hybridMultilevel"/>
    <w:lvl w:ilvl="0">
      <w:lvlJc w:val="left"/>
      <w:lvlText w:val="(%1)"/>
      <w:numFmt w:val="lowerLetter"/>
      <w:start w:val="5"/>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2"/>
    </w:lvl>
    <w:lvl w:ilvl="1">
      <w:lvlJc w:val="left"/>
      <w:lvlText w:val="(%2)"/>
      <w:numFmt w:val="lowerRoman"/>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lowerLetter"/>
      <w:start w:val="3"/>
    </w:lvl>
  </w:abstractNum>
  <w:abstractNum w:abstractNumId="19">
    <w:nsid w:val="62BBD95A"/>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2019-12-05T20:14:46Z</dcterms:created>
  <dcterms:modified xsi:type="dcterms:W3CDTF">2019-12-05T20:14:46Z</dcterms:modified>
</cp:coreProperties>
</file>