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1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tc>
        <w:tc>
          <w:tcPr>
            <w:tcW w:w="16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 Form 10-K</w:t>
            </w:r>
          </w:p>
        </w:tc>
        <w:tc>
          <w:tcPr>
            <w:tcW w:w="1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 Form 20-F</w:t>
            </w:r>
          </w:p>
        </w:tc>
        <w:tc>
          <w:tcPr>
            <w:tcW w:w="2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 Form 11-K</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 Form 10-Q</w:t>
            </w:r>
          </w:p>
        </w:tc>
        <w:tc>
          <w:tcPr>
            <w:tcW w:w="2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 Form N-SAR</w:t>
            </w:r>
          </w:p>
        </w:tc>
      </w:tr>
      <w:tr>
        <w:trPr>
          <w:trHeight w:val="486"/>
        </w:trPr>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 Period Ended:</w:t>
            </w:r>
          </w:p>
        </w:tc>
        <w:tc>
          <w:tcPr>
            <w:tcW w:w="2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2021</w:t>
            </w:r>
          </w:p>
        </w:tc>
        <w:tc>
          <w:tcPr>
            <w:tcW w:w="2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pacing w:after="0" w:line="198" w:lineRule="exact"/>
        <w:rPr>
          <w:sz w:val="24"/>
          <w:szCs w:val="24"/>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10-K</w:t>
      </w:r>
    </w:p>
    <w:p>
      <w:pPr>
        <w:spacing w:after="0" w:line="27"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10-Q</w:t>
      </w:r>
    </w:p>
    <w:p>
      <w:pPr>
        <w:spacing w:after="0" w:line="22" w:lineRule="exact"/>
        <w:rPr>
          <w:rFonts w:ascii="Times New Roman" w:cs="Times New Roman" w:eastAsia="Times New Roman" w:hAnsi="Times New Roman"/>
          <w:sz w:val="18"/>
          <w:szCs w:val="18"/>
          <w:color w:val="auto"/>
        </w:rPr>
      </w:pPr>
    </w:p>
    <w:p>
      <w:pPr>
        <w:ind w:left="1540" w:right="6980" w:hanging="7"/>
        <w:spacing w:after="0" w:line="323" w:lineRule="auto"/>
        <w:tabs>
          <w:tab w:leader="none" w:pos="169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Report on Form N-SAR For the Transaction Period Ended:</w:t>
      </w:r>
    </w:p>
    <w:p>
      <w:pPr>
        <w:spacing w:after="0" w:line="140"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READ INSTRUCTION (ON BACK PAGE) BEFORE PREPARING FORM. PLEASE PRINT OR TYPE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5225 Wiley Post Way, Suite 500</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Salt Lake City, Utah 84116</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 (a) The reasons described in reasonable detail in Part III of this form could not be eliminated without unreasonable effort or expense;</w:t>
      </w:r>
    </w:p>
    <w:p>
      <w:pPr>
        <w:spacing w:after="0" w:line="225" w:lineRule="exact"/>
        <w:rPr>
          <w:sz w:val="20"/>
          <w:szCs w:val="20"/>
          <w:color w:val="auto"/>
        </w:rPr>
      </w:pPr>
    </w:p>
    <w:p>
      <w:pPr>
        <w:ind w:left="600" w:hanging="545"/>
        <w:spacing w:after="0" w:line="266" w:lineRule="auto"/>
        <w:tabs>
          <w:tab w:leader="none" w:pos="3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 (c) The accountant’s statement or other exhibit required by Rule 12b-25(c) has been attached if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N-SAR, or the transition report or portion thereof, could not be filed within the prescribed time period.</w:t>
      </w:r>
    </w:p>
    <w:p>
      <w:pPr>
        <w:spacing w:after="0" w:line="162" w:lineRule="exact"/>
        <w:rPr>
          <w:sz w:val="20"/>
          <w:szCs w:val="20"/>
          <w:color w:val="auto"/>
        </w:rPr>
      </w:pPr>
    </w:p>
    <w:p>
      <w:pPr>
        <w:ind w:right="20" w:firstLine="630"/>
        <w:spacing w:after="0" w:line="261" w:lineRule="auto"/>
        <w:rPr>
          <w:sz w:val="20"/>
          <w:szCs w:val="20"/>
          <w:color w:val="auto"/>
        </w:rPr>
      </w:pPr>
      <w:r>
        <w:rPr>
          <w:rFonts w:ascii="Times New Roman" w:cs="Times New Roman" w:eastAsia="Times New Roman" w:hAnsi="Times New Roman"/>
          <w:sz w:val="18"/>
          <w:szCs w:val="18"/>
          <w:color w:val="auto"/>
        </w:rPr>
        <w:t>The Registrant is unable to complete the required compilation, dissemination, and review of all information required for filing its Form 10-K Annual Report for the year ended December 31, 2021 within the prescribed time period without undue hardship and expense. It is anticipated that the Form 10-K Annual Report, along with the audited financial statements, will be filed on or before the 15th calendar day following the prescribed due date of the Registrant’s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Narsi Narayanan</w:t>
            </w:r>
          </w:p>
        </w:tc>
        <w:tc>
          <w:tcPr>
            <w:tcW w:w="35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20"/>
                <w:szCs w:val="20"/>
                <w:color w:val="auto"/>
              </w:rPr>
            </w:pPr>
          </w:p>
        </w:tc>
        <w:tc>
          <w:tcPr>
            <w:tcW w:w="36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975-7200</w:t>
            </w:r>
          </w:p>
        </w:tc>
      </w:tr>
      <w:tr>
        <w:trPr>
          <w:trHeight w:val="23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260" w:right="40" w:hanging="252"/>
        <w:spacing w:after="0" w:line="266"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16" w:lineRule="exact"/>
        <w:rPr>
          <w:sz w:val="20"/>
          <w:szCs w:val="20"/>
          <w:color w:val="auto"/>
        </w:rPr>
      </w:pPr>
    </w:p>
    <w:p>
      <w:pPr>
        <w:jc w:val="right"/>
        <w:spacing w:after="0"/>
        <w:tabs>
          <w:tab w:leader="none" w:pos="460" w:val="left"/>
        </w:tabs>
        <w:rPr>
          <w:sz w:val="20"/>
          <w:szCs w:val="20"/>
          <w:color w:val="auto"/>
        </w:rPr>
      </w:pPr>
      <w:r>
        <w:rPr>
          <w:rFonts w:ascii="Times New Roman" w:cs="Times New Roman" w:eastAsia="Times New Roman" w:hAnsi="Times New Roman"/>
          <w:sz w:val="18"/>
          <w:szCs w:val="18"/>
          <w:color w:val="auto"/>
        </w:rPr>
        <w:t>[X] Yes</w:t>
      </w:r>
      <w:r>
        <w:rPr>
          <w:sz w:val="20"/>
          <w:szCs w:val="20"/>
          <w:color w:val="auto"/>
        </w:rPr>
        <w:tab/>
      </w:r>
      <w:r>
        <w:rPr>
          <w:rFonts w:ascii="Times New Roman" w:cs="Times New Roman" w:eastAsia="Times New Roman" w:hAnsi="Times New Roman"/>
          <w:sz w:val="18"/>
          <w:szCs w:val="18"/>
          <w:color w:val="auto"/>
        </w:rPr>
        <w:t>[ ] No</w:t>
      </w:r>
    </w:p>
    <w:p>
      <w:pPr>
        <w:spacing w:after="0" w:line="239" w:lineRule="exact"/>
        <w:rPr>
          <w:sz w:val="20"/>
          <w:szCs w:val="20"/>
          <w:color w:val="auto"/>
        </w:rPr>
      </w:pPr>
    </w:p>
    <w:p>
      <w:pPr>
        <w:ind w:left="260" w:right="4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2" w:lineRule="exact"/>
        <w:rPr>
          <w:sz w:val="20"/>
          <w:szCs w:val="20"/>
          <w:color w:val="auto"/>
        </w:rPr>
      </w:pPr>
    </w:p>
    <w:p>
      <w:pPr>
        <w:jc w:val="right"/>
        <w:spacing w:after="0"/>
        <w:tabs>
          <w:tab w:leader="none" w:pos="460" w:val="left"/>
        </w:tabs>
        <w:rPr>
          <w:sz w:val="20"/>
          <w:szCs w:val="20"/>
          <w:color w:val="auto"/>
        </w:rPr>
      </w:pPr>
      <w:r>
        <w:rPr>
          <w:rFonts w:ascii="Times New Roman" w:cs="Times New Roman" w:eastAsia="Times New Roman" w:hAnsi="Times New Roman"/>
          <w:sz w:val="18"/>
          <w:szCs w:val="18"/>
          <w:color w:val="auto"/>
        </w:rPr>
        <w:t>[X] Yes</w:t>
      </w:r>
      <w:r>
        <w:rPr>
          <w:sz w:val="20"/>
          <w:szCs w:val="20"/>
          <w:color w:val="auto"/>
        </w:rPr>
        <w:tab/>
      </w:r>
      <w:r>
        <w:rPr>
          <w:rFonts w:ascii="Times New Roman" w:cs="Times New Roman" w:eastAsia="Times New Roman" w:hAnsi="Times New Roman"/>
          <w:sz w:val="18"/>
          <w:szCs w:val="18"/>
          <w:color w:val="auto"/>
        </w:rPr>
        <w:t>[ ] No</w:t>
      </w:r>
    </w:p>
    <w:p>
      <w:pPr>
        <w:spacing w:after="0" w:line="239"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75"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Company reported revenue of $29.1 million and net income of $0.5 million for the year ended December 31, 2020. The Company expects to report approximately revenue of $29.0 million and net loss of $8 million for the year ended December 31, 2021. The change from net income to net loss was mainly due to the absence in 2021 of tax benefit of $6.4 million reported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5"/>
        </w:trPr>
        <w:tc>
          <w:tcPr>
            <w:tcW w:w="2720" w:type="dxa"/>
            <w:vAlign w:val="bottom"/>
            <w:tcBorders>
              <w:bottom w:val="single" w:sz="8" w:color="auto"/>
            </w:tcBorders>
          </w:tcPr>
          <w:p>
            <w:pPr>
              <w:spacing w:after="0"/>
              <w:rPr>
                <w:sz w:val="21"/>
                <w:szCs w:val="21"/>
                <w:color w:val="auto"/>
              </w:rPr>
            </w:pPr>
          </w:p>
        </w:tc>
        <w:tc>
          <w:tcPr>
            <w:tcW w:w="8520" w:type="dxa"/>
            <w:vAlign w:val="bottom"/>
            <w:tcBorders>
              <w:bottom w:val="single" w:sz="8" w:color="auto"/>
            </w:tcBorders>
          </w:tcPr>
          <w:p>
            <w:pPr>
              <w:jc w:val="center"/>
              <w:ind w:right="2610"/>
              <w:spacing w:after="0"/>
              <w:rPr>
                <w:sz w:val="20"/>
                <w:szCs w:val="20"/>
                <w:color w:val="auto"/>
              </w:rPr>
            </w:pPr>
            <w:r>
              <w:rPr>
                <w:rFonts w:ascii="Times New Roman" w:cs="Times New Roman" w:eastAsia="Times New Roman" w:hAnsi="Times New Roman"/>
                <w:sz w:val="18"/>
                <w:szCs w:val="18"/>
                <w:b w:val="1"/>
                <w:bCs w:val="1"/>
                <w:color w:val="auto"/>
              </w:rPr>
              <w:t>ClearOne, Inc.</w:t>
            </w:r>
          </w:p>
        </w:tc>
      </w:tr>
      <w:tr>
        <w:trPr>
          <w:trHeight w:val="234"/>
        </w:trPr>
        <w:tc>
          <w:tcPr>
            <w:tcW w:w="2720" w:type="dxa"/>
            <w:vAlign w:val="bottom"/>
          </w:tcPr>
          <w:p>
            <w:pPr>
              <w:spacing w:after="0"/>
              <w:rPr>
                <w:sz w:val="20"/>
                <w:szCs w:val="20"/>
                <w:color w:val="auto"/>
              </w:rPr>
            </w:pPr>
          </w:p>
        </w:tc>
        <w:tc>
          <w:tcPr>
            <w:tcW w:w="852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14"/>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4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2022</w:t>
            </w:r>
          </w:p>
        </w:tc>
        <w:tc>
          <w:tcPr>
            <w:tcW w:w="85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3360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Zeynep Hakimoglu, Chief Executive Officer</w:t>
      </w:r>
    </w:p>
    <w:p>
      <w:pPr>
        <w:spacing w:after="0" w:line="21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The form may be signed by an executive officer of the registrant or by any other duly authorized representative. The name and title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18 U.S.C. 1001)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2022-04-01T16:07:38Z</dcterms:created>
  <dcterms:modified xsi:type="dcterms:W3CDTF">2022-04-01T16:07:38Z</dcterms:modified>
</cp:coreProperties>
</file>