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800"/>
        <w:spacing w:after="0" w:line="238" w:lineRule="auto"/>
        <w:rPr>
          <w:sz w:val="20"/>
          <w:szCs w:val="20"/>
          <w:color w:val="auto"/>
        </w:rPr>
      </w:pPr>
      <w:r>
        <w:rPr>
          <w:rFonts w:ascii="Courier New" w:cs="Courier New" w:eastAsia="Courier New" w:hAnsi="Courier New"/>
          <w:sz w:val="18"/>
          <w:szCs w:val="18"/>
          <w:color w:val="auto"/>
        </w:rPr>
        <w:t>UNDER THE</w:t>
      </w:r>
    </w:p>
    <w:p>
      <w:pPr>
        <w:ind w:left="3060"/>
        <w:spacing w:after="0"/>
        <w:rPr>
          <w:sz w:val="20"/>
          <w:szCs w:val="20"/>
          <w:color w:val="auto"/>
        </w:rPr>
      </w:pPr>
      <w:r>
        <w:rPr>
          <w:rFonts w:ascii="Courier New" w:cs="Courier New" w:eastAsia="Courier New" w:hAnsi="Courier New"/>
          <w:sz w:val="18"/>
          <w:szCs w:val="18"/>
          <w:color w:val="auto"/>
        </w:rPr>
        <w:t>SECURITIES ACT OF 1933</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1380"/>
              <w:spacing w:after="0"/>
              <w:rPr>
                <w:sz w:val="20"/>
                <w:szCs w:val="20"/>
                <w:color w:val="auto"/>
              </w:rPr>
            </w:pPr>
            <w:r>
              <w:rPr>
                <w:rFonts w:ascii="Courier New" w:cs="Courier New" w:eastAsia="Courier New" w:hAnsi="Courier New"/>
                <w:sz w:val="18"/>
                <w:szCs w:val="18"/>
                <w:color w:val="auto"/>
              </w:rPr>
              <w:t>Utah</w:t>
            </w:r>
          </w:p>
        </w:tc>
        <w:tc>
          <w:tcPr>
            <w:tcW w:w="3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58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Identification No.)</w:t>
            </w:r>
          </w:p>
        </w:tc>
      </w:tr>
    </w:tbl>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West Research Way, Salt Lake City Utah 84119</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1998 Stock Option Plan</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Susie S. Strohm, Vice President - Finance and Chief Financial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1825 West Research Way, Salt Lake City, Utah 84119</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801-975-7200</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Proposed</w:t>
            </w:r>
          </w:p>
        </w:tc>
        <w:tc>
          <w:tcPr>
            <w:tcW w:w="1720" w:type="dxa"/>
            <w:vAlign w:val="bottom"/>
          </w:tcPr>
          <w:p>
            <w:pPr>
              <w:ind w:left="460"/>
              <w:spacing w:after="0"/>
              <w:rPr>
                <w:sz w:val="20"/>
                <w:szCs w:val="20"/>
                <w:color w:val="auto"/>
              </w:rPr>
            </w:pPr>
            <w:r>
              <w:rPr>
                <w:rFonts w:ascii="Courier New" w:cs="Courier New" w:eastAsia="Courier New" w:hAnsi="Courier New"/>
                <w:sz w:val="18"/>
                <w:szCs w:val="18"/>
                <w:color w:val="auto"/>
              </w:rPr>
              <w:t>Proposed</w:t>
            </w:r>
          </w:p>
        </w:tc>
        <w:tc>
          <w:tcPr>
            <w:tcW w:w="1700" w:type="dxa"/>
            <w:vAlign w:val="bottom"/>
          </w:tcPr>
          <w:p>
            <w:pPr>
              <w:spacing w:after="0"/>
              <w:rPr>
                <w:sz w:val="17"/>
                <w:szCs w:val="17"/>
                <w:color w:val="auto"/>
              </w:rPr>
            </w:pPr>
          </w:p>
        </w:tc>
      </w:tr>
      <w:tr>
        <w:trPr>
          <w:trHeight w:val="203"/>
        </w:trPr>
        <w:tc>
          <w:tcPr>
            <w:tcW w:w="15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Title of</w:t>
            </w:r>
          </w:p>
        </w:tc>
        <w:tc>
          <w:tcPr>
            <w:tcW w:w="2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Maximum</w:t>
            </w:r>
          </w:p>
        </w:tc>
        <w:tc>
          <w:tcPr>
            <w:tcW w:w="17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Maximum</w:t>
            </w:r>
          </w:p>
        </w:tc>
        <w:tc>
          <w:tcPr>
            <w:tcW w:w="1700" w:type="dxa"/>
            <w:vAlign w:val="bottom"/>
          </w:tcPr>
          <w:p>
            <w:pPr>
              <w:spacing w:after="0"/>
              <w:rPr>
                <w:sz w:val="17"/>
                <w:szCs w:val="17"/>
                <w:color w:val="auto"/>
              </w:rPr>
            </w:pP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Amount</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Offering</w:t>
            </w:r>
          </w:p>
        </w:tc>
        <w:tc>
          <w:tcPr>
            <w:tcW w:w="1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Aggregate</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to be</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Price</w:t>
            </w:r>
          </w:p>
        </w:tc>
        <w:tc>
          <w:tcPr>
            <w:tcW w:w="17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Offering</w:t>
            </w:r>
          </w:p>
        </w:tc>
        <w:tc>
          <w:tcPr>
            <w:tcW w:w="1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Registered</w:t>
            </w:r>
          </w:p>
        </w:tc>
        <w:tc>
          <w:tcPr>
            <w:tcW w:w="2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Per Share(1)</w:t>
            </w:r>
          </w:p>
        </w:tc>
        <w:tc>
          <w:tcPr>
            <w:tcW w:w="17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Price(2)</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Fee(3)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320"/>
        <w:spacing w:after="0"/>
        <w:tabs>
          <w:tab w:leader="none" w:pos="2200" w:val="left"/>
          <w:tab w:leader="none" w:pos="4840" w:val="left"/>
          <w:tab w:leader="none" w:pos="6520" w:val="left"/>
          <w:tab w:leader="none" w:pos="86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1,700,000 shares</w:t>
      </w:r>
      <w:r>
        <w:rPr>
          <w:sz w:val="20"/>
          <w:szCs w:val="20"/>
          <w:color w:val="auto"/>
        </w:rPr>
        <w:tab/>
      </w:r>
      <w:r>
        <w:rPr>
          <w:rFonts w:ascii="Courier New" w:cs="Courier New" w:eastAsia="Courier New" w:hAnsi="Courier New"/>
          <w:sz w:val="18"/>
          <w:szCs w:val="18"/>
          <w:color w:val="auto"/>
        </w:rPr>
        <w:t>$3.84</w:t>
      </w:r>
      <w:r>
        <w:rPr>
          <w:sz w:val="20"/>
          <w:szCs w:val="20"/>
          <w:color w:val="auto"/>
        </w:rPr>
        <w:tab/>
      </w:r>
      <w:r>
        <w:rPr>
          <w:rFonts w:ascii="Courier New" w:cs="Courier New" w:eastAsia="Courier New" w:hAnsi="Courier New"/>
          <w:sz w:val="18"/>
          <w:szCs w:val="18"/>
          <w:color w:val="auto"/>
        </w:rPr>
        <w:t>$6,534,375</w:t>
      </w:r>
      <w:r>
        <w:rPr>
          <w:sz w:val="20"/>
          <w:szCs w:val="20"/>
          <w:color w:val="auto"/>
        </w:rPr>
        <w:tab/>
      </w:r>
      <w:r>
        <w:rPr>
          <w:rFonts w:ascii="Courier New" w:cs="Courier New" w:eastAsia="Courier New" w:hAnsi="Courier New"/>
          <w:sz w:val="16"/>
          <w:szCs w:val="16"/>
          <w:color w:val="auto"/>
        </w:rPr>
        <w:t>$1,817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860" w:right="177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offering price per share of the securities is calculated based on Rule 457(c). The maximum offering price is $3.84 based upon the average of the high and low price reported in the consolidated reporting system on May 10, 1999.</w:t>
      </w:r>
    </w:p>
    <w:p>
      <w:pPr>
        <w:spacing w:after="0" w:line="207" w:lineRule="exact"/>
        <w:rPr>
          <w:rFonts w:ascii="Courier New" w:cs="Courier New" w:eastAsia="Courier New" w:hAnsi="Courier New"/>
          <w:sz w:val="18"/>
          <w:szCs w:val="18"/>
          <w:color w:val="auto"/>
        </w:rPr>
      </w:pPr>
    </w:p>
    <w:p>
      <w:pPr>
        <w:ind w:left="860" w:right="18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offering price equals 1,700,000 shares multiplied by the offering price of $3.84 equaling $6,534,375.</w:t>
      </w:r>
    </w:p>
    <w:p>
      <w:pPr>
        <w:spacing w:after="0" w:line="208" w:lineRule="exact"/>
        <w:rPr>
          <w:rFonts w:ascii="Courier New" w:cs="Courier New" w:eastAsia="Courier New" w:hAnsi="Courier New"/>
          <w:sz w:val="18"/>
          <w:szCs w:val="18"/>
          <w:color w:val="auto"/>
        </w:rPr>
      </w:pPr>
    </w:p>
    <w:p>
      <w:pPr>
        <w:ind w:left="860" w:right="1779" w:hanging="852"/>
        <w:spacing w:after="0" w:line="268"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Registration Fee equals $1,817. This amount is arrived at by multiplying the maximum aggregate offering price of $6,534,375 by</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.000278.</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PLAN INFORMATION.</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Gentner Communications Corporation (the "Company") has adopted the 1998 Stock Option Plan (the "Plan"), pursuant to which the Company may grant certain stock options (each, an "Option Grant") to purchase shares of the Company's Common Stock to employees, non-employee members of the board of directors, or of the board of directors of any parent or subsidiary of the Company, and consultants and other independent advisors who provide services to the Company, or any parent or subsidiary of the Company. The Common Stock is currently the only type of stock that the Company is authorized to issue. Holders of Common Stock are entitled to one vote per share, are entitled to receive dividends (if declared by the Board), and are entitled to receive the net assets of the Company upon liquidation. The Plan was effective on June 10, 1998 and will expire on the earlier of: (i) June 10, 2008, (ii) the date on which all shares of Common Stock available for issuance under the Plan shall have been issued, or</w:t>
      </w:r>
    </w:p>
    <w:p>
      <w:pPr>
        <w:spacing w:after="0" w:line="187" w:lineRule="exact"/>
        <w:rPr>
          <w:sz w:val="20"/>
          <w:szCs w:val="20"/>
          <w:color w:val="auto"/>
        </w:rPr>
      </w:pPr>
    </w:p>
    <w:p>
      <w:pPr>
        <w:ind w:right="1879" w:firstLine="8"/>
        <w:spacing w:after="0" w:line="279" w:lineRule="auto"/>
        <w:tabs>
          <w:tab w:leader="none" w:pos="6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all outstanding options in connection with a major corporate transaction, such as a merger or sale of all of the Company's assets. The termination of the Plan will not affect any Option Grants then outstanding.</w:t>
      </w:r>
    </w:p>
    <w:p>
      <w:pPr>
        <w:spacing w:after="0" w:line="17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documents containing the information specified in this Part I will be sent or given to employees as specified by Rule 428(b)(1) under the Securities Act of 1933 (the "Securities Act"). Such documents need not be filed with the Securities and Exchange Commission (the "SEC") either as part of this registration statement (the "Registration Statement") or as prospectuses or prospectus supplements pursuant to Rule 424 under the Securities Act. These documents and the documents incorporated by reference in the Registration Statement pursuant to Item 3 of Part II of this Registration Statement, taken together, constitute a prospectus that meets the requirements of Section 10(a) of the Securities Act (the "Prospectus")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REGISTRANT INFORMATION AND EMPLOYEE PLAN ANNUAL INFORMATION.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will provide to participants without charge, upon written or oral request, the documents incorporated by reference in Item 3 of Part II of the Registration Statement, and these documents are incorporated by reference into the Prospectus. The documents containing the information specified in this Part I will be sent or given to employees as specified by Rule 428(b)(1) under the Securities Act.</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Requests for information described in this Part I should be directed to Susie Strohm, Vice President - Finance, Chief Financial Officer, Gentner Communications Corporation, 1825 West Research Way, Salt Lake City, Utah 84119, 801-975-7200.</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hereby incorporated by reference in the</w:t>
      </w:r>
    </w:p>
    <w:p>
      <w:pPr>
        <w:spacing w:after="0" w:line="238" w:lineRule="auto"/>
        <w:rPr>
          <w:sz w:val="20"/>
          <w:szCs w:val="20"/>
          <w:color w:val="auto"/>
        </w:rPr>
      </w:pPr>
      <w:r>
        <w:rPr>
          <w:rFonts w:ascii="Courier New" w:cs="Courier New" w:eastAsia="Courier New" w:hAnsi="Courier New"/>
          <w:sz w:val="18"/>
          <w:szCs w:val="18"/>
          <w:color w:val="auto"/>
        </w:rPr>
        <w:t>Registration Statement:</w:t>
      </w:r>
    </w:p>
    <w:p>
      <w:pPr>
        <w:spacing w:after="0" w:line="207" w:lineRule="exact"/>
        <w:rPr>
          <w:sz w:val="20"/>
          <w:szCs w:val="20"/>
          <w:color w:val="auto"/>
        </w:rPr>
      </w:pPr>
    </w:p>
    <w:p>
      <w:pPr>
        <w:ind w:left="2540" w:right="1879" w:hanging="847"/>
        <w:spacing w:after="0" w:line="290" w:lineRule="auto"/>
        <w:tabs>
          <w:tab w:leader="none" w:pos="2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10-KSB for the fiscal year ended June 30, 1998, as filed with the SEC;</w:t>
      </w:r>
    </w:p>
    <w:p>
      <w:pPr>
        <w:spacing w:after="0" w:line="169" w:lineRule="exact"/>
        <w:rPr>
          <w:rFonts w:ascii="Courier New" w:cs="Courier New" w:eastAsia="Courier New" w:hAnsi="Courier New"/>
          <w:sz w:val="16"/>
          <w:szCs w:val="16"/>
          <w:color w:val="auto"/>
        </w:rPr>
      </w:pPr>
    </w:p>
    <w:p>
      <w:pPr>
        <w:ind w:left="2540" w:right="1879" w:hanging="847"/>
        <w:spacing w:after="0" w:line="236"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10-QSB for each fiscal quarter since the filing of the Company's last Annual Report for the year ended June 30, 1998;</w:t>
      </w:r>
    </w:p>
    <w:p>
      <w:pPr>
        <w:spacing w:after="0" w:line="208" w:lineRule="exact"/>
        <w:rPr>
          <w:rFonts w:ascii="Courier New" w:cs="Courier New" w:eastAsia="Courier New" w:hAnsi="Courier New"/>
          <w:sz w:val="18"/>
          <w:szCs w:val="18"/>
          <w:color w:val="auto"/>
        </w:rPr>
      </w:pPr>
    </w:p>
    <w:p>
      <w:pPr>
        <w:ind w:left="2540" w:right="1779" w:hanging="847"/>
        <w:spacing w:after="0" w:line="236"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with the SEC pursuant to Section 13(a) or 15(d) of the Securities Exchange Act of 1934 (the "Exchange Act") since June 30, 1998; and</w:t>
      </w:r>
    </w:p>
    <w:p>
      <w:pPr>
        <w:spacing w:after="0" w:line="208" w:lineRule="exact"/>
        <w:rPr>
          <w:rFonts w:ascii="Courier New" w:cs="Courier New" w:eastAsia="Courier New" w:hAnsi="Courier New"/>
          <w:sz w:val="18"/>
          <w:szCs w:val="18"/>
          <w:color w:val="auto"/>
        </w:rPr>
      </w:pPr>
    </w:p>
    <w:p>
      <w:pPr>
        <w:ind w:left="2540" w:right="1879" w:hanging="847"/>
        <w:spacing w:after="0" w:line="237"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Form 10 Registration Statement filed by the Company with the SEC under Section 12 of the Exchange Act, including any amendment or report filed for the purpose of updating such description.</w:t>
      </w:r>
    </w:p>
    <w:p>
      <w:pPr>
        <w:spacing w:after="0" w:line="20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In addition to the above, 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the Registration Statement and to be a part thereof from the date of filing of such documents.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final sentence of Article XII of the Company's Articles of Incorporation reads as follows: "Each person who is now or may become a Director of this Corporation is hereby relieved from and indemnified against liability that might otherwise obtain in the event such Director contracts with this Corporation for the benefit of himself or any firm, association or corporation in which he may be interested in any way, provided said Director acts in good faith."</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V of the Company's Bylaws, adopted August 24, 1993, provides for indemnification of directors with reference to the Utah Revised Business Corporation Act (the "Utah Act"). Relevant portions of the Utah Act are described below. In addition, Section 5.3 of the Bylaws provides that: "The board of directors may indemnify and advance expenses to any officer, employee or agent of the corporation who is not a director of the corporation to any extent consistent with public policy, as determined by the general or specific actions of the board of directors."</w:t>
      </w: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Statutory indemnification of the Company's directors and officers is governed by Sections 901-909 of the Utah Act. Pursuant to the Utah Act, the Company may indemnify a director or officer against liability incurred in connection with any legal proceeding if: (a) his conduct was in good faith; (b) he reasonably believed that his conduct was in, or not opposed to, the Company's best interests; and (c) in the case of any criminal proceeding, he had no reasonable cause to believe his conduct was unlawful. Notwithstanding the above, the Company may not indemnify directors or officers: (a) in connection with a proceeding by or in the right of the Company in which the director or officer was adjudged liable to the Company; or (b) in connection with any other proceeding charging that the director or officer derived an improper personal benefit and in which he was adjudged liable on that basis. Additionally, if the proceeding is by or in the right of the Company, the indemnification is limited to the director's or officer's reasonable expenses incurred in connection with such proceeding.</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Notwithstanding the above, the Company must indemnify a director or officer who was successful, on the merits or otherwise, in the defense of any proceeding, or in the defense of any claim, issue, or matter in the proceeding, to which he was a party because he is or was a director or officer of the Company. Pursuant to the Utah Act, the Company may pay for or reimburse the reasonable expenses incurred by a director or officer under certain circumstances. A court may order indemnification of a director or officer by the Company, regardless of whether the director or officer met the statutory standard of conduct set forth above, provided that, if the director or officer has been adjudged liable, such indemnification is limited to</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reasonable expenses. Non-mandatory indemnification can be made to a director or officer under the Act only if a determination is made in each instance by either the board of directors or the shareholders that the statutory standard of conduct permitting indemnification has been met.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11(g) of the Company's 1990 Incentive Plan provides that: "No member or former member of the Committee or the Company's board of directors (the "Board") shall be liable for any action or determination made in good faith with respect to the Plan or any Award granted under it. Each member or former member of the Committee or the Board shall be indemnified and held harmless by the Company against all costs or expenses (including counsel fees) or liability (including any sum paid in settlement of a claim with the approval of the Board) arising out of any act or omission to act in connection with the Plan to the extent allowed by law."</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9.8 of the Company's 1997 Employee Stock Purchase Plan reads as follows: "No member or former member of the Committee or the Board shall be liable for any action or determination made in good faith with respect to the Plan or any deduction or withholding made under the Plan. Each member or former member of the Committee or the Board shall be indemnified and held harmless by the Company against all costs or expenses (including counsel fees) or liability (including any sum paid in settlement of a claim with the approval of the Board) arising out of any act or omission to act in connection with the Plan to the extent allowed by law."</w:t>
      </w:r>
    </w:p>
    <w:p>
      <w:pPr>
        <w:spacing w:after="0" w:line="214"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Section 1.2.d. of the Company's 1998 Stock Option Plan provides that: "Service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under the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 to this Form S-8.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20" w:right="440"/>
        <w:spacing w:after="0" w:line="290" w:lineRule="auto"/>
        <w:rPr>
          <w:sz w:val="20"/>
          <w:szCs w:val="20"/>
          <w:color w:val="auto"/>
        </w:rPr>
      </w:pPr>
      <w:r>
        <w:rPr>
          <w:rFonts w:ascii="Courier New" w:cs="Courier New" w:eastAsia="Courier New" w:hAnsi="Courier New"/>
          <w:sz w:val="16"/>
          <w:szCs w:val="16"/>
          <w:color w:val="auto"/>
        </w:rPr>
        <w:t>Exhibit Number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2140" w:space="720"/>
            <w:col w:w="7359"/>
          </w:cols>
          <w:pgMar w:left="240" w:top="312" w:right="1440" w:bottom="1440" w:gutter="0" w:footer="0" w:header="0"/>
          <w:type w:val="continuous"/>
        </w:sectPr>
      </w:pPr>
    </w:p>
    <w:p>
      <w:pPr>
        <w:ind w:left="1700" w:right="2319" w:hanging="842"/>
        <w:spacing w:after="0" w:line="290" w:lineRule="auto"/>
        <w:tabs>
          <w:tab w:leader="none" w:pos="1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Jones, Waldo, Holbrook &amp; McDonough regarding the legality of the securities being registered hereunder.</w:t>
      </w:r>
    </w:p>
    <w:p>
      <w:pPr>
        <w:spacing w:after="0" w:line="170" w:lineRule="exact"/>
        <w:rPr>
          <w:sz w:val="20"/>
          <w:szCs w:val="20"/>
          <w:color w:val="auto"/>
        </w:rPr>
      </w:pPr>
    </w:p>
    <w:p>
      <w:pPr>
        <w:ind w:left="1700" w:right="231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Jones, Waldo, Holbrook &amp; McDonough (contained in Exhibit 5.1 above).</w:t>
      </w: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 Ernst &amp; Young LLP.</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UNDERTAKINGS.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hereby undertakes to do the following:</w:t>
      </w:r>
    </w:p>
    <w:p>
      <w:pPr>
        <w:spacing w:after="0" w:line="207" w:lineRule="exact"/>
        <w:rPr>
          <w:sz w:val="20"/>
          <w:szCs w:val="20"/>
          <w:color w:val="auto"/>
        </w:rPr>
      </w:pPr>
    </w:p>
    <w:p>
      <w:pPr>
        <w:ind w:left="1700" w:right="1879" w:hanging="849"/>
        <w:spacing w:after="0" w:line="268"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during any period in which it offers or sells securities, a post-effective amendment to this Registration Statement to:</w:t>
      </w:r>
    </w:p>
    <w:p>
      <w:pPr>
        <w:ind w:left="1700" w:right="1999" w:hanging="7"/>
        <w:spacing w:after="0" w:line="268" w:lineRule="auto"/>
        <w:tabs>
          <w:tab w:leader="none" w:pos="212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any prospectus required by Section 10(a)(3) of the Securities Act; (2) reflect in the prospectus any facts or events which individually or together, represent a fundamental change in the information in this Registration Statement; and</w:t>
      </w:r>
    </w:p>
    <w:p>
      <w:pPr>
        <w:ind w:left="1700" w:right="2099" w:hanging="7"/>
        <w:spacing w:after="0" w:line="235" w:lineRule="auto"/>
        <w:tabs>
          <w:tab w:leader="none" w:pos="212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any additional or changed material information on the plan of distribution.</w:t>
      </w:r>
    </w:p>
    <w:p>
      <w:pPr>
        <w:spacing w:after="0" w:line="208" w:lineRule="exact"/>
        <w:rPr>
          <w:rFonts w:ascii="Courier New" w:cs="Courier New" w:eastAsia="Courier New" w:hAnsi="Courier New"/>
          <w:sz w:val="18"/>
          <w:szCs w:val="18"/>
          <w:color w:val="auto"/>
        </w:rPr>
      </w:pPr>
    </w:p>
    <w:p>
      <w:pPr>
        <w:ind w:left="1700" w:right="1999" w:hanging="849"/>
        <w:spacing w:after="0" w:line="237"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determining liability under the Securities Act, treat each post-effective amendment as a new registration statement of securities offered, and the offering of the securities at the time to be the initial bona fide offering.</w:t>
      </w:r>
    </w:p>
    <w:p>
      <w:pPr>
        <w:spacing w:after="0" w:line="207" w:lineRule="exact"/>
        <w:rPr>
          <w:rFonts w:ascii="Courier New" w:cs="Courier New" w:eastAsia="Courier New" w:hAnsi="Courier New"/>
          <w:sz w:val="18"/>
          <w:szCs w:val="18"/>
          <w:color w:val="auto"/>
        </w:rPr>
      </w:pPr>
    </w:p>
    <w:p>
      <w:pPr>
        <w:ind w:left="1700" w:right="1779" w:hanging="849"/>
        <w:spacing w:after="0" w:line="290"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 post-effective amendment to remove from registration any of the securities that remain unsold at the end of the offering.</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Company certifies that it has reasonable grounds to believe that it meets all the requirements for filing on Form S-8 and has duly caused this Registration Statement to be signed on its behalf by the undersigned, thereunto duly authorized, in the city of Salt Lake City, State of Utah, on May 12, 1999.</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GENTNER COMMUNICATIONS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12,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FRANCES M. FLOOD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Frances M. Flood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10"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2340" w:space="720"/>
            <w:col w:w="1459"/>
          </w:cols>
          <w:pgMar w:left="240" w:top="31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Frances M. Flood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President and</w:t>
      </w:r>
    </w:p>
    <w:p>
      <w:pPr>
        <w:ind w:left="2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1999</w:t>
      </w:r>
    </w:p>
    <w:p>
      <w:pPr>
        <w:spacing w:after="0" w:line="622" w:lineRule="exact"/>
        <w:rPr>
          <w:sz w:val="20"/>
          <w:szCs w:val="20"/>
          <w:color w:val="auto"/>
        </w:rPr>
      </w:pPr>
    </w:p>
    <w:p>
      <w:pPr>
        <w:sectPr>
          <w:pgSz w:w="11900" w:h="16838" w:orient="portrait"/>
          <w:cols w:equalWidth="0" w:num="3">
            <w:col w:w="3900" w:space="640"/>
            <w:col w:w="3280" w:space="720"/>
            <w:col w:w="16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Susie Strohm</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Finance,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financial and</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1999</w:t>
      </w:r>
    </w:p>
    <w:p>
      <w:pPr>
        <w:sectPr>
          <w:pgSz w:w="11900" w:h="16838" w:orient="portrait"/>
          <w:cols w:equalWidth="0" w:num="3">
            <w:col w:w="3900" w:space="640"/>
            <w:col w:w="3280" w:space="720"/>
            <w:col w:w="167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each of Frances M. Flood and Susie Strohm, jointly and severally, his true and lawful attorney-in-fact and agent, with full power of substitution for him and in his name, place, and stead, in any and all capacities, to sign any or all amendments to this Form S-8 and to file the same, with all exhibits thereto and other documents in connection therewith, with the Commission, hereby ratifying and confirming all that each said attorney-in-fact or her substitute or substitutes may do or cause to be done by virtue hereof.</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Signature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EDWARD DALLIN BAGLEY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May 12, 1999</w:t>
      </w:r>
    </w:p>
    <w:p>
      <w:pPr>
        <w:spacing w:after="0" w:line="16" w:lineRule="exact"/>
        <w:rPr>
          <w:sz w:val="20"/>
          <w:szCs w:val="20"/>
          <w:color w:val="auto"/>
        </w:rPr>
      </w:pPr>
    </w:p>
    <w:p>
      <w:pPr>
        <w:sectPr>
          <w:pgSz w:w="11900" w:h="16838" w:orient="portrait"/>
          <w:cols w:equalWidth="0" w:num="3">
            <w:col w:w="4560" w:space="720"/>
            <w:col w:w="2340" w:space="720"/>
            <w:col w:w="1879"/>
          </w:cols>
          <w:pgMar w:left="240" w:top="312" w:right="1440" w:bottom="1440" w:gutter="0" w:footer="0" w:header="0"/>
          <w:type w:val="continuous"/>
        </w:sect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Dallin Bagley</w:t>
      </w:r>
    </w:p>
    <w:p>
      <w:pPr>
        <w:spacing w:after="0" w:line="202" w:lineRule="exact"/>
        <w:rPr>
          <w:sz w:val="20"/>
          <w:szCs w:val="20"/>
          <w:color w:val="auto"/>
        </w:rPr>
      </w:pPr>
    </w:p>
    <w:p>
      <w:pPr>
        <w:spacing w:after="0"/>
        <w:tabs>
          <w:tab w:leader="none" w:pos="5260" w:val="left"/>
          <w:tab w:leader="none" w:pos="8420" w:val="left"/>
        </w:tabs>
        <w:rPr>
          <w:sz w:val="20"/>
          <w:szCs w:val="20"/>
          <w:color w:val="auto"/>
        </w:rPr>
      </w:pPr>
      <w:r>
        <w:rPr>
          <w:rFonts w:ascii="Courier New" w:cs="Courier New" w:eastAsia="Courier New" w:hAnsi="Courier New"/>
          <w:sz w:val="18"/>
          <w:szCs w:val="18"/>
          <w:color w:val="auto"/>
        </w:rPr>
        <w:t>/s/ BRAD R. BALDWIN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1999</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Brad R. Baldwin</w:t>
      </w:r>
    </w:p>
    <w:p>
      <w:pPr>
        <w:spacing w:after="0" w:line="200" w:lineRule="exact"/>
        <w:rPr>
          <w:sz w:val="20"/>
          <w:szCs w:val="20"/>
          <w:color w:val="auto"/>
        </w:rPr>
      </w:pPr>
    </w:p>
    <w:p>
      <w:pPr>
        <w:spacing w:after="0" w:line="204" w:lineRule="exact"/>
        <w:rPr>
          <w:sz w:val="20"/>
          <w:szCs w:val="20"/>
          <w:color w:val="auto"/>
        </w:rPr>
      </w:pPr>
    </w:p>
    <w:p>
      <w:pPr>
        <w:spacing w:after="0"/>
        <w:tabs>
          <w:tab w:leader="none" w:pos="5260" w:val="left"/>
          <w:tab w:leader="none" w:pos="8420" w:val="left"/>
        </w:tabs>
        <w:rPr>
          <w:sz w:val="20"/>
          <w:szCs w:val="20"/>
          <w:color w:val="auto"/>
        </w:rPr>
      </w:pPr>
      <w:r>
        <w:rPr>
          <w:rFonts w:ascii="Courier New" w:cs="Courier New" w:eastAsia="Courier New" w:hAnsi="Courier New"/>
          <w:sz w:val="18"/>
          <w:szCs w:val="18"/>
          <w:color w:val="auto"/>
        </w:rPr>
        <w:t>/s/ EDWARD N. BAGLEY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1999</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w:t>
      </w:r>
    </w:p>
    <w:p>
      <w:pPr>
        <w:spacing w:after="0" w:line="200" w:lineRule="exact"/>
        <w:rPr>
          <w:sz w:val="20"/>
          <w:szCs w:val="20"/>
          <w:color w:val="auto"/>
        </w:rPr>
      </w:pPr>
    </w:p>
    <w:p>
      <w:pPr>
        <w:spacing w:after="0" w:line="204" w:lineRule="exact"/>
        <w:rPr>
          <w:sz w:val="20"/>
          <w:szCs w:val="20"/>
          <w:color w:val="auto"/>
        </w:rPr>
      </w:pPr>
    </w:p>
    <w:p>
      <w:pPr>
        <w:spacing w:after="0"/>
        <w:tabs>
          <w:tab w:leader="none" w:pos="5260" w:val="left"/>
          <w:tab w:leader="none" w:pos="8420" w:val="left"/>
        </w:tabs>
        <w:rPr>
          <w:sz w:val="20"/>
          <w:szCs w:val="20"/>
          <w:color w:val="auto"/>
        </w:rPr>
      </w:pPr>
      <w:r>
        <w:rPr>
          <w:rFonts w:ascii="Courier New" w:cs="Courier New" w:eastAsia="Courier New" w:hAnsi="Courier New"/>
          <w:sz w:val="18"/>
          <w:szCs w:val="18"/>
          <w:color w:val="auto"/>
        </w:rPr>
        <w:t>/s/ DWIGHT H. EGAN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1999</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Dwight H. Egan</w:t>
      </w:r>
    </w:p>
    <w:p>
      <w:pPr>
        <w:spacing w:after="0" w:line="200" w:lineRule="exact"/>
        <w:rPr>
          <w:sz w:val="20"/>
          <w:szCs w:val="20"/>
          <w:color w:val="auto"/>
        </w:rPr>
      </w:pPr>
    </w:p>
    <w:p>
      <w:pPr>
        <w:spacing w:after="0" w:line="204" w:lineRule="exact"/>
        <w:rPr>
          <w:sz w:val="20"/>
          <w:szCs w:val="20"/>
          <w:color w:val="auto"/>
        </w:rPr>
      </w:pPr>
    </w:p>
    <w:p>
      <w:pPr>
        <w:spacing w:after="0"/>
        <w:tabs>
          <w:tab w:leader="none" w:pos="5260" w:val="left"/>
          <w:tab w:leader="none" w:pos="8420" w:val="left"/>
        </w:tabs>
        <w:rPr>
          <w:sz w:val="20"/>
          <w:szCs w:val="20"/>
          <w:color w:val="auto"/>
        </w:rPr>
      </w:pPr>
      <w:r>
        <w:rPr>
          <w:rFonts w:ascii="Courier New" w:cs="Courier New" w:eastAsia="Courier New" w:hAnsi="Courier New"/>
          <w:sz w:val="18"/>
          <w:szCs w:val="18"/>
          <w:color w:val="auto"/>
        </w:rPr>
        <w:t>/s/ K. BRADFORD ROMNEY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1999</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 Bradford Romney</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Description</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Jones, Waldo, Holbrook &amp; McDonough regarding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legality of the securities being registered hereunder.</w:t>
      </w:r>
    </w:p>
    <w:p>
      <w:pPr>
        <w:spacing w:after="0" w:line="200" w:lineRule="exact"/>
        <w:rPr>
          <w:sz w:val="20"/>
          <w:szCs w:val="20"/>
          <w:color w:val="auto"/>
        </w:rPr>
      </w:pPr>
    </w:p>
    <w:p>
      <w:pPr>
        <w:sectPr>
          <w:pgSz w:w="11900" w:h="16838" w:orient="portrait"/>
          <w:cols w:equalWidth="0" w:num="2">
            <w:col w:w="980" w:space="720"/>
            <w:col w:w="8519"/>
          </w:cols>
          <w:pgMar w:left="240" w:top="312" w:right="1440" w:bottom="1440" w:gutter="0" w:footer="0" w:header="0"/>
          <w:type w:val="continuous"/>
        </w:sectPr>
      </w:pPr>
    </w:p>
    <w:p>
      <w:pPr>
        <w:spacing w:after="0" w:line="7" w:lineRule="exact"/>
        <w:rPr>
          <w:sz w:val="20"/>
          <w:szCs w:val="20"/>
          <w:color w:val="auto"/>
        </w:rPr>
      </w:pPr>
    </w:p>
    <w:p>
      <w:pPr>
        <w:ind w:left="1700" w:right="2319" w:hanging="1474"/>
        <w:spacing w:after="0" w:line="235" w:lineRule="auto"/>
        <w:tabs>
          <w:tab w:leader="none" w:pos="16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Jones, Waldo, Holbrook &amp; McDonough (contained in Exhibit 5.1 above).</w:t>
      </w:r>
    </w:p>
    <w:p>
      <w:pPr>
        <w:spacing w:after="0" w:line="203"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 Ernst &amp; Young LLP.</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[Letterhead of Jones Waldo, Holbrook &amp; McDonough]</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12,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38" w:lineRule="auto"/>
        <w:rPr>
          <w:sz w:val="20"/>
          <w:szCs w:val="20"/>
          <w:color w:val="auto"/>
        </w:rPr>
      </w:pPr>
      <w:r>
        <w:rPr>
          <w:rFonts w:ascii="Courier New" w:cs="Courier New" w:eastAsia="Courier New" w:hAnsi="Courier New"/>
          <w:sz w:val="18"/>
          <w:szCs w:val="18"/>
          <w:color w:val="auto"/>
        </w:rPr>
        <w:t>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0"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Re. SEC Form S-8 Registration Statement for</w:t>
      </w:r>
      <w:r>
        <w:rPr>
          <w:sz w:val="20"/>
          <w:szCs w:val="20"/>
          <w:color w:val="auto"/>
        </w:rPr>
        <w:tab/>
      </w:r>
      <w:r>
        <w:rPr>
          <w:rFonts w:ascii="Courier New" w:cs="Courier New" w:eastAsia="Courier New" w:hAnsi="Courier New"/>
          <w:sz w:val="16"/>
          <w:szCs w:val="16"/>
          <w:color w:val="auto"/>
        </w:rPr>
        <w:t>1998 Stock Option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We have examined the Registration Statement on Form S-8 (the "Registration Statement") as it is proposed to be filed by Gentner Communications Corporation (the "Company") with the Securities and Exchange Commission (the "SEC") on or about May 12, 1999. The Registration Statement will register with the SEC 1,700,000 shares of the Company's common stock (the "Shares") for public trading under the Securities Act of 1993, as amended. The shares may be issued to employees, non-employee members of the board of directors of the Company, and of the board of directors of any parent or subsidiary thereof, and consultants to the Company. In preparing this opinion, we have examined the Registration Statement, the Plan, the Company's Articles of Incorporation, and the Company's Bylaws. We have assumed that in each instance the Shares have been or will be issued pursuant to the terms of the Plan.</w:t>
      </w:r>
    </w:p>
    <w:p>
      <w:pPr>
        <w:spacing w:after="0" w:line="39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Subject to the above qualifications and assumptions, it is our opinion that, when the Shares are sold in accordance with the Registration Statement, the Plan, and any grants thereunder, the Shares will be legally issued, fully paid, and non-assessable. We hereby consent to the inclusion of this opinion as an exhibit to the Registration Statement.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/s/JONES, WALDO, HOLBROOK &amp; McDONOUGH</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Jones, Waldo, Holbrook &amp; McDonough</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33-xxxxxx) pertaining to the 1998 Stock Option Plan of Gentner Communications Corporation of our report dated July 31, 1998 , with respect to the financial statements of Gentner Communications Corporation included in its Annual Report (Form 10-KSB) for the year ended June 30, 1998, filed with the Securities and Exchange Commission.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/s/ERNST &amp; YOUNG LLP</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7, 1999</w:t>
      </w:r>
    </w:p>
    <w:p>
      <w:pPr>
        <w:spacing w:after="0" w:line="238" w:lineRule="auto"/>
        <w:rPr>
          <w:sz w:val="20"/>
          <w:szCs w:val="20"/>
          <w:color w:val="auto"/>
        </w:rPr>
      </w:pPr>
      <w:r>
        <w:rPr>
          <w:rFonts w:ascii="Courier New" w:cs="Courier New" w:eastAsia="Courier New" w:hAnsi="Courier New"/>
          <w:sz w:val="18"/>
          <w:szCs w:val="18"/>
          <w:color w:val="auto"/>
        </w:rPr>
        <w:t>Salt Lake City, UT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Roman"/>
      <w:start w:val="3"/>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lvl w:ilvl="1">
      <w:lvlJc w:val="left"/>
      <w:lvlText w:val="(%2)"/>
      <w:numFmt w:val="decimal"/>
      <w:start w:val="1"/>
    </w:lvl>
  </w:abstractNum>
  <w:abstractNum w:abstractNumId="9">
    <w:nsid w:val="3352255A"/>
    <w:multiLevelType w:val="hybridMultilevel"/>
    <w:lvl w:ilvl="0">
      <w:lvlJc w:val="left"/>
      <w:lvlText w:val="%1"/>
      <w:numFmt w:val="lowerLetter"/>
      <w:start w:val="1"/>
    </w:lvl>
    <w:lvl w:ilvl="1">
      <w:lvlJc w:val="left"/>
      <w:lvlText w:val="(%2)"/>
      <w:numFmt w:val="decimal"/>
      <w:start w:val="3"/>
    </w:lvl>
  </w:abstractNum>
  <w:abstractNum w:abstractNumId="10">
    <w:nsid w:val="109CF92E"/>
    <w:multiLevelType w:val="hybridMultilevel"/>
    <w:lvl w:ilvl="0">
      <w:lvlJc w:val="left"/>
      <w:lvlText w:val="(%1)"/>
      <w:numFmt w:val="lowerLetter"/>
      <w:start w:val="2"/>
    </w:lvl>
    <w:lvl w:ilvl="1">
      <w:lvlJc w:val="left"/>
      <w:lvlText w:val="%2"/>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2019-12-13T17:38:56Z</dcterms:created>
  <dcterms:modified xsi:type="dcterms:W3CDTF">2019-12-13T17:38:56Z</dcterms:modified>
</cp:coreProperties>
</file>