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0"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12b-25</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NOTIFICATION OF LATE FILING</w:t>
      </w:r>
    </w:p>
    <w:p>
      <w:pPr>
        <w:spacing w:after="0" w:line="200" w:lineRule="exact"/>
        <w:rPr>
          <w:sz w:val="24"/>
          <w:szCs w:val="24"/>
          <w:color w:val="auto"/>
        </w:rPr>
      </w:pP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(CHECK ONE):   x Form 10-K</w:t>
            </w:r>
          </w:p>
        </w:tc>
        <w:tc>
          <w:tcPr>
            <w:tcW w:w="2560" w:type="dxa"/>
            <w:vAlign w:val="bottom"/>
          </w:tcPr>
          <w:p>
            <w:pPr>
              <w:ind w:left="1120"/>
              <w:spacing w:after="0"/>
              <w:rPr>
                <w:sz w:val="20"/>
                <w:szCs w:val="20"/>
                <w:color w:val="auto"/>
              </w:rPr>
            </w:pPr>
            <w:r>
              <w:rPr>
                <w:rFonts w:ascii="Arial" w:cs="Arial" w:eastAsia="Arial" w:hAnsi="Arial"/>
                <w:sz w:val="18"/>
                <w:szCs w:val="18"/>
                <w:color w:val="auto"/>
              </w:rPr>
              <w:t>o Form 20-F</w:t>
            </w:r>
          </w:p>
        </w:tc>
        <w:tc>
          <w:tcPr>
            <w:tcW w:w="1720" w:type="dxa"/>
            <w:vAlign w:val="bottom"/>
          </w:tcPr>
          <w:p>
            <w:pPr>
              <w:ind w:left="520"/>
              <w:spacing w:after="0"/>
              <w:rPr>
                <w:sz w:val="20"/>
                <w:szCs w:val="20"/>
                <w:color w:val="auto"/>
              </w:rPr>
            </w:pPr>
            <w:r>
              <w:rPr>
                <w:rFonts w:ascii="Arial" w:cs="Arial" w:eastAsia="Arial" w:hAnsi="Arial"/>
                <w:sz w:val="18"/>
                <w:szCs w:val="18"/>
                <w:color w:val="auto"/>
              </w:rPr>
              <w:t>o Form 11-K</w:t>
            </w:r>
          </w:p>
        </w:tc>
        <w:tc>
          <w:tcPr>
            <w:tcW w:w="1500" w:type="dxa"/>
            <w:vAlign w:val="bottom"/>
          </w:tcPr>
          <w:p>
            <w:pPr>
              <w:ind w:left="240"/>
              <w:spacing w:after="0"/>
              <w:rPr>
                <w:sz w:val="20"/>
                <w:szCs w:val="20"/>
                <w:color w:val="auto"/>
              </w:rPr>
            </w:pPr>
            <w:r>
              <w:rPr>
                <w:rFonts w:ascii="Arial" w:cs="Arial" w:eastAsia="Arial" w:hAnsi="Arial"/>
                <w:sz w:val="18"/>
                <w:szCs w:val="18"/>
                <w:color w:val="auto"/>
              </w:rPr>
              <w:t>o Form 10-Q</w:t>
            </w:r>
          </w:p>
        </w:tc>
        <w:tc>
          <w:tcPr>
            <w:tcW w:w="2180" w:type="dxa"/>
            <w:vAlign w:val="bottom"/>
          </w:tcPr>
          <w:p>
            <w:pPr>
              <w:ind w:left="320"/>
              <w:spacing w:after="0"/>
              <w:rPr>
                <w:sz w:val="20"/>
                <w:szCs w:val="20"/>
                <w:color w:val="auto"/>
              </w:rPr>
            </w:pPr>
            <w:r>
              <w:rPr>
                <w:rFonts w:ascii="Arial" w:cs="Arial" w:eastAsia="Arial" w:hAnsi="Arial"/>
                <w:sz w:val="18"/>
                <w:szCs w:val="18"/>
                <w:color w:val="auto"/>
              </w:rPr>
              <w:t>o Form N-SAR</w:t>
            </w:r>
          </w:p>
        </w:tc>
      </w:tr>
      <w:tr>
        <w:trPr>
          <w:trHeight w:val="445"/>
        </w:trPr>
        <w:tc>
          <w:tcPr>
            <w:tcW w:w="2420" w:type="dxa"/>
            <w:vAlign w:val="bottom"/>
          </w:tcPr>
          <w:p>
            <w:pPr>
              <w:ind w:left="1580"/>
              <w:spacing w:after="0"/>
              <w:rPr>
                <w:sz w:val="20"/>
                <w:szCs w:val="20"/>
                <w:color w:val="auto"/>
              </w:rPr>
            </w:pPr>
            <w:r>
              <w:rPr>
                <w:rFonts w:ascii="Arial" w:cs="Arial" w:eastAsia="Arial" w:hAnsi="Arial"/>
                <w:sz w:val="18"/>
                <w:szCs w:val="18"/>
                <w:color w:val="auto"/>
                <w:w w:val="97"/>
              </w:rPr>
              <w:t>For Period</w:t>
            </w:r>
          </w:p>
        </w:tc>
        <w:tc>
          <w:tcPr>
            <w:tcW w:w="2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37"/>
        </w:trPr>
        <w:tc>
          <w:tcPr>
            <w:tcW w:w="2420" w:type="dxa"/>
            <w:vAlign w:val="bottom"/>
          </w:tcPr>
          <w:p>
            <w:pPr>
              <w:ind w:left="1580"/>
              <w:spacing w:after="0"/>
              <w:rPr>
                <w:sz w:val="20"/>
                <w:szCs w:val="20"/>
                <w:color w:val="auto"/>
              </w:rPr>
            </w:pPr>
            <w:r>
              <w:rPr>
                <w:rFonts w:ascii="Arial" w:cs="Arial" w:eastAsia="Arial" w:hAnsi="Arial"/>
                <w:sz w:val="18"/>
                <w:szCs w:val="18"/>
                <w:color w:val="auto"/>
              </w:rPr>
              <w:t>Ended:</w:t>
            </w: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 2011</w:t>
            </w:r>
          </w:p>
        </w:tc>
        <w:tc>
          <w:tcPr>
            <w:tcW w:w="17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r>
    </w:tbl>
    <w:p>
      <w:pPr>
        <w:spacing w:after="0" w:line="229" w:lineRule="exact"/>
        <w:rPr>
          <w:sz w:val="24"/>
          <w:szCs w:val="24"/>
          <w:color w:val="auto"/>
        </w:rPr>
      </w:pPr>
    </w:p>
    <w:p>
      <w:pPr>
        <w:ind w:left="1620"/>
        <w:spacing w:after="0"/>
        <w:tabs>
          <w:tab w:leader="none" w:pos="1860" w:val="left"/>
        </w:tabs>
        <w:rPr>
          <w:sz w:val="20"/>
          <w:szCs w:val="20"/>
          <w:color w:val="auto"/>
        </w:rPr>
      </w:pPr>
      <w:r>
        <w:rPr>
          <w:rFonts w:ascii="Arial" w:cs="Arial" w:eastAsia="Arial" w:hAnsi="Arial"/>
          <w:sz w:val="18"/>
          <w:szCs w:val="18"/>
          <w:color w:val="auto"/>
        </w:rPr>
        <w:t>o</w:t>
        <w:tab/>
        <w:t>Transition Report on Form 10-K</w:t>
      </w:r>
    </w:p>
    <w:p>
      <w:pPr>
        <w:spacing w:after="0" w:line="23" w:lineRule="exact"/>
        <w:rPr>
          <w:sz w:val="24"/>
          <w:szCs w:val="24"/>
          <w:color w:val="auto"/>
        </w:rPr>
      </w:pPr>
    </w:p>
    <w:p>
      <w:pPr>
        <w:ind w:left="1620"/>
        <w:spacing w:after="0"/>
        <w:tabs>
          <w:tab w:leader="none" w:pos="1860" w:val="left"/>
        </w:tabs>
        <w:rPr>
          <w:sz w:val="20"/>
          <w:szCs w:val="20"/>
          <w:color w:val="auto"/>
        </w:rPr>
      </w:pPr>
      <w:r>
        <w:rPr>
          <w:rFonts w:ascii="Arial" w:cs="Arial" w:eastAsia="Arial" w:hAnsi="Arial"/>
          <w:sz w:val="18"/>
          <w:szCs w:val="18"/>
          <w:color w:val="auto"/>
        </w:rPr>
        <w:t>o</w:t>
        <w:tab/>
        <w:t>Transition Report on Form 20-F</w:t>
      </w:r>
    </w:p>
    <w:p>
      <w:pPr>
        <w:spacing w:after="0" w:line="9" w:lineRule="exact"/>
        <w:rPr>
          <w:sz w:val="24"/>
          <w:szCs w:val="24"/>
          <w:color w:val="auto"/>
        </w:rPr>
      </w:pPr>
    </w:p>
    <w:p>
      <w:pPr>
        <w:ind w:left="1620"/>
        <w:spacing w:after="0"/>
        <w:tabs>
          <w:tab w:leader="none" w:pos="1860" w:val="left"/>
        </w:tabs>
        <w:rPr>
          <w:sz w:val="20"/>
          <w:szCs w:val="20"/>
          <w:color w:val="auto"/>
        </w:rPr>
      </w:pPr>
      <w:r>
        <w:rPr>
          <w:rFonts w:ascii="Arial" w:cs="Arial" w:eastAsia="Arial" w:hAnsi="Arial"/>
          <w:sz w:val="18"/>
          <w:szCs w:val="18"/>
          <w:color w:val="auto"/>
        </w:rPr>
        <w:t>o</w:t>
        <w:tab/>
        <w:t>Transition Report on Form 11-K</w:t>
      </w:r>
    </w:p>
    <w:p>
      <w:pPr>
        <w:spacing w:after="0" w:line="9" w:lineRule="exact"/>
        <w:rPr>
          <w:sz w:val="24"/>
          <w:szCs w:val="24"/>
          <w:color w:val="auto"/>
        </w:rPr>
      </w:pPr>
    </w:p>
    <w:p>
      <w:pPr>
        <w:ind w:left="1620"/>
        <w:spacing w:after="0"/>
        <w:tabs>
          <w:tab w:leader="none" w:pos="1860" w:val="left"/>
        </w:tabs>
        <w:rPr>
          <w:sz w:val="20"/>
          <w:szCs w:val="20"/>
          <w:color w:val="auto"/>
        </w:rPr>
      </w:pPr>
      <w:r>
        <w:rPr>
          <w:rFonts w:ascii="Arial" w:cs="Arial" w:eastAsia="Arial" w:hAnsi="Arial"/>
          <w:sz w:val="18"/>
          <w:szCs w:val="18"/>
          <w:color w:val="auto"/>
        </w:rPr>
        <w:t>o</w:t>
        <w:tab/>
        <w:t>Transition Report on Form 10-Q</w:t>
      </w:r>
    </w:p>
    <w:p>
      <w:pPr>
        <w:spacing w:after="0" w:line="9" w:lineRule="exact"/>
        <w:rPr>
          <w:sz w:val="24"/>
          <w:szCs w:val="24"/>
          <w:color w:val="auto"/>
        </w:rPr>
      </w:pPr>
    </w:p>
    <w:p>
      <w:pPr>
        <w:ind w:left="1620"/>
        <w:spacing w:after="0"/>
        <w:tabs>
          <w:tab w:leader="none" w:pos="1860" w:val="left"/>
        </w:tabs>
        <w:rPr>
          <w:sz w:val="20"/>
          <w:szCs w:val="20"/>
          <w:color w:val="auto"/>
        </w:rPr>
      </w:pPr>
      <w:r>
        <w:rPr>
          <w:rFonts w:ascii="Arial" w:cs="Arial" w:eastAsia="Arial" w:hAnsi="Arial"/>
          <w:sz w:val="18"/>
          <w:szCs w:val="18"/>
          <w:color w:val="auto"/>
        </w:rPr>
        <w:t>o</w:t>
        <w:tab/>
        <w:t>Transition Report on Form N-SAR</w:t>
      </w:r>
    </w:p>
    <w:p>
      <w:pPr>
        <w:spacing w:after="0" w:line="9" w:lineRule="exact"/>
        <w:rPr>
          <w:sz w:val="24"/>
          <w:szCs w:val="24"/>
          <w:color w:val="auto"/>
        </w:rPr>
      </w:pPr>
    </w:p>
    <w:p>
      <w:pPr>
        <w:ind w:left="1620"/>
        <w:spacing w:after="0"/>
        <w:rPr>
          <w:sz w:val="20"/>
          <w:szCs w:val="20"/>
          <w:color w:val="auto"/>
        </w:rPr>
      </w:pPr>
      <w:r>
        <w:rPr>
          <w:rFonts w:ascii="Arial" w:cs="Arial" w:eastAsia="Arial" w:hAnsi="Arial"/>
          <w:sz w:val="18"/>
          <w:szCs w:val="18"/>
          <w:color w:val="auto"/>
        </w:rPr>
        <w:t>For the Transaction Period Ended:</w:t>
      </w:r>
    </w:p>
    <w:p>
      <w:pPr>
        <w:spacing w:after="0" w:line="200" w:lineRule="exact"/>
        <w:rPr>
          <w:sz w:val="24"/>
          <w:szCs w:val="24"/>
          <w:color w:val="auto"/>
        </w:rPr>
      </w:pPr>
    </w:p>
    <w:p>
      <w:pPr>
        <w:spacing w:after="0" w:line="268" w:lineRule="exact"/>
        <w:rPr>
          <w:sz w:val="24"/>
          <w:szCs w:val="24"/>
          <w:color w:val="auto"/>
        </w:rPr>
      </w:pPr>
    </w:p>
    <w:p>
      <w:pPr>
        <w:jc w:val="center"/>
        <w:spacing w:after="0" w:line="243" w:lineRule="auto"/>
        <w:rPr>
          <w:sz w:val="20"/>
          <w:szCs w:val="20"/>
          <w:color w:val="auto"/>
        </w:rPr>
      </w:pPr>
      <w:r>
        <w:rPr>
          <w:rFonts w:ascii="Arial" w:cs="Arial" w:eastAsia="Arial" w:hAnsi="Arial"/>
          <w:sz w:val="22"/>
          <w:szCs w:val="22"/>
          <w:b w:val="1"/>
          <w:bCs w:val="1"/>
          <w:i w:val="1"/>
          <w:iCs w:val="1"/>
          <w:color w:val="auto"/>
        </w:rPr>
        <w:t xml:space="preserve">READ INSTRUCTION (ON BACK PAGE) BEFORE PREPARING FORM. PLEASE PRINT OR TYPE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NOTHING IN THIS FORM SHALL BE CONSTRUED TO IMPLY THAT THE COMMISSION HAS VERIFIED ANY INFORMATION CONTAINED HEREIN.</w:t>
      </w:r>
    </w:p>
    <w:p>
      <w:pPr>
        <w:spacing w:after="0" w:line="210" w:lineRule="exact"/>
        <w:rPr>
          <w:sz w:val="24"/>
          <w:szCs w:val="24"/>
          <w:color w:val="auto"/>
        </w:rPr>
      </w:pPr>
    </w:p>
    <w:p>
      <w:pPr>
        <w:spacing w:after="0"/>
        <w:rPr>
          <w:sz w:val="20"/>
          <w:szCs w:val="20"/>
          <w:color w:val="auto"/>
        </w:rPr>
      </w:pPr>
      <w:r>
        <w:rPr>
          <w:rFonts w:ascii="Arial" w:cs="Arial" w:eastAsia="Arial" w:hAnsi="Arial"/>
          <w:sz w:val="19"/>
          <w:szCs w:val="19"/>
          <w:color w:val="auto"/>
        </w:rPr>
        <w:t>If the notification relates to a portion of the filing checked above, identify the Item(s) to which the notification relates:</w:t>
      </w:r>
    </w:p>
    <w:p>
      <w:pPr>
        <w:spacing w:after="0" w:line="200" w:lineRule="exact"/>
        <w:rPr>
          <w:sz w:val="24"/>
          <w:szCs w:val="24"/>
          <w:color w:val="auto"/>
        </w:rPr>
      </w:pPr>
    </w:p>
    <w:p>
      <w:pPr>
        <w:spacing w:after="0" w:line="30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PART I - REGISTRANT INFORMATION</w:t>
      </w:r>
    </w:p>
    <w:p>
      <w:pPr>
        <w:spacing w:after="0" w:line="24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ClearOne Communications,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5862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65862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5225 Wiley Post Way, Suite 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5862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Executive Office (Street and Number)</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Salt Lake City, Utah 84116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5862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1043940</wp:posOffset>
            </wp:positionV>
            <wp:extent cx="6586220" cy="85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86220" cy="85725"/>
                    </a:xfrm>
                    <a:prstGeom prst="rect">
                      <a:avLst/>
                    </a:prstGeom>
                    <a:noFill/>
                  </pic:spPr>
                </pic:pic>
              </a:graphicData>
            </a:graphic>
          </wp:anchor>
        </w:drawing>
      </w:r>
    </w:p>
    <w:p>
      <w:pPr>
        <w:sectPr>
          <w:pgSz w:w="11900" w:h="16838" w:orient="portrait"/>
          <w:cols w:equalWidth="0" w:num="1">
            <w:col w:w="10380"/>
          </w:cols>
          <w:pgMar w:left="240" w:top="936" w:right="1279" w:bottom="1440" w:gutter="0" w:footer="0" w:header="0"/>
        </w:sectPr>
      </w:pPr>
    </w:p>
    <w:bookmarkStart w:id="1" w:name="page2"/>
    <w:bookmarkEnd w:id="1"/>
    <w:p>
      <w:pPr>
        <w:ind w:left="60"/>
        <w:spacing w:after="0"/>
        <w:rPr>
          <w:sz w:val="20"/>
          <w:szCs w:val="20"/>
          <w:color w:val="auto"/>
        </w:rPr>
      </w:pPr>
      <w:r>
        <w:rPr>
          <w:rFonts w:ascii="Arial" w:cs="Arial" w:eastAsia="Arial" w:hAnsi="Arial"/>
          <w:sz w:val="22"/>
          <w:szCs w:val="22"/>
          <w:b w:val="1"/>
          <w:bCs w:val="1"/>
          <w:color w:val="auto"/>
        </w:rPr>
        <w:t>PART II - RULES 12b-25(b) AND (c)</w:t>
      </w:r>
    </w:p>
    <w:p>
      <w:pPr>
        <w:spacing w:after="0" w:line="239"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If the subject report could not be filed without unreasonable effort or expense and the registrant seeks relief pursuant to Rule 12b-25(b), the following should be completed. (Check box if appropriate)</w:t>
      </w:r>
    </w:p>
    <w:p>
      <w:pPr>
        <w:spacing w:after="0" w:line="207" w:lineRule="exact"/>
        <w:rPr>
          <w:sz w:val="20"/>
          <w:szCs w:val="20"/>
          <w:color w:val="auto"/>
        </w:rPr>
      </w:pPr>
    </w:p>
    <w:p>
      <w:pPr>
        <w:ind w:left="1220" w:right="520" w:hanging="776"/>
        <w:spacing w:after="0" w:line="258" w:lineRule="auto"/>
        <w:tabs>
          <w:tab w:leader="none" w:pos="648" w:val="left"/>
        </w:tabs>
        <w:numPr>
          <w:ilvl w:val="0"/>
          <w:numId w:val="1"/>
        </w:numPr>
        <w:rPr>
          <w:rFonts w:ascii="Arial" w:cs="Arial" w:eastAsia="Arial" w:hAnsi="Arial"/>
          <w:sz w:val="18"/>
          <w:szCs w:val="18"/>
          <w:color w:val="auto"/>
        </w:rPr>
      </w:pPr>
      <w:r>
        <w:rPr>
          <w:rFonts w:ascii="Arial" w:cs="Arial" w:eastAsia="Arial" w:hAnsi="Arial"/>
          <w:sz w:val="18"/>
          <w:szCs w:val="18"/>
          <w:color w:val="auto"/>
        </w:rPr>
        <w:t>(a)The reasons described in reasonable detail in Part III of this form could not be eliminated without unreasonable effort or expense;</w:t>
      </w:r>
    </w:p>
    <w:p>
      <w:pPr>
        <w:spacing w:after="0" w:line="1" w:lineRule="exact"/>
        <w:rPr>
          <w:rFonts w:ascii="Arial" w:cs="Arial" w:eastAsia="Arial" w:hAnsi="Arial"/>
          <w:sz w:val="18"/>
          <w:szCs w:val="18"/>
          <w:color w:val="auto"/>
        </w:rPr>
      </w:pPr>
    </w:p>
    <w:p>
      <w:pPr>
        <w:jc w:val="right"/>
        <w:ind w:left="1220" w:right="160" w:hanging="776"/>
        <w:spacing w:after="0" w:line="281" w:lineRule="auto"/>
        <w:tabs>
          <w:tab w:leader="none" w:pos="648" w:val="left"/>
        </w:tabs>
        <w:numPr>
          <w:ilvl w:val="0"/>
          <w:numId w:val="1"/>
        </w:numPr>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6"/>
          <w:szCs w:val="16"/>
          <w:color w:val="auto"/>
        </w:rPr>
        <w:t>The subject annual report, semi-annual report, transition report on Form 10-K, Form 20-F, 11-K or Form N-SAR, or portion thereof, will be filed on or before the fifteenth calendar day following the prescribed due date; or the subject quarterly report or transition report on Form 10-Q, or portion thereof will be filed on or before the fifth calendar day following the prescribed</w:t>
      </w:r>
    </w:p>
    <w:p>
      <w:pPr>
        <w:spacing w:after="0" w:line="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due date; and</w:t>
      </w:r>
    </w:p>
    <w:p>
      <w:pPr>
        <w:spacing w:after="0" w:line="9" w:lineRule="exact"/>
        <w:rPr>
          <w:sz w:val="20"/>
          <w:szCs w:val="20"/>
          <w:color w:val="auto"/>
        </w:rPr>
      </w:pPr>
    </w:p>
    <w:p>
      <w:pPr>
        <w:ind w:left="440"/>
        <w:spacing w:after="0"/>
        <w:tabs>
          <w:tab w:leader="none" w:pos="1200" w:val="left"/>
        </w:tabs>
        <w:rPr>
          <w:sz w:val="20"/>
          <w:szCs w:val="20"/>
          <w:color w:val="auto"/>
        </w:rPr>
      </w:pPr>
      <w:r>
        <w:rPr>
          <w:rFonts w:ascii="Arial" w:cs="Arial" w:eastAsia="Arial" w:hAnsi="Arial"/>
          <w:sz w:val="18"/>
          <w:szCs w:val="18"/>
          <w:color w:val="auto"/>
        </w:rPr>
        <w:t>o (c)</w:t>
      </w:r>
      <w:r>
        <w:rPr>
          <w:sz w:val="20"/>
          <w:szCs w:val="20"/>
          <w:color w:val="auto"/>
        </w:rPr>
        <w:tab/>
      </w:r>
      <w:r>
        <w:rPr>
          <w:rFonts w:ascii="Arial" w:cs="Arial" w:eastAsia="Arial" w:hAnsi="Arial"/>
          <w:sz w:val="16"/>
          <w:szCs w:val="16"/>
          <w:color w:val="auto"/>
        </w:rPr>
        <w:t>The accountant’s statement or other exhibit required by Rule 12b-25(c) has been attached if applicable.</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III - NARRATIVE</w:t>
      </w:r>
    </w:p>
    <w:p>
      <w:pPr>
        <w:spacing w:after="0" w:line="239" w:lineRule="exact"/>
        <w:rPr>
          <w:sz w:val="20"/>
          <w:szCs w:val="20"/>
          <w:color w:val="auto"/>
        </w:rPr>
      </w:pPr>
    </w:p>
    <w:p>
      <w:pPr>
        <w:ind w:right="440"/>
        <w:spacing w:after="0" w:line="251" w:lineRule="auto"/>
        <w:rPr>
          <w:sz w:val="20"/>
          <w:szCs w:val="20"/>
          <w:color w:val="auto"/>
        </w:rPr>
      </w:pPr>
      <w:r>
        <w:rPr>
          <w:rFonts w:ascii="Arial" w:cs="Arial" w:eastAsia="Arial" w:hAnsi="Arial"/>
          <w:sz w:val="22"/>
          <w:szCs w:val="22"/>
          <w:color w:val="auto"/>
        </w:rPr>
        <w:t>State below in reasonable detail the reasons why Forms 10-K, 20-F, 11-K, 10-Q, N-SAR, or the transition report or portion thereof, could not be filed within the prescribed time period.</w:t>
      </w:r>
    </w:p>
    <w:p>
      <w:pPr>
        <w:spacing w:after="0" w:line="200" w:lineRule="exact"/>
        <w:rPr>
          <w:sz w:val="20"/>
          <w:szCs w:val="20"/>
          <w:color w:val="auto"/>
        </w:rPr>
      </w:pPr>
    </w:p>
    <w:p>
      <w:pPr>
        <w:ind w:right="180" w:firstLine="825"/>
        <w:spacing w:after="0" w:line="238" w:lineRule="auto"/>
        <w:rPr>
          <w:sz w:val="20"/>
          <w:szCs w:val="20"/>
          <w:color w:val="auto"/>
        </w:rPr>
      </w:pPr>
      <w:r>
        <w:rPr>
          <w:rFonts w:ascii="Arial" w:cs="Arial" w:eastAsia="Arial" w:hAnsi="Arial"/>
          <w:sz w:val="22"/>
          <w:szCs w:val="22"/>
          <w:color w:val="auto"/>
        </w:rPr>
        <w:t>ClearOne Communications, Inc. (the “Company”) was unable to file its Form 10-K for the period ended December 31, 2011 by the cutoff time necessary to receive a March 30, 2011 filing date, the prescribed due date. The reason for the filing delay was due to technical problems with the filing software</w:t>
      </w:r>
      <w:r>
        <w:rPr>
          <w:rFonts w:ascii="Arial" w:cs="Arial" w:eastAsia="Arial" w:hAnsi="Arial"/>
          <w:sz w:val="22"/>
          <w:szCs w:val="22"/>
          <w:b w:val="1"/>
          <w:bCs w:val="1"/>
          <w:color w:val="auto"/>
        </w:rPr>
        <w:t>.</w:t>
      </w:r>
      <w:r>
        <w:rPr>
          <w:rFonts w:ascii="Arial" w:cs="Arial" w:eastAsia="Arial" w:hAnsi="Arial"/>
          <w:sz w:val="22"/>
          <w:szCs w:val="22"/>
          <w:color w:val="auto"/>
        </w:rPr>
        <w:t xml:space="preserve"> The Company filed its Form 10-K for the period ended December 31, 2011 on April 2, 2012.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IV - OTHER INFORMATION</w:t>
      </w:r>
    </w:p>
    <w:p>
      <w:pPr>
        <w:spacing w:after="0" w:line="246"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920" w:type="dxa"/>
            <w:vAlign w:val="bottom"/>
          </w:tcPr>
          <w:p>
            <w:pPr>
              <w:jc w:val="center"/>
              <w:spacing w:after="0"/>
              <w:rPr>
                <w:sz w:val="20"/>
                <w:szCs w:val="20"/>
                <w:color w:val="auto"/>
              </w:rPr>
            </w:pPr>
            <w:r>
              <w:rPr>
                <w:rFonts w:ascii="Arial" w:cs="Arial" w:eastAsia="Arial" w:hAnsi="Arial"/>
                <w:sz w:val="18"/>
                <w:szCs w:val="18"/>
                <w:color w:val="auto"/>
                <w:w w:val="88"/>
              </w:rPr>
              <w:t>Narsi Narayanan</w:t>
            </w:r>
          </w:p>
        </w:tc>
        <w:tc>
          <w:tcPr>
            <w:tcW w:w="3540" w:type="dxa"/>
            <w:vAlign w:val="bottom"/>
            <w:gridSpan w:val="2"/>
          </w:tcPr>
          <w:p>
            <w:pPr>
              <w:jc w:val="right"/>
              <w:ind w:right="1450"/>
              <w:spacing w:after="0"/>
              <w:rPr>
                <w:sz w:val="20"/>
                <w:szCs w:val="20"/>
                <w:color w:val="auto"/>
              </w:rPr>
            </w:pPr>
            <w:r>
              <w:rPr>
                <w:rFonts w:ascii="Arial" w:cs="Arial" w:eastAsia="Arial" w:hAnsi="Arial"/>
                <w:sz w:val="18"/>
                <w:szCs w:val="18"/>
                <w:color w:val="auto"/>
              </w:rPr>
              <w:t>801</w:t>
            </w:r>
          </w:p>
        </w:tc>
        <w:tc>
          <w:tcPr>
            <w:tcW w:w="3520" w:type="dxa"/>
            <w:vAlign w:val="bottom"/>
            <w:gridSpan w:val="2"/>
          </w:tcPr>
          <w:p>
            <w:pPr>
              <w:jc w:val="right"/>
              <w:ind w:right="1230"/>
              <w:spacing w:after="0"/>
              <w:rPr>
                <w:sz w:val="20"/>
                <w:szCs w:val="20"/>
                <w:color w:val="auto"/>
              </w:rPr>
            </w:pPr>
            <w:r>
              <w:rPr>
                <w:rFonts w:ascii="Arial" w:cs="Arial" w:eastAsia="Arial" w:hAnsi="Arial"/>
                <w:sz w:val="18"/>
                <w:szCs w:val="18"/>
                <w:color w:val="auto"/>
              </w:rPr>
              <w:t>975-7200</w:t>
            </w:r>
          </w:p>
        </w:tc>
      </w:tr>
      <w:tr>
        <w:trPr>
          <w:trHeight w:val="230"/>
        </w:trPr>
        <w:tc>
          <w:tcPr>
            <w:tcW w:w="2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(Name)</w:t>
            </w:r>
          </w:p>
        </w:tc>
        <w:tc>
          <w:tcPr>
            <w:tcW w:w="220" w:type="dxa"/>
            <w:vAlign w:val="bottom"/>
          </w:tcPr>
          <w:p>
            <w:pPr>
              <w:spacing w:after="0"/>
              <w:rPr>
                <w:sz w:val="20"/>
                <w:szCs w:val="20"/>
                <w:color w:val="auto"/>
              </w:rPr>
            </w:pP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200" w:type="dxa"/>
            <w:vAlign w:val="bottom"/>
          </w:tcPr>
          <w:p>
            <w:pPr>
              <w:spacing w:after="0"/>
              <w:rPr>
                <w:sz w:val="20"/>
                <w:szCs w:val="20"/>
                <w:color w:val="auto"/>
              </w:rPr>
            </w:pP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(Telephone Number)</w:t>
            </w:r>
          </w:p>
        </w:tc>
      </w:tr>
    </w:tbl>
    <w:p>
      <w:pPr>
        <w:spacing w:after="0" w:line="214" w:lineRule="exact"/>
        <w:rPr>
          <w:sz w:val="20"/>
          <w:szCs w:val="20"/>
          <w:color w:val="auto"/>
        </w:rPr>
      </w:pPr>
    </w:p>
    <w:p>
      <w:pPr>
        <w:ind w:left="420" w:right="40" w:hanging="412"/>
        <w:spacing w:after="0" w:line="256"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ind w:left="6240"/>
        <w:spacing w:after="0"/>
        <w:tabs>
          <w:tab w:leader="none" w:pos="10000" w:val="left"/>
        </w:tabs>
        <w:rPr>
          <w:sz w:val="20"/>
          <w:szCs w:val="20"/>
          <w:color w:val="auto"/>
        </w:rPr>
      </w:pPr>
      <w:r>
        <w:rPr>
          <w:rFonts w:ascii="Arial" w:cs="Arial" w:eastAsia="Arial" w:hAnsi="Arial"/>
          <w:sz w:val="18"/>
          <w:szCs w:val="18"/>
          <w:color w:val="auto"/>
        </w:rPr>
        <w:t>x Yes</w:t>
      </w:r>
      <w:r>
        <w:rPr>
          <w:sz w:val="20"/>
          <w:szCs w:val="20"/>
          <w:color w:val="auto"/>
        </w:rPr>
        <w:tab/>
      </w:r>
      <w:r>
        <w:rPr>
          <w:rFonts w:ascii="Arial" w:cs="Arial" w:eastAsia="Arial" w:hAnsi="Arial"/>
          <w:sz w:val="16"/>
          <w:szCs w:val="16"/>
          <w:color w:val="auto"/>
        </w:rPr>
        <w:t>o No</w:t>
      </w:r>
    </w:p>
    <w:p>
      <w:pPr>
        <w:spacing w:after="0" w:line="238" w:lineRule="exact"/>
        <w:rPr>
          <w:sz w:val="20"/>
          <w:szCs w:val="20"/>
          <w:color w:val="auto"/>
        </w:rPr>
      </w:pPr>
    </w:p>
    <w:p>
      <w:pPr>
        <w:ind w:left="420" w:right="140" w:hanging="412"/>
        <w:spacing w:after="0" w:line="258"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 w:lineRule="exact"/>
        <w:rPr>
          <w:sz w:val="20"/>
          <w:szCs w:val="20"/>
          <w:color w:val="auto"/>
        </w:rPr>
      </w:pPr>
    </w:p>
    <w:p>
      <w:pPr>
        <w:ind w:left="6240"/>
        <w:spacing w:after="0"/>
        <w:tabs>
          <w:tab w:leader="none" w:pos="10000" w:val="left"/>
        </w:tabs>
        <w:rPr>
          <w:sz w:val="20"/>
          <w:szCs w:val="20"/>
          <w:color w:val="auto"/>
        </w:rPr>
      </w:pPr>
      <w:r>
        <w:rPr>
          <w:rFonts w:ascii="Arial" w:cs="Arial" w:eastAsia="Arial" w:hAnsi="Arial"/>
          <w:sz w:val="18"/>
          <w:szCs w:val="18"/>
          <w:color w:val="auto"/>
        </w:rPr>
        <w:t>x Yes</w:t>
      </w:r>
      <w:r>
        <w:rPr>
          <w:sz w:val="20"/>
          <w:szCs w:val="20"/>
          <w:color w:val="auto"/>
        </w:rPr>
        <w:tab/>
      </w:r>
      <w:r>
        <w:rPr>
          <w:rFonts w:ascii="Arial" w:cs="Arial" w:eastAsia="Arial" w:hAnsi="Arial"/>
          <w:sz w:val="16"/>
          <w:szCs w:val="16"/>
          <w:color w:val="auto"/>
        </w:rPr>
        <w:t>o No</w:t>
      </w:r>
    </w:p>
    <w:p>
      <w:pPr>
        <w:spacing w:after="0" w:line="238" w:lineRule="exact"/>
        <w:rPr>
          <w:sz w:val="20"/>
          <w:szCs w:val="20"/>
          <w:color w:val="auto"/>
        </w:rPr>
      </w:pPr>
    </w:p>
    <w:p>
      <w:pPr>
        <w:ind w:left="420" w:right="44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90"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The Company filed its Form 10-K for the period ended December 31, 2011 on April 2, 2012. The Company reported revenues of $46.1 million for the year ended December 31, 2011, compared to $41.3 million for year ended December 31, 2010, an increase of approximately 12%. The Company’s gross profit increased by $2.9 million to $27.5 million for the year ended December 31, 2011 compared to the year ended December 31, 2010. Net income increased to $6.9 million for the year ended December 31, 2011 compared to net income of $2.4 million for the year ended December 31, 2010. The increase in revenues and profits were the result of increases in sales volume in our professional, personal and premium product categories. A detailed discussion of the Company’s results of operations in included under Part I, Item 2. “Management’s Discussion and Analysis of Financial Condition and Results of Operations” in the Company’s Form 10-K for the period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1221105</wp:posOffset>
            </wp:positionV>
            <wp:extent cx="6586220" cy="85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86220" cy="85725"/>
                    </a:xfrm>
                    <a:prstGeom prst="rect">
                      <a:avLst/>
                    </a:prstGeom>
                    <a:noFill/>
                  </pic:spPr>
                </pic:pic>
              </a:graphicData>
            </a:graphic>
          </wp:anchor>
        </w:drawing>
      </w:r>
    </w:p>
    <w:p>
      <w:pPr>
        <w:sectPr>
          <w:pgSz w:w="11900" w:h="16838" w:orient="portrait"/>
          <w:cols w:equalWidth="0" w:num="1">
            <w:col w:w="10380"/>
          </w:cols>
          <w:pgMar w:left="240" w:top="666" w:right="1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5862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Charter)</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has caused this notification to be signed on its behalf by the undersigned hereunto duly authorized.</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20" w:type="dxa"/>
            <w:vAlign w:val="bottom"/>
          </w:tcPr>
          <w:p>
            <w:pPr>
              <w:spacing w:after="0"/>
              <w:rPr>
                <w:sz w:val="20"/>
                <w:szCs w:val="20"/>
                <w:color w:val="auto"/>
              </w:rPr>
            </w:pPr>
            <w:r>
              <w:rPr>
                <w:rFonts w:ascii="Arial" w:cs="Arial" w:eastAsia="Arial" w:hAnsi="Arial"/>
                <w:sz w:val="18"/>
                <w:szCs w:val="18"/>
                <w:color w:val="auto"/>
              </w:rPr>
              <w:t>Date April 2, 2012</w:t>
            </w:r>
          </w:p>
        </w:tc>
        <w:tc>
          <w:tcPr>
            <w:tcW w:w="6860" w:type="dxa"/>
            <w:vAlign w:val="bottom"/>
            <w:gridSpan w:val="2"/>
          </w:tcPr>
          <w:p>
            <w:pPr>
              <w:ind w:left="2120"/>
              <w:spacing w:after="0"/>
              <w:rPr>
                <w:sz w:val="20"/>
                <w:szCs w:val="20"/>
                <w:color w:val="auto"/>
              </w:rPr>
            </w:pPr>
            <w:r>
              <w:rPr>
                <w:rFonts w:ascii="Arial" w:cs="Arial" w:eastAsia="Arial" w:hAnsi="Arial"/>
                <w:sz w:val="18"/>
                <w:szCs w:val="18"/>
                <w:color w:val="auto"/>
              </w:rPr>
              <w:t>By:   /s/ Narsi Narayanan</w:t>
            </w:r>
          </w:p>
        </w:tc>
      </w:tr>
      <w:tr>
        <w:trPr>
          <w:trHeight w:val="230"/>
        </w:trPr>
        <w:tc>
          <w:tcPr>
            <w:tcW w:w="35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Narsi Narayanan, Vice President of Finance</w:t>
            </w:r>
          </w:p>
        </w:tc>
      </w:tr>
    </w:tbl>
    <w:p>
      <w:pPr>
        <w:spacing w:after="0" w:line="200" w:lineRule="exact"/>
        <w:rPr>
          <w:sz w:val="20"/>
          <w:szCs w:val="20"/>
          <w:color w:val="auto"/>
        </w:rPr>
      </w:pPr>
    </w:p>
    <w:p>
      <w:pPr>
        <w:spacing w:after="0" w:line="244" w:lineRule="exact"/>
        <w:rPr>
          <w:sz w:val="20"/>
          <w:szCs w:val="20"/>
          <w:color w:val="auto"/>
        </w:rPr>
      </w:pPr>
    </w:p>
    <w:p>
      <w:pPr>
        <w:ind w:right="160"/>
        <w:spacing w:after="0" w:line="289" w:lineRule="auto"/>
        <w:rPr>
          <w:sz w:val="20"/>
          <w:szCs w:val="20"/>
          <w:color w:val="auto"/>
        </w:rPr>
      </w:pPr>
      <w:r>
        <w:rPr>
          <w:rFonts w:ascii="Arial" w:cs="Arial" w:eastAsia="Arial" w:hAnsi="Arial"/>
          <w:sz w:val="19"/>
          <w:szCs w:val="19"/>
          <w:b w:val="1"/>
          <w:bCs w:val="1"/>
          <w:color w:val="auto"/>
        </w:rPr>
        <w:t xml:space="preserve">INSTRUCTION: </w:t>
      </w:r>
      <w:r>
        <w:rPr>
          <w:rFonts w:ascii="Arial" w:cs="Arial" w:eastAsia="Arial" w:hAnsi="Arial"/>
          <w:sz w:val="19"/>
          <w:szCs w:val="19"/>
          <w:color w:val="auto"/>
        </w:rPr>
        <w:t>The form may be signed by an executive officer of the registrant or by any other duly authorized</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00" w:lineRule="exact"/>
        <w:rPr>
          <w:sz w:val="20"/>
          <w:szCs w:val="20"/>
          <w:color w:val="auto"/>
        </w:rPr>
      </w:pPr>
    </w:p>
    <w:p>
      <w:pPr>
        <w:spacing w:after="0" w:line="21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5862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line="1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INTENTIONAL MISSTATEMENTS OR OMISSIONS OF FACT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CONSTITUTE FEDERAL CRIMINAL VIOLATIONS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(SEE 18 U.S.C. 1001)</w:t>
      </w:r>
    </w:p>
    <w:sectPr>
      <w:pgSz w:w="11900" w:h="16838" w:orient="portrait"/>
      <w:cols w:equalWidth="0" w:num="1">
        <w:col w:w="10380"/>
      </w:cols>
      <w:pgMar w:left="240" w:top="1404"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2019-12-09T09:41:15Z</dcterms:created>
  <dcterms:modified xsi:type="dcterms:W3CDTF">2019-12-09T09:41:15Z</dcterms:modified>
</cp:coreProperties>
</file>