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 Only (as permitted by Rule 14a-6(e)(2)).</w:t>
      </w:r>
    </w:p>
    <w:p>
      <w:pPr>
        <w:spacing w:after="0" w:line="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w:t>
      </w:r>
    </w:p>
    <w:p>
      <w:pPr>
        <w:spacing w:after="0" w:line="9" w:lineRule="exact"/>
        <w:rPr>
          <w:rFonts w:ascii="Arial" w:cs="Arial" w:eastAsia="Arial" w:hAnsi="Arial"/>
          <w:sz w:val="18"/>
          <w:szCs w:val="18"/>
          <w:color w:val="auto"/>
        </w:rPr>
      </w:pPr>
    </w:p>
    <w:p>
      <w:pPr>
        <w:ind w:left="1300" w:right="300" w:hanging="644"/>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9" w:lineRule="exact"/>
        <w:rPr>
          <w:sz w:val="24"/>
          <w:szCs w:val="24"/>
          <w:color w:val="auto"/>
        </w:rPr>
      </w:pPr>
    </w:p>
    <w:p>
      <w:pPr>
        <w:ind w:left="660" w:hanging="652"/>
        <w:spacing w:after="0" w:line="250" w:lineRule="auto"/>
        <w:tabs>
          <w:tab w:leader="none" w:pos="16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40" w:type="dxa"/>
            <w:vAlign w:val="bottom"/>
          </w:tcPr>
          <w:p>
            <w:pPr>
              <w:ind w:left="1720"/>
              <w:spacing w:after="0"/>
              <w:rPr>
                <w:sz w:val="20"/>
                <w:szCs w:val="20"/>
                <w:color w:val="auto"/>
              </w:rPr>
            </w:pPr>
            <w:r>
              <w:rPr>
                <w:rFonts w:ascii="Arial" w:cs="Arial" w:eastAsia="Arial" w:hAnsi="Arial"/>
                <w:sz w:val="18"/>
                <w:szCs w:val="18"/>
                <w:b w:val="1"/>
                <w:bCs w:val="1"/>
                <w:color w:val="auto"/>
              </w:rPr>
              <w:t>Notice of 2017 Annual Meeting of Shareholders</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80" w:type="dxa"/>
            <w:vAlign w:val="bottom"/>
            <w:gridSpan w:val="2"/>
          </w:tcPr>
          <w:p>
            <w:pPr>
              <w:ind w:left="320"/>
              <w:spacing w:after="0"/>
              <w:rPr>
                <w:sz w:val="20"/>
                <w:szCs w:val="20"/>
                <w:color w:val="auto"/>
              </w:rPr>
            </w:pPr>
            <w:r>
              <w:rPr>
                <w:rFonts w:ascii="Arial" w:cs="Arial" w:eastAsia="Arial" w:hAnsi="Arial"/>
                <w:sz w:val="18"/>
                <w:szCs w:val="18"/>
                <w:color w:val="auto"/>
              </w:rPr>
              <w:t>April 27, 2017</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780" w:type="dxa"/>
            <w:vAlign w:val="bottom"/>
            <w:gridSpan w:val="2"/>
          </w:tcPr>
          <w:p>
            <w:pPr>
              <w:ind w:left="320"/>
              <w:spacing w:after="0"/>
              <w:rPr>
                <w:sz w:val="20"/>
                <w:szCs w:val="20"/>
                <w:color w:val="auto"/>
              </w:rPr>
            </w:pPr>
            <w:r>
              <w:rPr>
                <w:rFonts w:ascii="Arial" w:cs="Arial" w:eastAsia="Arial" w:hAnsi="Arial"/>
                <w:sz w:val="18"/>
                <w:szCs w:val="18"/>
                <w:color w:val="auto"/>
              </w:rPr>
              <w:t>9:30 a.m. Mountain time</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780" w:type="dxa"/>
            <w:vAlign w:val="bottom"/>
            <w:gridSpan w:val="2"/>
          </w:tcPr>
          <w:p>
            <w:pPr>
              <w:ind w:left="320"/>
              <w:spacing w:after="0"/>
              <w:rPr>
                <w:sz w:val="20"/>
                <w:szCs w:val="20"/>
                <w:color w:val="auto"/>
              </w:rPr>
            </w:pPr>
            <w:r>
              <w:rPr>
                <w:rFonts w:ascii="Arial" w:cs="Arial" w:eastAsia="Arial" w:hAnsi="Arial"/>
                <w:sz w:val="18"/>
                <w:szCs w:val="18"/>
                <w:color w:val="auto"/>
              </w:rPr>
              <w:t>5225 Wiley Post Way, Suite 500, Salt Lake City, UT 84116</w:t>
            </w:r>
          </w:p>
        </w:tc>
      </w:tr>
      <w:tr>
        <w:trPr>
          <w:trHeight w:val="418"/>
        </w:trPr>
        <w:tc>
          <w:tcPr>
            <w:tcW w:w="16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780" w:type="dxa"/>
            <w:vAlign w:val="bottom"/>
            <w:gridSpan w:val="2"/>
          </w:tcPr>
          <w:p>
            <w:pPr>
              <w:ind w:left="320"/>
              <w:spacing w:after="0"/>
              <w:rPr>
                <w:sz w:val="20"/>
                <w:szCs w:val="20"/>
                <w:color w:val="auto"/>
              </w:rPr>
            </w:pPr>
            <w:r>
              <w:rPr>
                <w:rFonts w:ascii="Arial" w:cs="Arial" w:eastAsia="Arial" w:hAnsi="Arial"/>
                <w:sz w:val="18"/>
                <w:szCs w:val="18"/>
                <w:color w:val="auto"/>
                <w:w w:val="89"/>
              </w:rPr>
              <w:t>March 27, 2017. Only shareholders of record at the close of business on the record date are entitled to receive notice of, and to vote</w:t>
            </w:r>
          </w:p>
        </w:tc>
      </w:tr>
      <w:tr>
        <w:trPr>
          <w:trHeight w:val="230"/>
        </w:trPr>
        <w:tc>
          <w:tcPr>
            <w:tcW w:w="1640" w:type="dxa"/>
            <w:vAlign w:val="bottom"/>
          </w:tcPr>
          <w:p>
            <w:pPr>
              <w:spacing w:after="0"/>
              <w:rPr>
                <w:sz w:val="20"/>
                <w:szCs w:val="20"/>
                <w:color w:val="auto"/>
              </w:rPr>
            </w:pPr>
          </w:p>
        </w:tc>
        <w:tc>
          <w:tcPr>
            <w:tcW w:w="9780" w:type="dxa"/>
            <w:vAlign w:val="bottom"/>
            <w:gridSpan w:val="2"/>
          </w:tcPr>
          <w:p>
            <w:pPr>
              <w:ind w:left="320"/>
              <w:spacing w:after="0"/>
              <w:rPr>
                <w:sz w:val="20"/>
                <w:szCs w:val="20"/>
                <w:color w:val="auto"/>
              </w:rPr>
            </w:pPr>
            <w:r>
              <w:rPr>
                <w:rFonts w:ascii="Arial" w:cs="Arial" w:eastAsia="Arial" w:hAnsi="Arial"/>
                <w:sz w:val="18"/>
                <w:szCs w:val="18"/>
                <w:color w:val="auto"/>
              </w:rPr>
              <w:t>at, the Annual Meeting.</w:t>
            </w:r>
          </w:p>
        </w:tc>
      </w:tr>
      <w:tr>
        <w:trPr>
          <w:trHeight w:val="418"/>
        </w:trPr>
        <w:tc>
          <w:tcPr>
            <w:tcW w:w="1640" w:type="dxa"/>
            <w:vAlign w:val="bottom"/>
          </w:tcPr>
          <w:p>
            <w:pPr>
              <w:spacing w:after="0"/>
              <w:rPr>
                <w:sz w:val="20"/>
                <w:szCs w:val="20"/>
                <w:color w:val="auto"/>
              </w:rPr>
            </w:pPr>
            <w:r>
              <w:rPr>
                <w:rFonts w:ascii="Arial" w:cs="Arial" w:eastAsia="Arial" w:hAnsi="Arial"/>
                <w:sz w:val="18"/>
                <w:szCs w:val="18"/>
                <w:b w:val="1"/>
                <w:bCs w:val="1"/>
                <w:color w:val="auto"/>
              </w:rPr>
              <w:t>Proxy voting</w:t>
            </w:r>
          </w:p>
        </w:tc>
        <w:tc>
          <w:tcPr>
            <w:tcW w:w="9780" w:type="dxa"/>
            <w:vAlign w:val="bottom"/>
            <w:gridSpan w:val="2"/>
          </w:tcPr>
          <w:p>
            <w:pPr>
              <w:ind w:left="320"/>
              <w:spacing w:after="0"/>
              <w:rPr>
                <w:sz w:val="20"/>
                <w:szCs w:val="20"/>
                <w:color w:val="auto"/>
              </w:rPr>
            </w:pPr>
            <w:r>
              <w:rPr>
                <w:rFonts w:ascii="Arial" w:cs="Arial" w:eastAsia="Arial" w:hAnsi="Arial"/>
                <w:sz w:val="18"/>
                <w:szCs w:val="18"/>
                <w:color w:val="auto"/>
                <w:w w:val="95"/>
              </w:rPr>
              <w:t>All shareholders are cordially invited to attend the meeting and vote in person. However, to ensure your representation at the</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20"/>
              <w:spacing w:after="0"/>
              <w:rPr>
                <w:sz w:val="20"/>
                <w:szCs w:val="20"/>
                <w:color w:val="auto"/>
              </w:rPr>
            </w:pPr>
            <w:r>
              <w:rPr>
                <w:rFonts w:ascii="Arial" w:cs="Arial" w:eastAsia="Arial" w:hAnsi="Arial"/>
                <w:sz w:val="18"/>
                <w:szCs w:val="18"/>
                <w:color w:val="auto"/>
                <w:w w:val="90"/>
              </w:rPr>
              <w:t>meeting, you are urged to vote as promptly as possible, whether via the Internet, by telephone, or, by marking, signing, dating, and</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20"/>
              <w:spacing w:after="0"/>
              <w:rPr>
                <w:sz w:val="20"/>
                <w:szCs w:val="20"/>
                <w:color w:val="auto"/>
              </w:rPr>
            </w:pPr>
            <w:r>
              <w:rPr>
                <w:rFonts w:ascii="Arial" w:cs="Arial" w:eastAsia="Arial" w:hAnsi="Arial"/>
                <w:sz w:val="18"/>
                <w:szCs w:val="18"/>
                <w:color w:val="auto"/>
                <w:w w:val="92"/>
              </w:rPr>
              <w:t>returning the enclosed proxy in the postage-prepaid envelope enclosed for that purpose. Any shareholder attending the meeting</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20"/>
              <w:spacing w:after="0"/>
              <w:rPr>
                <w:sz w:val="20"/>
                <w:szCs w:val="20"/>
                <w:color w:val="auto"/>
              </w:rPr>
            </w:pPr>
            <w:r>
              <w:rPr>
                <w:rFonts w:ascii="Arial" w:cs="Arial" w:eastAsia="Arial" w:hAnsi="Arial"/>
                <w:sz w:val="18"/>
                <w:szCs w:val="18"/>
                <w:color w:val="auto"/>
                <w:w w:val="90"/>
              </w:rPr>
              <w:t>may vote in person even if such shareholder has previously submitted a proxy. If you need to obtain directions on how to attend the</w:t>
            </w:r>
          </w:p>
        </w:tc>
      </w:tr>
      <w:tr>
        <w:trPr>
          <w:trHeight w:val="230"/>
        </w:trPr>
        <w:tc>
          <w:tcPr>
            <w:tcW w:w="1640" w:type="dxa"/>
            <w:vAlign w:val="bottom"/>
          </w:tcPr>
          <w:p>
            <w:pPr>
              <w:spacing w:after="0"/>
              <w:rPr>
                <w:sz w:val="20"/>
                <w:szCs w:val="20"/>
                <w:color w:val="auto"/>
              </w:rPr>
            </w:pPr>
          </w:p>
        </w:tc>
        <w:tc>
          <w:tcPr>
            <w:tcW w:w="9780" w:type="dxa"/>
            <w:vAlign w:val="bottom"/>
            <w:gridSpan w:val="2"/>
          </w:tcPr>
          <w:p>
            <w:pPr>
              <w:ind w:left="320"/>
              <w:spacing w:after="0"/>
              <w:rPr>
                <w:sz w:val="20"/>
                <w:szCs w:val="20"/>
                <w:color w:val="auto"/>
              </w:rPr>
            </w:pPr>
            <w:r>
              <w:rPr>
                <w:rFonts w:ascii="Arial" w:cs="Arial" w:eastAsia="Arial" w:hAnsi="Arial"/>
                <w:sz w:val="18"/>
                <w:szCs w:val="18"/>
                <w:color w:val="auto"/>
              </w:rPr>
              <w:t>Annual Meeting and vote in person, please contact our corporate offices at +1 (801) 975-7200.</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540" w:type="dxa"/>
            <w:vAlign w:val="bottom"/>
          </w:tcPr>
          <w:p>
            <w:pPr>
              <w:ind w:left="320"/>
              <w:spacing w:after="0"/>
              <w:rPr>
                <w:sz w:val="20"/>
                <w:szCs w:val="20"/>
                <w:color w:val="auto"/>
              </w:rPr>
            </w:pPr>
            <w:r>
              <w:rPr>
                <w:rFonts w:ascii="Arial" w:cs="Arial" w:eastAsia="Arial" w:hAnsi="Arial"/>
                <w:sz w:val="18"/>
                <w:szCs w:val="18"/>
                <w:color w:val="auto"/>
              </w:rPr>
              <w:t>1.</w:t>
            </w:r>
          </w:p>
        </w:tc>
        <w:tc>
          <w:tcPr>
            <w:tcW w:w="9240" w:type="dxa"/>
            <w:vAlign w:val="bottom"/>
          </w:tcPr>
          <w:p>
            <w:pPr>
              <w:ind w:left="100"/>
              <w:spacing w:after="0"/>
              <w:rPr>
                <w:sz w:val="20"/>
                <w:szCs w:val="20"/>
                <w:color w:val="auto"/>
              </w:rPr>
            </w:pPr>
            <w:r>
              <w:rPr>
                <w:rFonts w:ascii="Arial" w:cs="Arial" w:eastAsia="Arial" w:hAnsi="Arial"/>
                <w:sz w:val="18"/>
                <w:szCs w:val="18"/>
                <w:color w:val="auto"/>
              </w:rPr>
              <w:t>To elect four members of our Board of Directors;</w:t>
            </w:r>
          </w:p>
        </w:tc>
      </w:tr>
      <w:tr>
        <w:trPr>
          <w:trHeight w:val="432"/>
        </w:trPr>
        <w:tc>
          <w:tcPr>
            <w:tcW w:w="164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2.</w:t>
            </w:r>
          </w:p>
        </w:tc>
        <w:tc>
          <w:tcPr>
            <w:tcW w:w="9240" w:type="dxa"/>
            <w:vAlign w:val="bottom"/>
          </w:tcPr>
          <w:p>
            <w:pPr>
              <w:ind w:left="100"/>
              <w:spacing w:after="0"/>
              <w:rPr>
                <w:sz w:val="20"/>
                <w:szCs w:val="20"/>
                <w:color w:val="auto"/>
              </w:rPr>
            </w:pPr>
            <w:r>
              <w:rPr>
                <w:rFonts w:ascii="Arial" w:cs="Arial" w:eastAsia="Arial" w:hAnsi="Arial"/>
                <w:sz w:val="18"/>
                <w:szCs w:val="18"/>
                <w:color w:val="auto"/>
              </w:rPr>
              <w:t>To ratify the appointment of our independent public accountants;</w:t>
            </w:r>
          </w:p>
        </w:tc>
      </w:tr>
      <w:tr>
        <w:trPr>
          <w:trHeight w:val="418"/>
        </w:trPr>
        <w:tc>
          <w:tcPr>
            <w:tcW w:w="164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3.</w:t>
            </w:r>
          </w:p>
        </w:tc>
        <w:tc>
          <w:tcPr>
            <w:tcW w:w="9240" w:type="dxa"/>
            <w:vAlign w:val="bottom"/>
          </w:tcPr>
          <w:p>
            <w:pPr>
              <w:ind w:left="100"/>
              <w:spacing w:after="0"/>
              <w:rPr>
                <w:sz w:val="20"/>
                <w:szCs w:val="20"/>
                <w:color w:val="auto"/>
              </w:rPr>
            </w:pPr>
            <w:r>
              <w:rPr>
                <w:rFonts w:ascii="Arial" w:cs="Arial" w:eastAsia="Arial" w:hAnsi="Arial"/>
                <w:sz w:val="18"/>
                <w:szCs w:val="18"/>
                <w:color w:val="auto"/>
                <w:w w:val="98"/>
              </w:rPr>
              <w:t>To approve, by non-binding advisory vote, the compensation of our named executive officers as described under the</w:t>
            </w:r>
          </w:p>
        </w:tc>
      </w:tr>
      <w:tr>
        <w:trPr>
          <w:trHeight w:val="216"/>
        </w:trPr>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40" w:type="dxa"/>
            <w:vAlign w:val="bottom"/>
          </w:tcPr>
          <w:p>
            <w:pPr>
              <w:ind w:left="100"/>
              <w:spacing w:after="0"/>
              <w:rPr>
                <w:sz w:val="20"/>
                <w:szCs w:val="20"/>
                <w:color w:val="auto"/>
              </w:rPr>
            </w:pPr>
            <w:r>
              <w:rPr>
                <w:rFonts w:ascii="Arial" w:cs="Arial" w:eastAsia="Arial" w:hAnsi="Arial"/>
                <w:sz w:val="18"/>
                <w:szCs w:val="18"/>
                <w:color w:val="auto"/>
                <w:w w:val="94"/>
              </w:rPr>
              <w:t>“Compensation Discussion and Analysis” and “Executive Compensation” headings of this Proxy Statement accompanying</w:t>
            </w:r>
          </w:p>
        </w:tc>
      </w:tr>
      <w:tr>
        <w:trPr>
          <w:trHeight w:val="230"/>
        </w:trPr>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40" w:type="dxa"/>
            <w:vAlign w:val="bottom"/>
          </w:tcPr>
          <w:p>
            <w:pPr>
              <w:ind w:left="100"/>
              <w:spacing w:after="0"/>
              <w:rPr>
                <w:sz w:val="20"/>
                <w:szCs w:val="20"/>
                <w:color w:val="auto"/>
              </w:rPr>
            </w:pPr>
            <w:r>
              <w:rPr>
                <w:rFonts w:ascii="Arial" w:cs="Arial" w:eastAsia="Arial" w:hAnsi="Arial"/>
                <w:sz w:val="18"/>
                <w:szCs w:val="18"/>
                <w:color w:val="auto"/>
              </w:rPr>
              <w:t>this Notice of 2017 Annual Meeting of Shareholders;</w:t>
            </w:r>
          </w:p>
        </w:tc>
      </w:tr>
      <w:tr>
        <w:trPr>
          <w:trHeight w:val="432"/>
        </w:trPr>
        <w:tc>
          <w:tcPr>
            <w:tcW w:w="164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4.</w:t>
            </w:r>
          </w:p>
        </w:tc>
        <w:tc>
          <w:tcPr>
            <w:tcW w:w="9240" w:type="dxa"/>
            <w:vAlign w:val="bottom"/>
          </w:tcPr>
          <w:p>
            <w:pPr>
              <w:ind w:left="100"/>
              <w:spacing w:after="0"/>
              <w:rPr>
                <w:sz w:val="20"/>
                <w:szCs w:val="20"/>
                <w:color w:val="auto"/>
              </w:rPr>
            </w:pPr>
            <w:r>
              <w:rPr>
                <w:rFonts w:ascii="Arial" w:cs="Arial" w:eastAsia="Arial" w:hAnsi="Arial"/>
                <w:sz w:val="18"/>
                <w:szCs w:val="18"/>
                <w:color w:val="auto"/>
              </w:rPr>
              <w:t>To transact such other business as may properly come before the meeting or any adjournment thereof.</w:t>
            </w:r>
          </w:p>
        </w:tc>
      </w:tr>
      <w:tr>
        <w:trPr>
          <w:trHeight w:val="432"/>
        </w:trPr>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40" w:type="dxa"/>
            <w:vAlign w:val="bottom"/>
          </w:tcPr>
          <w:p>
            <w:pPr>
              <w:ind w:left="100"/>
              <w:spacing w:after="0"/>
              <w:rPr>
                <w:sz w:val="20"/>
                <w:szCs w:val="20"/>
                <w:color w:val="auto"/>
              </w:rPr>
            </w:pPr>
            <w:r>
              <w:rPr>
                <w:rFonts w:ascii="Arial" w:cs="Arial" w:eastAsia="Arial" w:hAnsi="Arial"/>
                <w:sz w:val="18"/>
                <w:szCs w:val="18"/>
                <w:color w:val="auto"/>
              </w:rPr>
              <w:t>The items of business are more fully described in the proxy statement accompanying this notice.</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2944495</wp:posOffset>
            </wp:positionH>
            <wp:positionV relativeFrom="page">
              <wp:posOffset>431800</wp:posOffset>
            </wp:positionV>
            <wp:extent cx="168084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80845" cy="394335"/>
                    </a:xfrm>
                    <a:prstGeom prst="rect">
                      <a:avLst/>
                    </a:prstGeom>
                    <a:noFill/>
                  </pic:spPr>
                </pic:pic>
              </a:graphicData>
            </a:graphic>
          </wp:anchor>
        </w:drawing>
      </w:r>
    </w:p>
    <w:p>
      <w:pPr>
        <w:jc w:val="both"/>
        <w:spacing w:after="0" w:line="303"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2017 Annual Meeting of Shareholders to be held on April 27, 2017. </w:t>
      </w:r>
      <w:r>
        <w:rPr>
          <w:rFonts w:ascii="Arial" w:cs="Arial" w:eastAsia="Arial" w:hAnsi="Arial"/>
          <w:sz w:val="16"/>
          <w:szCs w:val="16"/>
          <w:color w:val="auto"/>
        </w:rPr>
        <w:t>Because</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elected to utilize the “full set delivery” option, we are delivering to all shareholders, paper copies of all of our proxy materials, including a proxy card, as well as providing access to our proxy materials on a publicly accessible website. Our Proxy Statement and Annual Report for the fiscal year ended December 31, 2016 are available on our corporate website and may be accessed at http://www.clearone.com under “Investor Relations”</w:t>
      </w:r>
      <w:r>
        <w:rPr>
          <w:rFonts w:ascii="Arial" w:cs="Arial" w:eastAsia="Arial" w:hAnsi="Arial"/>
          <w:sz w:val="16"/>
          <w:szCs w:val="16"/>
          <w:i w:val="1"/>
          <w:iCs w:val="1"/>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92646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64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5, 2017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2" w:name="page3"/>
    <w:bookmarkEnd w:id="2"/>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2936240</wp:posOffset>
            </wp:positionH>
            <wp:positionV relativeFrom="page">
              <wp:posOffset>448945</wp:posOffset>
            </wp:positionV>
            <wp:extent cx="1689735"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89735"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2017 Proxy Statement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proxy statement is solicited by and on behalf of the Board of Directors of ClearOne, Inc., a Utah corporation (hereinafter referred to as the “Company,” “ClearOne,” “we,” “us” or “our”), for use at the Annual Meeting of Shareholders (the “Annual Meeting”), to be held on April 27, 2017 at 5225 Wiley Post Way, Suite 500, Salt Lake City, UT 84116, at 9:30 A.M. local time, or at any continuations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proxy solicitation materials will be distributed on or about April 6, 2017 to all shareholders entitled to vote at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REGARDING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this Proxy Statement and accompanying Proxy?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with full power of substitution as proxies for the Annual Meeting. These officers are Zeynep Hakimoglu and Narsi Narayanan.</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purpose of the Annual Meeting is to: (i) elect four directors; (ii) ratify the appointment of Tanner LLC as our independent public accountants for the year ending December 31, 2017; (iii) approve, by non-binding advisory vote, the compensation of our named executive officers as described under the headings “Compensation Discussion and Analysis” and “Executive Compensation;” and (iv) to transact any such other business that properly comes before the Annual Meeting (each a “Proposal,” and collectively, the “Proposals”). Although the Board of Directors does not anticipate that any other issues will come before the Annual Meeting, your completed and executed proxy gives the official proxies the right to vote your shares that you are entitled to vote in their discretion on any other matter properly brought before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record date for voting at the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record date for purposes of determining the number of outstanding shares of our common stock eligible to vote at the Annual Meeting, and for determining the shareholders entitled to vote at the Annual Meeting, is the close of business on March 27, 2017 (the “Record Date”). As of the Record Date, 8,741,214 shares of common stock were issued and outstanding. No other series of stock is outstanding. Holders of the shares of common stock have no preemptive rights. The transfer agent for the common stock 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Broadridge Corporate Issuer Solutions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 Box 1342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Brentwood, NY 11717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(877) 830-4936.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quorum must be present at the meeting in order for the shareholders to take official action. Under Utah law and our Articles of Incorporation and Bylaws, a quorum will exist if a majority of the total number of shares entitled to vote are present, in person or by proxy. Abstentions and broker non-votes, which are described below, will be counted as “represented” for the purpose of determining the presence or absence of a quorum.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 and how is it counted?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both"/>
        <w:ind w:firstLine="648"/>
        <w:spacing w:after="0" w:line="264" w:lineRule="auto"/>
        <w:rPr>
          <w:sz w:val="20"/>
          <w:szCs w:val="20"/>
          <w:color w:val="auto"/>
        </w:rPr>
      </w:pPr>
      <w:r>
        <w:rPr>
          <w:rFonts w:ascii="Arial" w:cs="Arial" w:eastAsia="Arial" w:hAnsi="Arial"/>
          <w:sz w:val="18"/>
          <w:szCs w:val="18"/>
          <w:color w:val="auto"/>
        </w:rPr>
        <w:t>The broker can register your shares as present at the Annual Meeting for purposes of attendance and obtaining a quorum, but will not be able to vote on those matters for which specific authorization is required. Similar to abstentions, broker non-votes are not considered a vote cast. Broker non-votes will have no effect on the voting of Proposals one through three that are on the agenda to be presented at the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routine matters will be voted on at the Annual Meeting?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ratification of the independent public accountants is the only routine matter on which brokers may vote in their discretion on behalf of customers who have not provided voting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non-routine matters will be voted on at the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election of directors and the advisory vote on the compensation of our named executive officers are non-routine matters on which brokers are not allowed to vote unless they have received voting instructions from their customers. Your broker will not be allowed to vote your shares on any non-routine matters without your specific instructions. Accordingly, it is particularly important that beneficial owners instruct their brokers how they wish to vote their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all matters, except as otherwise provided by Utah law, each holder of common stock will be entitled to one vote for each share of common stock held on the Record Date. Assuming that a quorum is present, the votes needed to approve each Proposal are set forth below.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Proposal one: </w:t>
      </w:r>
      <w:r>
        <w:rPr>
          <w:rFonts w:ascii="Arial" w:cs="Arial" w:eastAsia="Arial" w:hAnsi="Arial"/>
          <w:sz w:val="18"/>
          <w:szCs w:val="18"/>
          <w:color w:val="auto"/>
        </w:rPr>
        <w:t>In the election of directors, shareholders will not be allowed to cumulate their votes. The election of directors will be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plurality vote.</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Proposals two and three: </w:t>
      </w:r>
      <w:r>
        <w:rPr>
          <w:rFonts w:ascii="Arial" w:cs="Arial" w:eastAsia="Arial" w:hAnsi="Arial"/>
          <w:sz w:val="18"/>
          <w:szCs w:val="18"/>
          <w:color w:val="auto"/>
        </w:rPr>
        <w:t>The Proposal to ratify the appointment of Tanner LLC as our independent public accountants for the year ending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2017, and the Proposal to approve, by non-binding advisory vote, the compensation of our named executive officers each requires that the votes cast in favor of the Proposal must exceed the votes cast against the Proposal.</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Abstentions and broker non-votes will not affect the outcome of the election of directors, the Proposal to ratify the appointment of Tanner LLC as our independent public accountants for the year ending December 31, 2017, or the advisory vote on the compensation of our named officers.</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Any other matter properly presented for approval by the shareholders at the Annual Meeting will generally be approved if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votes cast in favor of such matter exceeds the number of votes cast in opposition. With respect to any such matter, abstentions and broker non-votes are not likely to affect the outcome of a vote on such matter. We are not currently aware of any other matters to be presented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 of Director’s recommendations on the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cast their votes on the Proposals as follows: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director nominees listed in the proxy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ratification of the appointment of our independent public accountants,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by non-binding advisory vote, the approval of the compensation of our named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an “advisory” vote?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your votes with respect to approval of our named executive officer compensation is advisory, it will not be binding upon the Board. However, our Compensation Committee and the Board will take the outcomes of the votes into account when considering future executive compensation arrangements of our named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These terms describe how your shares are held. If your shares are registered directly in your name with Broadridge, our transfer agent, you are a “shareholder of record.” If your shares are held in the name of a brokerage, bank, trust or other nominee as a custodian, you are a “street name” holder.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 w:name="page5"/>
    <w:bookmarkEnd w:id="4"/>
    <w:p>
      <w:pPr>
        <w:jc w:val="both"/>
        <w:spacing w:after="0" w:line="282" w:lineRule="auto"/>
        <w:rPr>
          <w:sz w:val="20"/>
          <w:szCs w:val="20"/>
          <w:color w:val="auto"/>
        </w:rPr>
      </w:pPr>
      <w:r>
        <w:rPr>
          <w:rFonts w:ascii="Arial" w:cs="Arial" w:eastAsia="Arial" w:hAnsi="Arial"/>
          <w:sz w:val="18"/>
          <w:szCs w:val="18"/>
          <w:b w:val="1"/>
          <w:bCs w:val="1"/>
          <w:color w:val="auto"/>
        </w:rPr>
        <w:t>Will I get more than one copy of the proxy statement, annual report or Notice of Internet Availability if there are multiple shareholders at my address?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some cases, only one copy of this proxy statement, annual report or Notice of Internet Availability is being delivered to multiple shareholders sharing an address unless we have received contrary instructions from one or more of the shareholders. We will deliver promptly, upon a written or oral request, a separate copy of this proxy statement, annual report or Notice of Internet Availability to a shareholder at a shared address to which a single copy of the document was delivered. Shareholders sharing an address may also submit requests for delivery of a single copy of the proxy statement, annual report or Notice of Internet Availability, but in such event will still receive separate proxies for each account. To request separate or single delivery of these materials now or in the future, a shareholder may submit a written request to the Corporate Secretary, ClearOne, Inc., 5225 Wiley Post Way, Suite 500, Salt Lake City, Utah 84116 or a shareholder may make a request by calling the Corporate Secretary at +1 (801) 975-7200, or by contacting our transfer agent, Broadridge Corporate Issuer Solutions, P.O. Box 1342, Brentwood, NY 11717 or calling +1 (877) 830-4936.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 are a shareholder of record and hold common stock in your own name, you may give instructions on how to vote your shares of common stock by following the instructions on the proxy card or Notice of Internet Availability on how to vote over the Internet, by phone, or by mail by completing, signing, dating and returning the proxy card.</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each proposal set forth in this proxy statement. Votes will be tabulated by Broadridge.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my proxy?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revoke your proxy before the vote is taken at the Annual Meeting by:</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completing, signing and submitting a new proxy with a later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or</w:t>
      </w:r>
    </w:p>
    <w:p>
      <w:pPr>
        <w:spacing w:after="0" w:line="225" w:lineRule="exact"/>
        <w:rPr>
          <w:rFonts w:ascii="Arial" w:cs="Arial" w:eastAsia="Arial" w:hAnsi="Arial"/>
          <w:sz w:val="18"/>
          <w:szCs w:val="18"/>
          <w:color w:val="auto"/>
        </w:rPr>
      </w:pPr>
    </w:p>
    <w:p>
      <w:pPr>
        <w:ind w:left="660" w:right="3960" w:hanging="4"/>
        <w:spacing w:after="0" w:line="563" w:lineRule="auto"/>
        <w:tabs>
          <w:tab w:leader="none" w:pos="984"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a signed, written notice of revocation with the Corporate Secretary of the Company. Your attendance at the Annual Meeting will not automatically revoke your proxy.</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common stock you own is held on your behalf by a broker, bank or other nominee, you must contact the nominee to receive instructions as to how you can revoke your proxy.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obtain an additional proxy card by writing to Corporate Secretary, ClearOne, Inc., 5225 Wiley Post Way, Suite 500, Salt Lake City, Utah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84116.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will announce the preliminary voting results at the Annual Meeting and disclose the final voting results in a current report on Form 8-K filed with the SEC within four (4) business days of the date of the Annual Meeting, unless only preliminary voting results are available at that time. To the extent necessary, we will file an amended report on Form 8-K to disclose the final voting results within four business days after the final voting results are known. You may access or obtain a copy of these and our other reports filed with the SEC free of charge on our web site at http://www.clearone.com. Also, such Form 8-K, any amendments thereto and other reports we file with the SEC are available to you over the Internet at the SEC’s web site at http://www.sec.gov.</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view the shareholder list?</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 complete list of shareholders of record entitled to vote at the Annual Meeting will be available for viewing during ordinary business hours for a period of ten (10) days before the Annual Meeting at our offices located at 5225 Wiley Post Way, Suite 500, Salt Lake City, Utah 84116.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proxy solicitation related to the Annual Meeting?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bear the costs of the solicitation. The solicitation of proxies by the Board of Directors will be conducted primarily by mail and through the Internet.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How can I obtain a copy of the Annual Report?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2016 Annual Report, has been made available to shareholders with this proxy statement. You may also access or obtain a copy of our 2016 Annual Report, Form 10-K and other reports filed with the SEC free of charge on our web site at http://www.clearone.com, or at the SEC’s web site at http://www.sec.gov. The 2016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We will provide, without charge, a printed copy of our 2016 Annual Report to each shareholder of record as of the record date that requests a copy in writing. Any such requests should be directed to our Corporate Secretary at our corporate offices set forth in this proxy statement.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Articles of Incorporation and bylaws provide that our Board of Directors shall consist of not less than three or more than nine members as determined by the Board of Directors or our shareholders from time to time. The Board of Directors has currently fixed the number of directors at five. The term of each of our directors expires at the 2017 Annual Meeting. We have nominated all four out of our existing directors for election at the meeting to serve until the next Annual Meeting of Shareholders or until their respective successors are duly elected and qualified. The director nominees are Ms. Hakimoglu, Mr. Baldwin, Mr. Hendricks and Mr. Robinson.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ELECTION OF THE DIRECTOR NOMINEES NAMED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directors and nominees for directors.</w:t>
      </w:r>
    </w:p>
    <w:p>
      <w:pPr>
        <w:sectPr>
          <w:pgSz w:w="11900" w:h="16838" w:orient="portrait"/>
          <w:cols w:equalWidth="0" w:num="1">
            <w:col w:w="11420"/>
          </w:cols>
          <w:pgMar w:left="240" w:top="688" w:right="239" w:bottom="1440"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Age</w:t>
            </w:r>
          </w:p>
        </w:tc>
        <w:tc>
          <w:tcPr>
            <w:tcW w:w="100" w:type="dxa"/>
            <w:vAlign w:val="bottom"/>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42"/>
        </w:trPr>
        <w:tc>
          <w:tcPr>
            <w:tcW w:w="2760" w:type="dxa"/>
            <w:vAlign w:val="bottom"/>
            <w:gridSpan w:val="2"/>
          </w:tcPr>
          <w:p>
            <w:pPr>
              <w:spacing w:after="0"/>
              <w:rPr>
                <w:sz w:val="20"/>
                <w:szCs w:val="20"/>
                <w:color w:val="auto"/>
              </w:rPr>
            </w:pPr>
            <w:r>
              <w:rPr>
                <w:rFonts w:ascii="Arial" w:cs="Arial" w:eastAsia="Arial" w:hAnsi="Arial"/>
                <w:sz w:val="18"/>
                <w:szCs w:val="18"/>
                <w:color w:val="auto"/>
              </w:rPr>
              <w:t>Zeynep “Zee” Hakimoglu</w:t>
            </w:r>
          </w:p>
        </w:tc>
        <w:tc>
          <w:tcPr>
            <w:tcW w:w="820" w:type="dxa"/>
            <w:vAlign w:val="bottom"/>
          </w:tcPr>
          <w:p>
            <w:pPr>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6160" w:type="dxa"/>
            <w:vAlign w:val="bottom"/>
          </w:tcPr>
          <w:p>
            <w:pPr>
              <w:spacing w:after="0" w:line="242" w:lineRule="exact"/>
              <w:rPr>
                <w:sz w:val="20"/>
                <w:szCs w:val="20"/>
                <w:color w:val="auto"/>
              </w:rPr>
            </w:pPr>
            <w:r>
              <w:rPr>
                <w:rFonts w:ascii="Arial" w:cs="Arial" w:eastAsia="Arial" w:hAnsi="Arial"/>
                <w:sz w:val="17"/>
                <w:szCs w:val="17"/>
                <w:color w:val="auto"/>
              </w:rPr>
              <w:t xml:space="preserve">Chairman, Chief Executive Officer, and President </w:t>
            </w:r>
            <w:r>
              <w:rPr>
                <w:rFonts w:ascii="Arial" w:cs="Arial" w:eastAsia="Arial" w:hAnsi="Arial"/>
                <w:sz w:val="28"/>
                <w:szCs w:val="28"/>
                <w:color w:val="auto"/>
                <w:vertAlign w:val="superscript"/>
              </w:rPr>
              <w:t>(4)</w:t>
            </w:r>
          </w:p>
        </w:tc>
      </w:tr>
      <w:tr>
        <w:trPr>
          <w:trHeight w:val="257"/>
        </w:trPr>
        <w:tc>
          <w:tcPr>
            <w:tcW w:w="2760" w:type="dxa"/>
            <w:vAlign w:val="bottom"/>
            <w:gridSpan w:val="2"/>
          </w:tcPr>
          <w:p>
            <w:pPr>
              <w:spacing w:after="0"/>
              <w:rPr>
                <w:sz w:val="20"/>
                <w:szCs w:val="20"/>
                <w:color w:val="auto"/>
              </w:rPr>
            </w:pPr>
            <w:r>
              <w:rPr>
                <w:rFonts w:ascii="Arial" w:cs="Arial" w:eastAsia="Arial" w:hAnsi="Arial"/>
                <w:sz w:val="18"/>
                <w:szCs w:val="18"/>
                <w:color w:val="auto"/>
              </w:rPr>
              <w:t>Brad R. Baldwin</w:t>
            </w:r>
          </w:p>
        </w:tc>
        <w:tc>
          <w:tcPr>
            <w:tcW w:w="820" w:type="dxa"/>
            <w:vAlign w:val="bottom"/>
          </w:tcPr>
          <w:p>
            <w:pPr>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6160" w:type="dxa"/>
            <w:vAlign w:val="bottom"/>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r>
      <w:tr>
        <w:trPr>
          <w:trHeight w:val="257"/>
        </w:trPr>
        <w:tc>
          <w:tcPr>
            <w:tcW w:w="2760" w:type="dxa"/>
            <w:vAlign w:val="bottom"/>
            <w:gridSpan w:val="2"/>
          </w:tcPr>
          <w:p>
            <w:pPr>
              <w:spacing w:after="0"/>
              <w:rPr>
                <w:sz w:val="20"/>
                <w:szCs w:val="20"/>
                <w:color w:val="auto"/>
              </w:rPr>
            </w:pPr>
            <w:r>
              <w:rPr>
                <w:rFonts w:ascii="Arial" w:cs="Arial" w:eastAsia="Arial" w:hAnsi="Arial"/>
                <w:sz w:val="18"/>
                <w:szCs w:val="18"/>
                <w:color w:val="auto"/>
              </w:rPr>
              <w:t>Larry R. Hendricks</w:t>
            </w:r>
          </w:p>
        </w:tc>
        <w:tc>
          <w:tcPr>
            <w:tcW w:w="820" w:type="dxa"/>
            <w:vAlign w:val="bottom"/>
          </w:tcPr>
          <w:p>
            <w:pPr>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6160" w:type="dxa"/>
            <w:vAlign w:val="bottom"/>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r>
      <w:tr>
        <w:trPr>
          <w:trHeight w:val="471"/>
        </w:trPr>
        <w:tc>
          <w:tcPr>
            <w:tcW w:w="2760" w:type="dxa"/>
            <w:vAlign w:val="bottom"/>
            <w:gridSpan w:val="2"/>
          </w:tcPr>
          <w:p>
            <w:pPr>
              <w:spacing w:after="0"/>
              <w:rPr>
                <w:sz w:val="20"/>
                <w:szCs w:val="20"/>
                <w:color w:val="auto"/>
              </w:rPr>
            </w:pPr>
            <w:r>
              <w:rPr>
                <w:rFonts w:ascii="Arial" w:cs="Arial" w:eastAsia="Arial" w:hAnsi="Arial"/>
                <w:sz w:val="18"/>
                <w:szCs w:val="18"/>
                <w:color w:val="auto"/>
              </w:rPr>
              <w:t>Eric L. Robinson</w:t>
            </w:r>
          </w:p>
        </w:tc>
        <w:tc>
          <w:tcPr>
            <w:tcW w:w="820" w:type="dxa"/>
            <w:vAlign w:val="bottom"/>
          </w:tcPr>
          <w:p>
            <w:pPr>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36"/>
                <w:szCs w:val="36"/>
                <w:color w:val="auto"/>
                <w:vertAlign w:val="subscript"/>
              </w:rPr>
              <w:t>Director</w:t>
            </w:r>
            <w:r>
              <w:rPr>
                <w:rFonts w:ascii="Arial" w:cs="Arial" w:eastAsia="Arial" w:hAnsi="Arial"/>
                <w:sz w:val="15"/>
                <w:szCs w:val="15"/>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97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the Audit and Compliance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the Nominating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Officer since July 2004; Director since April 2006; Chairman of the Board since July 2007.</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9347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See Note 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1988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375" w:lineRule="exact"/>
        <w:rPr>
          <w:sz w:val="20"/>
          <w:szCs w:val="20"/>
          <w:color w:val="auto"/>
        </w:rPr>
      </w:pPr>
    </w:p>
    <w:p>
      <w:pPr>
        <w:sectPr>
          <w:pgSz w:w="11900" w:h="16838" w:orient="portrait"/>
          <w:cols w:equalWidth="0" w:num="2">
            <w:col w:w="9840" w:space="100"/>
            <w:col w:w="1480"/>
          </w:cols>
          <w:pgMar w:left="240" w:top="688" w:right="239" w:bottom="1440" w:gutter="0" w:footer="0" w:header="0"/>
          <w:type w:val="continuous"/>
        </w:sectPr>
      </w:pPr>
    </w:p>
    <w:p>
      <w:pPr>
        <w:spacing w:after="0" w:line="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Zeynep Hakimoglu </w:t>
      </w:r>
      <w:r>
        <w:rPr>
          <w:rFonts w:ascii="Arial" w:cs="Arial" w:eastAsia="Arial" w:hAnsi="Arial"/>
          <w:sz w:val="16"/>
          <w:szCs w:val="16"/>
          <w:color w:val="auto"/>
        </w:rPr>
        <w:t>is our President, Chief Executive Officer and Chairman. She joined our company in December 2003 as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Line Management and was appointed President and Chief Executive Officer in July 2004; she has served as a director of our company since April 2006 and was named Chairman of the Board in July 2007. Prior to joining ClearOne, Ms. Hakimoglu has held senior executive level positions for a variety of high-tech Silicon Valley firms in such areas as business development, product marketing, engineering and product-line management. She served as Vice President of Product Line Management for Oplink Communications, a publicly traded developer of fiber optic subsystems and components, from December 2001 to December 2002; and, President of OZ Optics USA, a manufacturer of fiber optic test equipment and components, from August 2000 to November 2001. From October 1998 to August 2000, she was Vice President of Business Development for Kaifa Technology and was instrumental in its acquisition by E-Tek Dynamics and later by JDS Uniphase. Through these acquisitions, she held the role of Deputy General Manager of the Kaifa Technology business unit. From May 1982 until it was acquired in September 1996, Ms. Hakimoglu held various positions including Vice President of Wireless Engineering and Vice President of the Wireless Business Unit for Aydin Corp., a global telecommunications equipment company that formerly traded on the New York Stock Exchange.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6" w:name="page7"/>
    <w:bookmarkEnd w:id="6"/>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Brad R. Baldwin </w:t>
      </w:r>
      <w:r>
        <w:rPr>
          <w:rFonts w:ascii="Arial" w:cs="Arial" w:eastAsia="Arial" w:hAnsi="Arial"/>
          <w:sz w:val="17"/>
          <w:szCs w:val="17"/>
          <w:color w:val="auto"/>
        </w:rPr>
        <w:t>has served as a director of our company since October 1988, and was appointed “lead independent director” in 2013. Mr. Baldwin</w:t>
      </w:r>
      <w:r>
        <w:rPr>
          <w:rFonts w:ascii="Arial" w:cs="Arial" w:eastAsia="Arial" w:hAnsi="Arial"/>
          <w:sz w:val="17"/>
          <w:szCs w:val="17"/>
          <w:b w:val="1"/>
          <w:bCs w:val="1"/>
          <w:color w:val="auto"/>
        </w:rPr>
        <w:t xml:space="preserve"> </w:t>
      </w:r>
      <w:r>
        <w:rPr>
          <w:rFonts w:ascii="Arial" w:cs="Arial" w:eastAsia="Arial" w:hAnsi="Arial"/>
          <w:sz w:val="17"/>
          <w:szCs w:val="17"/>
          <w:color w:val="auto"/>
        </w:rPr>
        <w:t>is an attorney licensed to practice in Utah. He is currently employed as President and CEO of First Utah Bank, a full service commercial and community bank headquartered in Salt Lake City, Utah. Prior to that, Mr. Baldwin served as general counsel to the Wasatch Front Regional Multiple Listing Service (“WFRMLS”), which provided data and real estate services to over 10,000 real estate brokers, agents and appraisers in Utah. From 2001 to 2009, he served as an attorney and investment real estate specialist with Commerce CRG in Salt Lake City, Utah. From 1988 to 2000, he served as legal counsel and president of Banc One, Utah, a full service commercial bank owned by Banc One Corporation.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and financial services background and unique understanding of our business due to his long service on our Board, the Board has concluded that Mr. Baldwin should continue to serve as a director.</w:t>
      </w:r>
    </w:p>
    <w:p>
      <w:pPr>
        <w:spacing w:after="0" w:line="17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Larry R. Hendricks </w:t>
      </w:r>
      <w:r>
        <w:rPr>
          <w:rFonts w:ascii="Arial" w:cs="Arial" w:eastAsia="Arial" w:hAnsi="Arial"/>
          <w:sz w:val="16"/>
          <w:szCs w:val="16"/>
          <w:color w:val="auto"/>
        </w:rPr>
        <w:t>has served as a director of our company since June 2003. Mr. Hendricks is a Certified Public Accountant who retired in</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 Hendricks’ background in finance and accounting and his deep understanding of our business due to his long service on our Board, the Board has concluded Mr. Hendricks should continue to serve as a director.</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Eric L. Robinson </w:t>
      </w:r>
      <w:r>
        <w:rPr>
          <w:rFonts w:ascii="Arial" w:cs="Arial" w:eastAsia="Arial" w:hAnsi="Arial"/>
          <w:sz w:val="17"/>
          <w:szCs w:val="17"/>
          <w:color w:val="auto"/>
        </w:rPr>
        <w:t>has served as a director of our company since July 2015. Mr. Robinson spent fourteen years in private practice as a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 including eleven years as a partner in the Salt Lake City, Utah law firm of Blackburn &amp; Stoll, LC. Mr. Robinson’s law practice focused on securities, corporate and other business transactions. Mr. Robinson has been principally employed as General Counsel, Chief Financial Officer and director of MicroPower Global Limited, a development stage company in the semiconductor business since 2009. He is also employed as General Counsel and Chief Financial Officer of ActiveCare, a public company that provides diabetes monitoring services. Mr. Robinson also maintains a small law practice. He also served as General Counsel, Chief Financial Officer and a director to a genetic research company from 2008 until 2015. Mr. Robinson previously acted as General Counsel and Chief Financial Officer to a commercial construction company from 2007 until 2008 which had revenues in excess of $100 million during his tenure. His legal practice includes working with companies in connection with public and private offerings of securities, corporate partnering, mergers and acquisitions, licensing and technology transfer and compensation planning.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 In light of Mr. Robinson’s legal and financial background, the Board has concluded that Mr. Robinson should continue to serve as a director.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Corporate Governance and the Board of Directors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determined, after considering all the relevant facts and circumstances, that Messrs. Baldwin, Hendricks and Robinson are independent directors, as “independence” is defined by the listing standards of NASDAQ. This determination was made because Messrs. Baldwin, Hendricks and Robinson have no relationship with us that would interfere with their exercise of independent judgment.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of Directors has an Audit and Compliance Committee, a Compensation Committee, and a Nominating Committee, each consisting entirely of independent directors.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has adopted charters for the Audit and Compliance, Compensation and Nominating Committees describing the authority and responsibilities delegated to each committee by the Board. We post on our website at http://www.clearone.com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Board Leadership Structure; Lead Independent Director</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 The Board believes our current management structure, with Zeynep Hakimoglu serving as Chairman and Chief Executive Officer, is the optimal 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The Board believes the combined role of Chief Executive Officer and Chairman, together with a Board whose majority of directors are independent and the current Lead Independent Director, provides the appropriate balance between independent oversight of management and the development of strategy.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independent directors have selected Mr. Brad Baldwin to serve as the Board of Directors’ lead independent director. The lead independent director chairs all meetings of the non-employee and independent directors of the Board of Directors, including executive sessions. Interested parties who would like to contact Mr. Baldwin, or the non-employee or independent directors, on a confidential basis, may do so by mailing a written communication to Lead Independent Director, ClearOne, Inc., 5225 Wiley Post Way, Suite 500, Salt Lake City, Utah 84116.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Audit and Compliance Committee. </w:t>
      </w:r>
      <w:r>
        <w:rPr>
          <w:rFonts w:ascii="Arial" w:cs="Arial" w:eastAsia="Arial" w:hAnsi="Arial"/>
          <w:sz w:val="18"/>
          <w:szCs w:val="18"/>
          <w:color w:val="auto"/>
        </w:rPr>
        <w:t>The Audit and Compliance Committee meets to review and discuss our accounting practices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members of the Audit and Compliance Committee are Eric L. Robinson (Chairman), Brad R. Baldwin and Larry R. Hendricks.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Eric L. Robinson is an “audit committee financial expert” in accordance with applicable rules and regulations of the SEC.</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Committee is responsible for overseeing, reviewing, and approving our executive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Brad R. Baldwin (Chairman), Larry R. Hendricks and Eric L. Robinson.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Nominating Committee. </w:t>
      </w:r>
      <w:r>
        <w:rPr>
          <w:rFonts w:ascii="Arial" w:cs="Arial" w:eastAsia="Arial" w:hAnsi="Arial"/>
          <w:sz w:val="18"/>
          <w:szCs w:val="18"/>
          <w:color w:val="auto"/>
        </w:rPr>
        <w:t>The Nominating Committee is responsible for overseeing the nomination of our directors. The Nominating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selects, evaluates, and recommends to the full Board of Directors qualified candidates for election to the Board of Directors. The members of the Nominating Committee are Larry R. Hendricks (Chairman), Brad R. Baldwin, and Eric L. Robinson.</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All of the current nominees for director were recommended by the Nominating Committee and nominated by the Board of Directors. All director nominees have consented to serve as directors, if elected, until the next Annual Meeting of Shareholders or until their successors are elected and qualified and have consented to be named as nominees.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held a total of twelve meetings in 2016.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current Board of Directors attended the 2016 Annual Meeting of Shareholders.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2016, the Audit and Compliance Committee held nine meetings, the Compensation Committee held eight meetings, and the Nominating Committee held two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adopted a code of ethics that applies to our Board of Directors, executive officers, and employees. The Company’s Code of Ethics is posted on our website at http://www.clearone.com.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2016, we believe that each person who, at any time during such fiscal year was a director, officer, or beneficial owner of more than 10% of our common stock complied with all Section 16(a) filing requirements during such period, except for the following: (i) Larry R. Hendricks, a director, filed a Form 4 on June 7, 2016 that was late by one day to report a sale of 5,000 shares of our common stock on June 2, 2016; (ii) Edward D Bagley, a beneficial owner of more than 10% of our common stock filed a Form 4 on August 17, 2016 that was late by two days to report a grant of options to purchase 10,000 shares of our common stock on August 12, 2016; and (iii) Edward D Bagley also filed a Form 4 on March 28, 2017 that was late by 173 days to report the purchase of 834 shares of our common stock upon the exercise of stock options on October 4,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our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Officer</w:t>
            </w:r>
          </w:p>
        </w:tc>
      </w:tr>
      <w:tr>
        <w:trPr>
          <w:trHeight w:val="241"/>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Age</w:t>
            </w:r>
          </w:p>
        </w:tc>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800" w:type="dxa"/>
            <w:vAlign w:val="bottom"/>
          </w:tcPr>
          <w:p>
            <w:pPr>
              <w:spacing w:after="0"/>
              <w:rPr>
                <w:sz w:val="20"/>
                <w:szCs w:val="20"/>
                <w:color w:val="auto"/>
              </w:rPr>
            </w:pPr>
            <w:r>
              <w:rPr>
                <w:rFonts w:ascii="Arial" w:cs="Arial" w:eastAsia="Arial" w:hAnsi="Arial"/>
                <w:sz w:val="18"/>
                <w:szCs w:val="18"/>
                <w:b w:val="1"/>
                <w:bCs w:val="1"/>
                <w:color w:val="auto"/>
              </w:rPr>
              <w:t>Since</w:t>
            </w:r>
          </w:p>
        </w:tc>
      </w:tr>
      <w:tr>
        <w:trPr>
          <w:trHeight w:val="202"/>
        </w:trPr>
        <w:tc>
          <w:tcPr>
            <w:tcW w:w="20" w:type="dxa"/>
            <w:vAlign w:val="bottom"/>
          </w:tcPr>
          <w:p>
            <w:pPr>
              <w:spacing w:after="0"/>
              <w:rPr>
                <w:sz w:val="17"/>
                <w:szCs w:val="17"/>
                <w:color w:val="auto"/>
              </w:rPr>
            </w:pPr>
          </w:p>
        </w:tc>
        <w:tc>
          <w:tcPr>
            <w:tcW w:w="2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Zeynep Hakimoglu</w:t>
            </w:r>
          </w:p>
        </w:tc>
        <w:tc>
          <w:tcPr>
            <w:tcW w:w="140" w:type="dxa"/>
            <w:vAlign w:val="bottom"/>
          </w:tcPr>
          <w:p>
            <w:pPr>
              <w:spacing w:after="0"/>
              <w:rPr>
                <w:sz w:val="17"/>
                <w:szCs w:val="17"/>
                <w:color w:val="auto"/>
              </w:rPr>
            </w:pPr>
          </w:p>
        </w:tc>
        <w:tc>
          <w:tcPr>
            <w:tcW w:w="900" w:type="dxa"/>
            <w:vAlign w:val="bottom"/>
            <w:tcBorders>
              <w:top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63</w:t>
            </w:r>
          </w:p>
        </w:tc>
        <w:tc>
          <w:tcPr>
            <w:tcW w:w="120" w:type="dxa"/>
            <w:vAlign w:val="bottom"/>
          </w:tcPr>
          <w:p>
            <w:pPr>
              <w:spacing w:after="0"/>
              <w:rPr>
                <w:sz w:val="17"/>
                <w:szCs w:val="17"/>
                <w:color w:val="auto"/>
              </w:rPr>
            </w:pPr>
          </w:p>
        </w:tc>
        <w:tc>
          <w:tcPr>
            <w:tcW w:w="6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Chief Executive Officer, and President</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rPr>
              <w:t>2004</w:t>
            </w: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Narsi Narayanan</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Senior Vice President of Finance and Corporate Secretary</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2009</w:t>
            </w:r>
          </w:p>
        </w:tc>
      </w:tr>
      <w:tr>
        <w:trPr>
          <w:trHeight w:val="230"/>
        </w:trPr>
        <w:tc>
          <w:tcPr>
            <w:tcW w:w="2880" w:type="dxa"/>
            <w:vAlign w:val="bottom"/>
            <w:gridSpan w:val="3"/>
          </w:tcPr>
          <w:p>
            <w:pPr>
              <w:spacing w:after="0"/>
              <w:rPr>
                <w:sz w:val="20"/>
                <w:szCs w:val="20"/>
                <w:color w:val="auto"/>
              </w:rPr>
            </w:pPr>
            <w:r>
              <w:rPr>
                <w:rFonts w:ascii="Arial" w:cs="Arial" w:eastAsia="Arial" w:hAnsi="Arial"/>
                <w:sz w:val="18"/>
                <w:szCs w:val="18"/>
                <w:color w:val="auto"/>
              </w:rPr>
              <w:t>Michael J. Braithwaite</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Senior Vice President - Network Streaming Business</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2009</w:t>
            </w:r>
          </w:p>
        </w:tc>
      </w:tr>
      <w:tr>
        <w:trPr>
          <w:trHeight w:val="439"/>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For the biography of Ms. Hakimoglu, see “Directors and Nominees for Director.”</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Narsi Narayanan </w:t>
      </w:r>
      <w:r>
        <w:rPr>
          <w:rFonts w:ascii="Arial" w:cs="Arial" w:eastAsia="Arial" w:hAnsi="Arial"/>
          <w:sz w:val="18"/>
          <w:szCs w:val="18"/>
          <w:color w:val="auto"/>
        </w:rPr>
        <w:t>(now serving as Senior Vice President of Finance) has served as our Vice President of Finance since July 2009 and has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two decades of professional experience in the areas of 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Michael Braithwaite </w:t>
      </w:r>
      <w:r>
        <w:rPr>
          <w:rFonts w:ascii="Arial" w:cs="Arial" w:eastAsia="Arial" w:hAnsi="Arial"/>
          <w:sz w:val="17"/>
          <w:szCs w:val="17"/>
          <w:color w:val="auto"/>
        </w:rPr>
        <w:t>(the co-founder and former CTO of NetStreams, Inc.) served as CTO of NetStreams from 2002 until he joined us in November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2009. He has served as the Senior Vice President of our Network Streaming Business since January 2014 and served as Chief Strategy Officer prior to that. Mr. Braithwaite has led a distinguished twenty-plus-year career as a visionary, disruptive innovator, and proven leader in the professional audio and consumer electronics industries. He has authored more than forty U.S. and International patents and patents pending. Before his service at NetStreams, Inc., Mr. Braithwaite was a product and market manager for Crestron Electronics where he worked on highly successful audio and video distribution products. He has served on several industry technical committees including the AVnu (AVB), Consumer Electronic Association (CEA) where he co-chaired the working group and co-authored the </w:t>
      </w:r>
      <w:r>
        <w:rPr>
          <w:rFonts w:ascii="Arial" w:cs="Arial" w:eastAsia="Arial" w:hAnsi="Arial"/>
          <w:sz w:val="17"/>
          <w:szCs w:val="17"/>
          <w:color w:val="252525"/>
        </w:rPr>
        <w:t>ANSI/CEA-2030 Multi-Room Audio Cabling Standard.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Compensation Committee of the Board of Directors is responsible for establishing and implementing our compensation philosophy, as detailed below. The Compensation Committee reviews and approves all of our compensation policies, including executive officer salaries, bonuses and equity incentive compensation. The Compensation Committee has designed the Company’s executive compensation programs with the goal of paying total compensation to the executive officers that is fair, reasonable, competitive, and includes incentives that are designed to appropriately drive corporate performance.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reviews and approves the annual compensation for our executive officers. The Compensation Committee may retain the services of an independent compensation consultant or research firm with respect to compensation of all named executive officers. The Compensation Committee did not retain a consultant for any of the years from 2014 to 2016. In addition, the Compensation Committee considers recommendations from the Chief Executive Officer with respect to other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Philosophy and Objectives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“pay-for-performance” philosophy is among the fundamental tenets of our executive compensation program. We have adopted an approach to compensation comprised of a mix of short-term and long-term components that are designed to provide proper incentives and to reward our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objectives for executive officers are as follows:</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attract and retain highly qualified individuals capable of making significant contributions to the long-term success of our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use incentive compensation to reinforce strategic performance objectives;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align the interest of our executives with the interests of our shareholders such that the risks and rewards of strategic decisions are shared; and</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reflect the value of each officer’s position in the marketplace and within our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Compensation Committee is responsible for administering our compensation practices. Our Compensation Committee was appointed by our Board of Directors, and consists entirely of directors who are “outside directors” for purposes of Section 162(m) of the Code, and non-employee directors for purposes of Rule 16b-3 under the Exchange Act. Under its charter, the Compensation Committee may delegate authority to subcommittees of the Compensation Committee or to executive officers of the Company, particularly the Chief Executive Officer with respect to compensation determinations for persons who are not executive officers of the Company. The members of the Compensation Committee are Brad R. Baldwin (Chairman), Larry R. Hendricks and Eric L. Robinson.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Our Compensation Committee holds meetings as necessary throughout the year.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Within the context of the overall objectives of our executive compensation philosophy, the Compensation Committee determines the specific types and amounts of compensation to be paid to each of our named executive officers based on a number of factors including:</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roles and responsibilities of our executives;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executives being compensated;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individual experience and skills of, and expected contributions from, our executives;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special accomplishments;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compensation levels of executive officers at peer companies;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executives’ historical compensation at the Company.</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Compensation Committee strives to create an overall compensation package for each executive 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salaries with a focus on the market practices for similarly situated officers at comparable companies as adjusted to reflect the individual officer’s performance. The Compensation Committee strives to make such comparisons at least once in every two years and fix salaries based on such comparison, but did not do so in 2016. In the years when such comparison is not made, salaries are adjusted from the previous year level based on Compensation Committee’s collective knowledge of the industry, region and position as well as by applying their professional judgement.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compensation decisions, including assessing the competitiveness of the total compensation structure for each named executive officer, the Compensation Committee may consider compensation data from companies that the Compensation Committee may select as comparable in terms of industry, size and location, but did not do so in 2016. The Compensation Committee may, in its discretion, review surveys and relevant articles on executive compensation practices, and may receive reports from Equilar, Inc. on chief executive officer pay strategies and trends for publicly traded small cap companies for that purpose, but did not do so in 2016. The Compensation Committee retains complete discretion with respect to the types and amounts of compensation awards each year.</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Compensation Committee establishes the criteria, and directs the implementation, of all compensation program elements for the executive officers. Generally, the salary for each named executive officer is set at the beginning of each fiscal year by the Compensation Committee. The Compensation Committee considers the Chief Executive Officer’s appraisal of other executive officers’ general performance and looks especially to performance against predetermined goals before making its decision. The Chief Executive Officer may recommend for the Compensation Committee’s approval the stock option grants and compensation related to achievement of non-quantitative goals under non-equity based incentive plans for other executive officers.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Say-on-Pay Advisory Vote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Compensation Committee balances the interests of stockholders, regulators, and other interested parties. In 2016, we sought a stockholder say-on-pay advisory vote regarding executive compensation, and approximately 93% of the votes cast were in favor of our executive compensation. The Compensation Committee viewed this vote as supportive of the Company’s overall approach to executive compensation. Due to such strong stockholder support, we did not make any material changes to our compensation policies in 2016. In accordance with the stockholder advisory vote at our 2011 annual meeting of stockholders, we intended to continue seeking a stockholder say-on-pay advisory vote regarding executive compensation on an annual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our named executive officers consists primarily of four components:</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salary;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incentive cash bonuses;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equity-based incentives;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In general, total compensation is geared to be sufficient to attract and retain excellent talent. In determining the adjustments to the compensation of our executive officers for the year ended December 31, 2016, we annually take into account the performance of each executive officer, their contributions toward the Company’s success, and the Company’s growth and stage of development.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 mix of short-term compensation (base salaries and cash incentive bonuses) and long-term compensation (equity incentive compensation) to provide a total compensation structure that is designed to achieve our pay-for-performance philosophy and our compensation objectives. We discuss each of the principal elements of our executive compensation in detail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general, the salaries are designed to provide a consistent base of income and to attract the appropriate level of talent. The Compensation Committee strives to set salaries that are in line with the salaries for executives serving in similar competitive positions in the market and generally around the median level of salaries for executives serving in similar comparable positions. The Compensation Committee did not undertake an assessment of any market data in 2016. Salaries were fixed in 2015 after the Compensation Committee reviewed surveys and relevant articles on executive compensation practices, reports from Equilar, Inc. on chief executive officer pay strategies and trends for publicly traded small cap companies, and executive compensation information for several Utah based publicly-traded companies having revenues similar to those of the Company. Salaries in 2016 were fixed by making adjustments to 2015 salaries based on the Compensation Committee’s collective knowledge of the industry, region and position as well as by applying their professional judgement.</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salaries of our executive officers are reviewed annually. We may also increase the salary of an executive officer at other times if a change in the scope of the officer’s responsibilities or for any other reason that the Compensation Committee feels appropriate to achieve the objectives outlined here. The salaries also reflect the initial base salaries that were negotiated and annual adjustments made taking into account several factors including comparable positions in the market, contributions made by the executive, role and responsibilities of the executive and past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annual salaries for our named executive officers in 2014, 2015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Principal Position</w:t>
            </w:r>
          </w:p>
        </w:tc>
        <w:tc>
          <w:tcPr>
            <w:tcW w:w="2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Zeynep Hakimoglu</w:t>
            </w:r>
          </w:p>
        </w:tc>
        <w:tc>
          <w:tcPr>
            <w:tcW w:w="24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294,442</w:t>
            </w:r>
          </w:p>
        </w:tc>
        <w:tc>
          <w:tcPr>
            <w:tcW w:w="3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279,154</w:t>
            </w:r>
          </w:p>
        </w:tc>
        <w:tc>
          <w:tcPr>
            <w:tcW w:w="5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258,960</w:t>
            </w:r>
          </w:p>
        </w:tc>
        <w:tc>
          <w:tcPr>
            <w:tcW w:w="0" w:type="dxa"/>
            <w:vAlign w:val="bottom"/>
          </w:tcPr>
          <w:p>
            <w:pPr>
              <w:spacing w:after="0"/>
              <w:rPr>
                <w:sz w:val="1"/>
                <w:szCs w:val="1"/>
                <w:color w:val="auto"/>
              </w:rPr>
            </w:pPr>
          </w:p>
        </w:tc>
      </w:tr>
      <w:tr>
        <w:trPr>
          <w:trHeight w:val="217"/>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Executive Officer and President</w:t>
            </w:r>
          </w:p>
        </w:tc>
        <w:tc>
          <w:tcPr>
            <w:tcW w:w="38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gridSpan w:val="2"/>
            <w:vMerge w:val="restart"/>
          </w:tcPr>
          <w:p>
            <w:pPr>
              <w:spacing w:after="0" w:line="195" w:lineRule="exact"/>
              <w:rPr>
                <w:sz w:val="20"/>
                <w:szCs w:val="20"/>
                <w:color w:val="auto"/>
              </w:rPr>
            </w:pPr>
            <w:r>
              <w:rPr>
                <w:rFonts w:ascii="Arial" w:cs="Arial" w:eastAsia="Arial" w:hAnsi="Arial"/>
                <w:sz w:val="18"/>
                <w:szCs w:val="18"/>
                <w:b w:val="1"/>
                <w:bCs w:val="1"/>
                <w:color w:val="auto"/>
              </w:rPr>
              <w:t>Narsi Narayanan</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177,665</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170,481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161,590</w:t>
            </w:r>
          </w:p>
        </w:tc>
        <w:tc>
          <w:tcPr>
            <w:tcW w:w="0" w:type="dxa"/>
            <w:vAlign w:val="bottom"/>
          </w:tcPr>
          <w:p>
            <w:pPr>
              <w:spacing w:after="0"/>
              <w:rPr>
                <w:sz w:val="1"/>
                <w:szCs w:val="1"/>
                <w:color w:val="auto"/>
              </w:rPr>
            </w:pPr>
          </w:p>
        </w:tc>
      </w:tr>
      <w:tr>
        <w:trPr>
          <w:trHeight w:val="21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Senior Vice President of Finance</w:t>
            </w: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Michael Braithwaite</w:t>
            </w:r>
          </w:p>
        </w:tc>
        <w:tc>
          <w:tcPr>
            <w:tcW w:w="3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50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172,665</w:t>
            </w: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167,288</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162,500</w:t>
            </w:r>
          </w:p>
        </w:tc>
        <w:tc>
          <w:tcPr>
            <w:tcW w:w="0" w:type="dxa"/>
            <w:vAlign w:val="bottom"/>
          </w:tcPr>
          <w:p>
            <w:pPr>
              <w:spacing w:after="0"/>
              <w:rPr>
                <w:sz w:val="1"/>
                <w:szCs w:val="1"/>
                <w:color w:val="auto"/>
              </w:rPr>
            </w:pPr>
          </w:p>
        </w:tc>
      </w:tr>
      <w:tr>
        <w:trPr>
          <w:trHeight w:val="217"/>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Vice President - Network Streaming Business</w:t>
            </w:r>
          </w:p>
        </w:tc>
        <w:tc>
          <w:tcPr>
            <w:tcW w:w="3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Incentive Cash Bonus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Quarterly incentive cash bonuses are designed to reward near-term operating performance and the achievement of milestones critical to our success in both the near and the long-term. Consistent with our emphasis on pay-for-performance, we have adopted an executive incentive bonus program. Executive officers will have an opportunity to earn bonuses based on the attainment of Company performance goals and a subjective analysis of individual performance that contributes to the attainment of those goals. The target bonuses and our establishment of business goals for the Company reinforces three of our compensation goals - namely, to motivate our executives toward even higher achievement and business results, to tie our executives’ goals and interests to ours and our stockholders’ and to enable us to attract and retain highly qualified individuals.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Incentive Cash Bonus Plan for Ms. Hakimoglu and Mr. Narayanan</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According to this plan pre-determined quarterly goals are set for each quarter, namely, financial goals comprising of revenue, gross margin, operating income and meeting financial reporting goals, and non-quantitative performance goals. Quarterly revenue, gross margin and operating income targets are set early in the year as part of adopting the Company’s budget for the year and these goals are seldom changed during the year except when there is a material acquisition or other event that has a significant impact on the financials of the company. Typically, these goals are set at target levels that the Compensation Committee believes will be difficult to achieve so that the full incentive bonuses are only paid when performance exceeds expectations. The Committee recognizes the difficulty to achieve these goals as these goals are often not met. Financial reporting goals which include meeting reporting deadlines are set for each quarter upon consultations with the Audit and Compliance Committee.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The targeted bonus is set at 50% of the officers’ salary for each quarter with 70% of such bonus allocated for quantitative financial goals and the remaining 30% allocated for non-quantitative performance goals. The weights for quantitative performance goals are equally split for the first three quarters of the year. For the fourth quarter of the year weights assigned to the quantitative financial goals are as follows: 20% for revenue; 20% for gross margin; 20% for operating income; and 40% for meeting financial reporting deadlines.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quarterly quantitative goal is assessed separately. A minimum of 100% of the quarterly quantitative goal must be achieved in order to earn the bonus associated with the goal. In other words, no partial credit is given if the targeted quantitative goal is not achieved. The Compensation Committee approves bonuses for the executives only after the filing of relevant financial reports on Forms 10-Q and 10-K.</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provides for increased bonus upon achieving 100% of any of the quantitative goals subject to a cap of 140% of the bonus allocated for a specific quantitative goal. For every one percent achievement above the original goal, the bonus will be increased by 4%. For illustration, if actual attainment for revenue goals exceeded the original goal for a quarter by 5%, the bonus for such goal will be increased by 20%. The Compensation Committee seldom approves increased bonus for financial reporting goal and non-quantitative performance goals.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advance of each quarter, quarterly non-quantitative performance goals for Mr. Narayanan are recommended by Ms. Hakimoglu, President and Chief Executive Officer, and approved by the Compensation Committee. Ms. Hakimoglu may at times recommend replacing an originally set performance goal with a different achievement during the quarter to address changed business priorities.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the quarterly Board of Directors review of the Company’s operations, the chief executive officer provides a detailed list of priorities and objectives for the next quarter. At the end of each quarter the Compensation Committee considers whether a bonus for the chief executive officer is appropriate in light of objectives and priorities accomplished, the Company’s overall performance, the achievement of incentive bonus targets by other members of the management team, and the Compensation Committee’s subjective assessment of the overall performance of the chief executive officer.</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Committee exercises its discretion in evaluating achievement of non-quantitative goals for the other executive officers applying both objective criteria as well as subjective criteria after consulting with Ms. Hakimoglu. The Compensation Committee often relies upon their collective knowledge of the company and applies their professional skills in evaluating the performance of the executives in achieving the non-quantitative goals.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target and actual cash incentive bonus for Mr. Narayanan and Ms. Hakimoglu in 2016 was for the five quarters beginning the third quarter of 2015 and ending with the third quarter of 2016. The Compensation Committee approves bonuses for the executives only after the filing of relevant financial reports in Forms 10-Q and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full details of bonus targets and bonus paid for Ms. Hakimoglu and Mr. Narayanan by each quarter during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20" w:type="dxa"/>
            <w:vAlign w:val="bottom"/>
            <w:gridSpan w:val="2"/>
          </w:tcPr>
          <w:p>
            <w:pPr>
              <w:ind w:left="380"/>
              <w:spacing w:after="0"/>
              <w:rPr>
                <w:sz w:val="20"/>
                <w:szCs w:val="20"/>
                <w:color w:val="auto"/>
              </w:rPr>
            </w:pPr>
            <w:r>
              <w:rPr>
                <w:rFonts w:ascii="Arial" w:cs="Arial" w:eastAsia="Arial" w:hAnsi="Arial"/>
                <w:sz w:val="18"/>
                <w:szCs w:val="18"/>
                <w:b w:val="1"/>
                <w:bCs w:val="1"/>
                <w:color w:val="auto"/>
              </w:rPr>
              <w:t>Quarter</w:t>
            </w:r>
          </w:p>
        </w:tc>
        <w:tc>
          <w:tcPr>
            <w:tcW w:w="3420" w:type="dxa"/>
            <w:vAlign w:val="bottom"/>
          </w:tcPr>
          <w:p>
            <w:pPr>
              <w:ind w:left="1520"/>
              <w:spacing w:after="0"/>
              <w:rPr>
                <w:sz w:val="20"/>
                <w:szCs w:val="20"/>
                <w:color w:val="auto"/>
              </w:rPr>
            </w:pPr>
            <w:r>
              <w:rPr>
                <w:rFonts w:ascii="Arial" w:cs="Arial" w:eastAsia="Arial" w:hAnsi="Arial"/>
                <w:sz w:val="18"/>
                <w:szCs w:val="18"/>
                <w:b w:val="1"/>
                <w:bCs w:val="1"/>
                <w:color w:val="auto"/>
              </w:rPr>
              <w:t>Goal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Zeynep Hakimoglu</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ind w:left="640"/>
              <w:spacing w:after="0"/>
              <w:rPr>
                <w:sz w:val="20"/>
                <w:szCs w:val="20"/>
                <w:color w:val="auto"/>
              </w:rPr>
            </w:pPr>
            <w:r>
              <w:rPr>
                <w:rFonts w:ascii="Arial" w:cs="Arial" w:eastAsia="Arial" w:hAnsi="Arial"/>
                <w:sz w:val="18"/>
                <w:szCs w:val="18"/>
                <w:b w:val="1"/>
                <w:bCs w:val="1"/>
                <w:color w:val="auto"/>
              </w:rPr>
              <w:t>Narsi Narayanan</w:t>
            </w:r>
          </w:p>
        </w:tc>
      </w:tr>
      <w:tr>
        <w:trPr>
          <w:trHeight w:val="237"/>
        </w:trPr>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87"/>
              </w:rPr>
              <w:t>Bonus Target</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Bonus Paid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7"/>
              </w:rPr>
              <w:t>Bonus Target</w:t>
            </w: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Bonus Paid</w:t>
            </w:r>
          </w:p>
        </w:tc>
        <w:tc>
          <w:tcPr>
            <w:tcW w:w="100" w:type="dxa"/>
            <w:vAlign w:val="bottom"/>
          </w:tcPr>
          <w:p>
            <w:pPr>
              <w:spacing w:after="0"/>
              <w:rPr>
                <w:sz w:val="20"/>
                <w:szCs w:val="20"/>
                <w:color w:val="auto"/>
              </w:rPr>
            </w:pPr>
          </w:p>
        </w:tc>
      </w:tr>
      <w:tr>
        <w:trPr>
          <w:trHeight w:val="216"/>
        </w:trPr>
        <w:tc>
          <w:tcPr>
            <w:tcW w:w="1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2015-Q3</w:t>
            </w: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6,344</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3,828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Financial Reporting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6,344</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6,344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3,828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3,828</w:t>
            </w:r>
          </w:p>
        </w:tc>
      </w:tr>
      <w:tr>
        <w:trPr>
          <w:trHeight w:val="290"/>
        </w:trPr>
        <w:tc>
          <w:tcPr>
            <w:tcW w:w="1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Non-Quantitative</w:t>
            </w:r>
            <w:r>
              <w:rPr>
                <w:rFonts w:ascii="Arial" w:cs="Arial" w:eastAsia="Arial" w:hAnsi="Arial"/>
                <w:sz w:val="30"/>
                <w:szCs w:val="30"/>
                <w:color w:val="auto"/>
                <w:vertAlign w:val="superscript"/>
              </w:rPr>
              <w:t>1</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10,875</w:t>
            </w: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10,875</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6,563</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w:t>
            </w:r>
          </w:p>
        </w:tc>
      </w:tr>
      <w:tr>
        <w:trPr>
          <w:trHeight w:val="210"/>
        </w:trPr>
        <w:tc>
          <w:tcPr>
            <w:tcW w:w="13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34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36,250</w:t>
            </w:r>
          </w:p>
        </w:tc>
        <w:tc>
          <w:tcPr>
            <w:tcW w:w="3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17,219</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21,875</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9,078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2015-Q4</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5,075</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5,075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Financial Reporting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10,150</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10,150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6,125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6,125</w:t>
            </w:r>
          </w:p>
        </w:tc>
      </w:tr>
      <w:tr>
        <w:trPr>
          <w:trHeight w:val="257"/>
        </w:trPr>
        <w:tc>
          <w:tcPr>
            <w:tcW w:w="1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Non-Quantitative</w:t>
            </w:r>
            <w:r>
              <w:rPr>
                <w:rFonts w:ascii="Arial" w:cs="Arial" w:eastAsia="Arial" w:hAnsi="Arial"/>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10,875</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6,563</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6,563</w:t>
            </w:r>
          </w:p>
        </w:tc>
      </w:tr>
      <w:tr>
        <w:trPr>
          <w:trHeight w:val="237"/>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Discretionary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r>
        <w:trPr>
          <w:trHeight w:val="236"/>
        </w:trPr>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36,250</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1620" w:type="dxa"/>
            <w:vAlign w:val="bottom"/>
            <w:gridSpan w:val="2"/>
          </w:tcPr>
          <w:p>
            <w:pPr>
              <w:spacing w:after="0" w:line="203" w:lineRule="exact"/>
              <w:rPr>
                <w:sz w:val="20"/>
                <w:szCs w:val="20"/>
                <w:color w:val="auto"/>
              </w:rPr>
            </w:pPr>
            <w:r>
              <w:rPr>
                <w:rFonts w:ascii="Arial" w:cs="Arial" w:eastAsia="Arial" w:hAnsi="Arial"/>
                <w:sz w:val="18"/>
                <w:szCs w:val="18"/>
                <w:color w:val="auto"/>
              </w:rPr>
              <w:t>2016-Q1</w:t>
            </w:r>
          </w:p>
        </w:tc>
        <w:tc>
          <w:tcPr>
            <w:tcW w:w="3420" w:type="dxa"/>
            <w:vAlign w:val="bottom"/>
          </w:tcPr>
          <w:p>
            <w:pPr>
              <w:spacing w:after="0" w:line="203" w:lineRule="exact"/>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6,344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3,828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16"/>
        </w:trPr>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6,343</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3,828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Financial Reporting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3,828</w:t>
            </w:r>
          </w:p>
        </w:tc>
      </w:tr>
      <w:tr>
        <w:trPr>
          <w:trHeight w:val="257"/>
        </w:trPr>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20" w:type="dxa"/>
            <w:vAlign w:val="bottom"/>
          </w:tcPr>
          <w:p>
            <w:pPr>
              <w:spacing w:after="0" w:line="256" w:lineRule="exact"/>
              <w:rPr>
                <w:sz w:val="20"/>
                <w:szCs w:val="20"/>
                <w:color w:val="auto"/>
              </w:rPr>
            </w:pPr>
            <w:r>
              <w:rPr>
                <w:rFonts w:ascii="Arial" w:cs="Arial" w:eastAsia="Arial" w:hAnsi="Arial"/>
                <w:sz w:val="18"/>
                <w:szCs w:val="18"/>
                <w:color w:val="auto"/>
              </w:rPr>
              <w:t>Non-Quantitative</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10,875</w:t>
            </w:r>
          </w:p>
        </w:tc>
        <w:tc>
          <w:tcPr>
            <w:tcW w:w="12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10,865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6,563</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3,281</w:t>
            </w:r>
          </w:p>
        </w:tc>
      </w:tr>
      <w:tr>
        <w:trPr>
          <w:trHeight w:val="290"/>
        </w:trPr>
        <w:tc>
          <w:tcPr>
            <w:tcW w:w="1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Other</w:t>
            </w:r>
            <w:r>
              <w:rPr>
                <w:rFonts w:ascii="Arial" w:cs="Arial" w:eastAsia="Arial" w:hAnsi="Arial"/>
                <w:sz w:val="30"/>
                <w:szCs w:val="30"/>
                <w:color w:val="auto"/>
                <w:vertAlign w:val="superscript"/>
              </w:rPr>
              <w:t>4</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w:t>
            </w:r>
          </w:p>
        </w:tc>
      </w:tr>
      <w:tr>
        <w:trPr>
          <w:trHeight w:val="210"/>
        </w:trPr>
        <w:tc>
          <w:tcPr>
            <w:tcW w:w="1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36,250</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23,772</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21,875</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11,145</w:t>
            </w:r>
          </w:p>
        </w:tc>
        <w:tc>
          <w:tcPr>
            <w:tcW w:w="100" w:type="dxa"/>
            <w:vAlign w:val="bottom"/>
            <w:tcBorders>
              <w:top w:val="single" w:sz="8" w:color="CCEEFF"/>
            </w:tcBorders>
          </w:tcPr>
          <w:p>
            <w:pPr>
              <w:spacing w:after="0"/>
              <w:rPr>
                <w:sz w:val="18"/>
                <w:szCs w:val="18"/>
                <w:color w:val="auto"/>
              </w:rPr>
            </w:pPr>
          </w:p>
        </w:tc>
      </w:tr>
      <w:tr>
        <w:trPr>
          <w:trHeight w:val="439"/>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20" w:type="dxa"/>
            <w:vAlign w:val="bottom"/>
            <w:gridSpan w:val="2"/>
          </w:tcPr>
          <w:p>
            <w:pPr>
              <w:ind w:left="380"/>
              <w:spacing w:after="0"/>
              <w:rPr>
                <w:sz w:val="20"/>
                <w:szCs w:val="20"/>
                <w:color w:val="auto"/>
              </w:rPr>
            </w:pPr>
            <w:r>
              <w:rPr>
                <w:rFonts w:ascii="Arial" w:cs="Arial" w:eastAsia="Arial" w:hAnsi="Arial"/>
                <w:sz w:val="18"/>
                <w:szCs w:val="18"/>
                <w:b w:val="1"/>
                <w:bCs w:val="1"/>
                <w:color w:val="auto"/>
              </w:rPr>
              <w:t>Quarter</w:t>
            </w:r>
          </w:p>
        </w:tc>
        <w:tc>
          <w:tcPr>
            <w:tcW w:w="3760" w:type="dxa"/>
            <w:vAlign w:val="bottom"/>
            <w:gridSpan w:val="3"/>
          </w:tcPr>
          <w:p>
            <w:pPr>
              <w:ind w:left="1520"/>
              <w:spacing w:after="0"/>
              <w:rPr>
                <w:sz w:val="20"/>
                <w:szCs w:val="20"/>
                <w:color w:val="auto"/>
              </w:rPr>
            </w:pPr>
            <w:r>
              <w:rPr>
                <w:rFonts w:ascii="Arial" w:cs="Arial" w:eastAsia="Arial" w:hAnsi="Arial"/>
                <w:sz w:val="18"/>
                <w:szCs w:val="18"/>
                <w:b w:val="1"/>
                <w:bCs w:val="1"/>
                <w:color w:val="auto"/>
              </w:rPr>
              <w:t>Goal</w:t>
            </w:r>
          </w:p>
        </w:tc>
        <w:tc>
          <w:tcPr>
            <w:tcW w:w="29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Zeynep Hakimoglu</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7"/>
          </w:tcPr>
          <w:p>
            <w:pPr>
              <w:ind w:left="640"/>
              <w:spacing w:after="0"/>
              <w:rPr>
                <w:sz w:val="20"/>
                <w:szCs w:val="20"/>
                <w:color w:val="auto"/>
              </w:rPr>
            </w:pPr>
            <w:r>
              <w:rPr>
                <w:rFonts w:ascii="Arial" w:cs="Arial" w:eastAsia="Arial" w:hAnsi="Arial"/>
                <w:sz w:val="18"/>
                <w:szCs w:val="18"/>
                <w:b w:val="1"/>
                <w:bCs w:val="1"/>
                <w:color w:val="auto"/>
              </w:rPr>
              <w:t>Narsi Narayanan</w:t>
            </w:r>
          </w:p>
        </w:tc>
      </w:tr>
      <w:tr>
        <w:trPr>
          <w:trHeight w:val="223"/>
        </w:trPr>
        <w:tc>
          <w:tcPr>
            <w:tcW w:w="13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87"/>
              </w:rPr>
              <w:t>Bonus Target</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Bonus Paid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87"/>
              </w:rPr>
              <w:t>Bonus Target</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Bonus Paid</w:t>
            </w:r>
          </w:p>
        </w:tc>
        <w:tc>
          <w:tcPr>
            <w:tcW w:w="100" w:type="dxa"/>
            <w:vAlign w:val="bottom"/>
            <w:gridSpan w:val="2"/>
          </w:tcPr>
          <w:p>
            <w:pPr>
              <w:spacing w:after="0"/>
              <w:rPr>
                <w:sz w:val="19"/>
                <w:szCs w:val="19"/>
                <w:color w:val="auto"/>
              </w:rPr>
            </w:pPr>
          </w:p>
        </w:tc>
      </w:tr>
      <w:tr>
        <w:trPr>
          <w:trHeight w:val="216"/>
        </w:trPr>
        <w:tc>
          <w:tcPr>
            <w:tcW w:w="1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2016-Q2</w:t>
            </w:r>
          </w:p>
        </w:tc>
        <w:tc>
          <w:tcPr>
            <w:tcW w:w="3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Gross Margin</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6,344</w:t>
            </w:r>
          </w:p>
        </w:tc>
        <w:tc>
          <w:tcPr>
            <w:tcW w:w="1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3,828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Financial Reporting</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6,344</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6,344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3,828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3,828</w:t>
            </w:r>
          </w:p>
        </w:tc>
        <w:tc>
          <w:tcPr>
            <w:tcW w:w="80" w:type="dxa"/>
            <w:vAlign w:val="bottom"/>
          </w:tcPr>
          <w:p>
            <w:pPr>
              <w:spacing w:after="0"/>
              <w:rPr>
                <w:sz w:val="18"/>
                <w:szCs w:val="18"/>
                <w:color w:val="auto"/>
              </w:rPr>
            </w:pPr>
          </w:p>
        </w:tc>
      </w:tr>
      <w:tr>
        <w:trPr>
          <w:trHeight w:val="263"/>
        </w:trPr>
        <w:tc>
          <w:tcPr>
            <w:tcW w:w="1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76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Non-Quantitative</w:t>
            </w:r>
            <w:r>
              <w:rPr>
                <w:rFonts w:ascii="Arial" w:cs="Arial" w:eastAsia="Arial" w:hAnsi="Arial"/>
                <w:sz w:val="28"/>
                <w:szCs w:val="28"/>
                <w:color w:val="auto"/>
                <w:vertAlign w:val="superscript"/>
              </w:rPr>
              <w:t>5</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10,875</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6,563</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5,906</w:t>
            </w:r>
          </w:p>
        </w:tc>
        <w:tc>
          <w:tcPr>
            <w:tcW w:w="80" w:type="dxa"/>
            <w:vAlign w:val="bottom"/>
            <w:shd w:val="clear" w:color="auto" w:fill="CCEEFF"/>
          </w:tcPr>
          <w:p>
            <w:pPr>
              <w:spacing w:after="0"/>
              <w:rPr>
                <w:sz w:val="22"/>
                <w:szCs w:val="22"/>
                <w:color w:val="auto"/>
              </w:rPr>
            </w:pPr>
          </w:p>
        </w:tc>
      </w:tr>
      <w:tr>
        <w:trPr>
          <w:trHeight w:val="210"/>
        </w:trPr>
        <w:tc>
          <w:tcPr>
            <w:tcW w:w="13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34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36,250</w:t>
            </w:r>
          </w:p>
        </w:tc>
        <w:tc>
          <w:tcPr>
            <w:tcW w:w="3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17,219</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21,875</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9,734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2016-Q3</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Gross Margin</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6,518</w:t>
            </w:r>
          </w:p>
        </w:tc>
        <w:tc>
          <w:tcPr>
            <w:tcW w:w="1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3,933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6,518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Financial Reporting</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6,518</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6,518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3,933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3,933</w:t>
            </w:r>
          </w:p>
        </w:tc>
        <w:tc>
          <w:tcPr>
            <w:tcW w:w="80" w:type="dxa"/>
            <w:vAlign w:val="bottom"/>
          </w:tcPr>
          <w:p>
            <w:pPr>
              <w:spacing w:after="0"/>
              <w:rPr>
                <w:sz w:val="18"/>
                <w:szCs w:val="18"/>
                <w:color w:val="auto"/>
              </w:rPr>
            </w:pPr>
          </w:p>
        </w:tc>
      </w:tr>
      <w:tr>
        <w:trPr>
          <w:trHeight w:val="263"/>
        </w:trPr>
        <w:tc>
          <w:tcPr>
            <w:tcW w:w="1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76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Non-Quantitative</w:t>
            </w:r>
            <w:r>
              <w:rPr>
                <w:rFonts w:ascii="Arial" w:cs="Arial" w:eastAsia="Arial" w:hAnsi="Arial"/>
                <w:sz w:val="28"/>
                <w:szCs w:val="28"/>
                <w:color w:val="auto"/>
                <w:vertAlign w:val="superscript"/>
              </w:rPr>
              <w:t>6</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11,174</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6,742</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5,394</w:t>
            </w:r>
          </w:p>
        </w:tc>
        <w:tc>
          <w:tcPr>
            <w:tcW w:w="80" w:type="dxa"/>
            <w:vAlign w:val="bottom"/>
            <w:shd w:val="clear" w:color="auto" w:fill="CCEEFF"/>
          </w:tcPr>
          <w:p>
            <w:pPr>
              <w:spacing w:after="0"/>
              <w:rPr>
                <w:sz w:val="22"/>
                <w:szCs w:val="22"/>
                <w:color w:val="auto"/>
              </w:rPr>
            </w:pPr>
          </w:p>
        </w:tc>
      </w:tr>
      <w:tr>
        <w:trPr>
          <w:trHeight w:val="210"/>
        </w:trPr>
        <w:tc>
          <w:tcPr>
            <w:tcW w:w="13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34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37,246</w:t>
            </w:r>
          </w:p>
        </w:tc>
        <w:tc>
          <w:tcPr>
            <w:tcW w:w="3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15,457</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22,474</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9,327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for 2016</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Gross Margin</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30,625</w:t>
            </w:r>
          </w:p>
        </w:tc>
        <w:tc>
          <w:tcPr>
            <w:tcW w:w="1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18,479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30,622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Financial Reporting</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35,700</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35,700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21,542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21,542</w:t>
            </w:r>
          </w:p>
        </w:tc>
        <w:tc>
          <w:tcPr>
            <w:tcW w:w="8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Non-Quantitative</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54,674</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26,394</w:t>
            </w:r>
          </w:p>
        </w:tc>
        <w:tc>
          <w:tcPr>
            <w:tcW w:w="8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Discretionary</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80" w:type="dxa"/>
            <w:vAlign w:val="bottom"/>
          </w:tcPr>
          <w:p>
            <w:pPr>
              <w:spacing w:after="0"/>
              <w:rPr>
                <w:sz w:val="18"/>
                <w:szCs w:val="18"/>
                <w:color w:val="auto"/>
              </w:rPr>
            </w:pPr>
          </w:p>
        </w:tc>
      </w:tr>
      <w:tr>
        <w:trPr>
          <w:trHeight w:val="236"/>
        </w:trPr>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4,036</w:t>
            </w:r>
          </w:p>
        </w:tc>
        <w:tc>
          <w:tcPr>
            <w:tcW w:w="80" w:type="dxa"/>
            <w:vAlign w:val="bottom"/>
            <w:shd w:val="clear" w:color="auto" w:fill="CCEEFF"/>
          </w:tcPr>
          <w:p>
            <w:pPr>
              <w:spacing w:after="0"/>
              <w:rPr>
                <w:sz w:val="20"/>
                <w:szCs w:val="20"/>
                <w:color w:val="auto"/>
              </w:rPr>
            </w:pPr>
          </w:p>
        </w:tc>
      </w:tr>
      <w:tr>
        <w:trPr>
          <w:trHeight w:val="203"/>
        </w:trPr>
        <w:tc>
          <w:tcPr>
            <w:tcW w:w="13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4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182,246</w:t>
            </w:r>
          </w:p>
        </w:tc>
        <w:tc>
          <w:tcPr>
            <w:tcW w:w="3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102,192</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109,974</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59,472</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7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2015-Q3 non-quantitative goals for Mr. Narayanan were to complete a forecast for new group of products, update pricelists for products, negotiate and execute an agreement with an electronics manufacturing services provider and initiate invoicing for a new customer. 2015-Q3 non-quantitative goals recognized for Ms. Hakimoglu were leading sales and marketing activities, entering into a strategic agreement, working on a strategic project, overseeing operational and business development needs of company’s international locations, making investor presentations, achieving favorable stock performance and working with finance team on re-audit.</w:t>
      </w:r>
    </w:p>
    <w:p>
      <w:pPr>
        <w:spacing w:after="0" w:line="172"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2015-Q4 non-quantitative goals for Mr. Narayanan were to prepare for SOX audit, complete 2014 re-audit and prepare for reporting as an accelerated filer. 2015-Q4 non-quantitative goals recognized for Ms. Hakimoglu were leading sales and marketing activities, leading a strategic initiative, overseeing operational and business development needs of company’s international locations, working on stock repurchase initiative, making investor presentations, achieving favorable stock performance and working with finance team on re-audit and SOX audit.</w:t>
      </w:r>
    </w:p>
    <w:p>
      <w:pPr>
        <w:spacing w:after="0" w:line="171"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2016-Q1 non-quantitative goals for Mr. Narayanan were to work on an options-repurchase program and transition of payroll function. 2016-Q1 non-quantitative goals for Ms. Hakimoglu were meet key investors, introduce new products, sign up new distributors and lead strategic initiatives.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Bonuses in 2014-Q4 and 2013-Q4 were underpaid for the financial reporting goal. This was fixed and paid during 2016-Q1 bonus review.</w:t>
      </w:r>
    </w:p>
    <w:p>
      <w:pPr>
        <w:spacing w:after="0" w:line="23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2016-Q2 non-quantitative goals for Mr. Narayanan were to file proxy statement, evaluate a software for administering company’s options awards, initiate invoicing for a product, prepare a checklist for an accounting task and work on an international tax project. 2016-Q2 non-quantitative goals recognized for Ms. Hakimoglu were participating in a major tradeshow, increasing the video products revenue, developing business relationships with channel, making investor presentations and review internal controls.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2016-Q3 non-quantitative goals for Mr. Narayanan were to prepare a checklist for an accounting task, initiate a project for outsourcing a function, report inventory levels of key distributors to sales teams, set pricing for a new group of products and prepare long-term revenue forecasts. 2016-Q3 non-quantitative goals recognized for Ms. Hakimoglu were winning certain competitive new blue-chip customers, driving product quality, getting favorable investor reviews and continuing profitability initiatives.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Incentive Cash Bonus Plan for Mr. Braithwaite</w:t>
      </w:r>
      <w:r>
        <w:rPr>
          <w:rFonts w:ascii="Arial" w:cs="Arial" w:eastAsia="Arial" w:hAnsi="Arial"/>
          <w:sz w:val="18"/>
          <w:szCs w:val="18"/>
          <w:color w:val="auto"/>
        </w:rPr>
        <w: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Braithwaite’s compensation plan is based upon attainment of world-wide revenue of network streaming products. His revenue target is set by Ms. Hakimoglu at the beginning of each quarter. Mr. Braithwaite has to achieve at least 65% of the revenue target to be eligible for bonus. If revenue attainment is above 65% but less than 90% of the revenue target, Mr. Braithwaite gets bonus at a reduced rate of 65% of the original bonus rate. His bonus plan provides for double the bonus rate for every 1% achieved above the target revenue with no cap on the maximum bonus that he could possibly earn.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The target and actual cash incentive bonus for Mr. Braithwaite in 2016 was for the five quarters beginning the third quarter of 2015 and ending with the third quarter of 2016. Mr. Braithwaite’s targeted bonus for these five quarters was $12,500 each. Mr. Braithwaite was not paid any bonus against these targets in any of the five quarters.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Ms. Hakimoglu’s recommendation, the Compensation Committee may at its discretion award cash bonuses not exceeding $5,000 per quarter in recognition of Mr. Braithwaite’s non-revenue achievements including promoting network streaming products among channel partners, end users and internal sales teams, travelling extensively both within the U.S. and outside to provide in-depth product presentations, and supporting key projects. Mr. Braithwaite was paid discretionary cash bonus of $23,000 during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grant equity incentive awards in the form of stock options to align the interests of our executive officers with the interests of our stockholders. Our decisions regarding the amount and type of equity incentive compensation and relative weighting of these awards among total executive compensation is based on several factors including contributions made by the executive, the role and responsibilities of the executive, past performance of the executive, cumulative equity awards made to an officer, current stock prices, recent history of profitability of the equity awards, and current philosophy of the Board with respect to the impact of equity awards on common stock dilution.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Initial awards to new officers are largely based on the negotiations the Chief Executive Officer had at the time of recruiting. Typically, the Chief Executive Officer negotiates and makes an offer of employment subject to approval of the Compensation Committee.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typically made grants of equity incentive awards to our executive officers once a year. All such grants are reviewed and approved by the Compensation Committee.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date of grant and the exercise price of the awards are established on the date of final approval by the Compensation Committee in accordance with the Financial Accounting Standards Board’s Accounting Standards Codification (“ASC”) 718, “Compensation - Stock Compensation.” Exercise price is typically the closing market price of a share of our common stock on the date of the grant or in cases where grant is made to take effect on a subsequent future date, such future date. We do not have any program, plan or practice of setting the exercise price at a price less than fair market value of our common stock on the grant date. We do not have any program, plan or obligation that requires us to grant equity compensation on specified dates to our named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our year ended December 31, 2016, we made Stock Option Awards to our executive officers, as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Stock option awards provide our executive officers with the right to purchase shares of our common stock at a fixed exercise price typically for a period of up to ten years, subject to continued employment with our Company. In general, we provide our executives with service-based stock options that have gradual vesting schedules. These stock options are earned on the basis of continued service with the Company and vest over three years with one-third of the options vesting on the first anniversary of the date of grant and the remaining options vesting equally over 24 months following the first vesting date.</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certain option grants to executive officers and directors, in the event of a change in control, all of such optionee’s unvested stock options will vest and become exercisable immediately prior to the event or the closing of the transaction causing the change in control. Under the option grants, a “Change in Control” means a change in ownership or control of the Company effected through either of the following transactions: (i) 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 (ii) 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 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both"/>
        <w:spacing w:after="0" w:line="290" w:lineRule="auto"/>
        <w:rPr>
          <w:sz w:val="20"/>
          <w:szCs w:val="20"/>
          <w:color w:val="auto"/>
        </w:rPr>
      </w:pPr>
      <w:r>
        <w:rPr>
          <w:rFonts w:ascii="Arial" w:cs="Arial" w:eastAsia="Arial" w:hAnsi="Arial"/>
          <w:sz w:val="16"/>
          <w:szCs w:val="16"/>
          <w:color w:val="auto"/>
        </w:rPr>
        <w:t>We have granted stock options as incentive stock options in accordance with Section 422 of the Code, subject to the volume limitations contained in the Code, as well as non-qualified stock options. Generally, for stock options that do not qualify as incentive stock options, we are entitled to a tax deduction in the year in which the stock options are exercised equal to the difference between the exercise price and the fair market value, at the time of exercise, of the stock for which the stock option was exercised. The holders of the non-qualified stock options are generally taxed on this same amount in the year of exercise. For stock options that qualify as incentive stock options, we do not receive a tax deduction, and the holder of the stock option may receive more favorable tax treatment than he or she would for a non-qualified stock option unless the holder makes a disqualifying disposition, generally by failing to hold the stock for the period required by the Code. Historically, we have primarily granted incentive stock options to provide these potential tax benefits to our executives and because of the limited expected benefits to our company of the potential tax deductions as a result of our historical net losses.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December 12, 2014, we adopted, as approved by our stockholders, the amended and restated 2007 Equity Incentive Plan, or the ClearOne Inc. Equity Incentive Plan, that affords more flexibility to our Compensation Committee by allowing grants of a wide variety of equity awards to our key employees, directors and consultants, including non-qualified stock options, shares of restricted stock and other awards that are valued by reference to the fair market value of our common stock. This plan is designed to assist us in attracting, retaining, motivating and rewarding key employees, directors and consultants and providing long-term value for our stockholders by closely aligning the interests of these individuals with those of our stockholders.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2016, the Compensation Committee awarded stock options to Ms. Hakimoglu covering 60,000 shares; to Mr. Narayanan covering 27,500 shares; and to Mr. Braithwaite covering 8,000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Committee retains the discretion to offer other compensation to executive officers taking into account special circumstances including securing successful litigation settlements, and participating in patent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Compensation in 2016 consisted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Honorariums: </w:t>
      </w:r>
      <w:r>
        <w:rPr>
          <w:rFonts w:ascii="Arial" w:cs="Arial" w:eastAsia="Arial" w:hAnsi="Arial"/>
          <w:sz w:val="17"/>
          <w:szCs w:val="17"/>
          <w:color w:val="auto"/>
        </w:rPr>
        <w:t>$300 and $6,330 was paid to Ms. Hakimoglu and Mr. Braithwaite, respectively, as honorariums under a patenting process program.</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ClearOne stock was awarded to executive officers under a dividend equivalents plan offered to all ClearOne stock optionees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and a consultant. Under this plan, dividend equivalents were calculated at $0.10, $0.035, $0.035, $0.035 and $0.05, for each stock option outstanding in the quarters of 2014-Q4, 2015-Q1, 2015-Q2, 2015-Q3, and 2015-Q4, respectively and equivalent value of ClearOne stock awarded. Ms. Hakimoglu, Mr. Narayanan and Mr. Braithwaite received ClearOne stock under this program for dividend equivalents related to 2015-Q3 and 2015-Q4 in 2016. The amounts calculated for Ms. Hakimoglu, Mr. Narayanan and Mr. Braithwaite were $39,100, $8,925 and $2,054, respectively. The calculated dividend equivalents were awarded in the form of ClearOne stock valued at market price on the date of award of dividend equivalents. The dividend equivalents program was discontinued in 2016 after completion of the payments described above.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Dividend Equivalents termination</w:t>
      </w:r>
      <w:r>
        <w:rPr>
          <w:rFonts w:ascii="Arial" w:cs="Arial" w:eastAsia="Arial" w:hAnsi="Arial"/>
          <w:sz w:val="18"/>
          <w:szCs w:val="18"/>
          <w:color w:val="auto"/>
        </w:rPr>
        <w:t>: $50,000, $12,500 and $2,500 were paid for Ms. Hakimoglu, Mr. Narayanan and Mr. Braithwaite, respectively, as one-time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for the termination of the dividend equivalents program.</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our executive officers are eligible for benefits offered to employees generally, including life, health, disability and dental insurance and participation in our 401(k) plan. We intend to continue to maintain our current benefits for our executive officers. The Compensation Committee in its discretion may revise, amend or add to the executive officers’ benefits and perquisites if it deems it advisable. We do not believe it is necessary for the attraction or retention of executive talent to provide executive officers with a substantial amount of compensation in the form of perquisites. In 2016, no such perquisites were provided.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2016, none of our named executive officers was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Accelerated Stock Option Vesting Upon a Change in Control. </w:t>
      </w:r>
      <w:r>
        <w:rPr>
          <w:rFonts w:ascii="Arial" w:cs="Arial" w:eastAsia="Arial" w:hAnsi="Arial"/>
          <w:sz w:val="18"/>
          <w:szCs w:val="18"/>
          <w:color w:val="auto"/>
        </w:rPr>
        <w:t>For certain option grants to executive officers and directors, in the event of a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all of such optionee’s unvested stock options will vest and become exercisable immediately prior to the event or the closing of the transaction causing the change in control.</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Under the option grants, a “Change in Control” means a change in ownership or control of the Company effected through either of the following transactions: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jc w:val="both"/>
        <w:ind w:firstLine="8"/>
        <w:spacing w:after="0" w:line="25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86" w:lineRule="exact"/>
        <w:rPr>
          <w:rFonts w:ascii="Arial" w:cs="Arial" w:eastAsia="Arial" w:hAnsi="Arial"/>
          <w:sz w:val="18"/>
          <w:szCs w:val="18"/>
          <w:color w:val="auto"/>
        </w:rPr>
      </w:pPr>
    </w:p>
    <w:p>
      <w:pPr>
        <w:jc w:val="both"/>
        <w:ind w:firstLine="8"/>
        <w:spacing w:after="0" w:line="279" w:lineRule="auto"/>
        <w:tabs>
          <w:tab w:leader="none" w:pos="2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At our current stock price of about $10.00, all our named executive officers would benefit from any potential accelerated vesting of unvested stock options.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Tax Considerations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uses judgment in determining the fair value of the options awards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 Black-Scholes option pricing model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intend for our executive compensation program to comply with Section 162(m) of the Code, as well as Code Section 409A. The Compensation Committee intends for all compensation paid to the named executive officers to be tax deductible to us pursuant to Section 162(m) of the Code. Under Section 162(m) of the Code, compensation paid to the named executive officers in excess of $1,000,000 cannot be deducted by us for federal income tax purposes, unless such amounts satisfy the performance-based exception to the deduction disallowance.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409A of the Code addresses certain non-qualified deferred compensation benefits payable to our executives and provides that if such benefits do not comply with Section 409A, they will be taxable in the first year they are not subject to a substantial risk of forfeiture. In such case, our executives would be subject to regular federal income tax, interest and an additional federal income tax of 20% of the benefit includible in income. We have generally designed our executive compensation plans and agreements in a manner that complies with Section 409A.</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granted stock options as incentive stock options in accordance with Section 422 of the Code subject to the volume limitations contained in the Code. Generally, the exercise of an incentive stock option does not trigger any recognition of income or gain to the holder. If the stock is held until at least one year after the date of exercise (or two years from the date the option is granted, whichever is later), all of the gain on the sale of the stock, when recognized for income tax purposes will be capital gain, rather than ordinary income to the recipient. Consequently, we do not receive a tax deduction. For stock options that do not qualify as incentive stock options, we are entitled to a tax deduction in the year in which the stock options are exercised equal to the spread between the exercise price and the fair market value of the stock for which the stock option was exercised. The holders of the non-qualified stock options are generally taxed on this same amount in the year of exercise.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compensation paid or earned by each named executive officer for the years ended December 31, 2016,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20" w:type="dxa"/>
            <w:vAlign w:val="bottom"/>
            <w:gridSpan w:val="10"/>
          </w:tcPr>
          <w:p>
            <w:pPr>
              <w:jc w:val="right"/>
              <w:ind w:right="1320"/>
              <w:spacing w:after="0"/>
              <w:rPr>
                <w:sz w:val="20"/>
                <w:szCs w:val="20"/>
                <w:color w:val="auto"/>
              </w:rPr>
            </w:pPr>
            <w:r>
              <w:rPr>
                <w:rFonts w:ascii="Arial" w:cs="Arial" w:eastAsia="Arial" w:hAnsi="Arial"/>
                <w:sz w:val="18"/>
                <w:szCs w:val="18"/>
                <w:b w:val="1"/>
                <w:bCs w:val="1"/>
                <w:color w:val="auto"/>
                <w:w w:val="99"/>
              </w:rPr>
              <w:t>SUMMARY COMPENSATION TABLE</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Non-Equity</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Incentive Plan</w:t>
            </w:r>
          </w:p>
        </w:tc>
        <w:tc>
          <w:tcPr>
            <w:tcW w:w="18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8"/>
        </w:trPr>
        <w:tc>
          <w:tcPr>
            <w:tcW w:w="384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Salary</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80"/>
              <w:spacing w:after="0" w:line="271" w:lineRule="exact"/>
              <w:rPr>
                <w:sz w:val="20"/>
                <w:szCs w:val="20"/>
                <w:color w:val="auto"/>
              </w:rPr>
            </w:pPr>
            <w:r>
              <w:rPr>
                <w:rFonts w:ascii="Arial" w:cs="Arial" w:eastAsia="Arial" w:hAnsi="Arial"/>
                <w:sz w:val="18"/>
                <w:szCs w:val="18"/>
                <w:b w:val="1"/>
                <w:bCs w:val="1"/>
                <w:color w:val="auto"/>
                <w:w w:val="84"/>
              </w:rPr>
              <w:t>Awards</w:t>
            </w:r>
            <w:r>
              <w:rPr>
                <w:rFonts w:ascii="Arial" w:cs="Arial" w:eastAsia="Arial" w:hAnsi="Arial"/>
                <w:sz w:val="30"/>
                <w:szCs w:val="30"/>
                <w:b w:val="1"/>
                <w:bCs w:val="1"/>
                <w:color w:val="auto"/>
                <w:w w:val="84"/>
                <w:vertAlign w:val="superscript"/>
              </w:rPr>
              <w:t>(1)</w:t>
            </w:r>
          </w:p>
        </w:tc>
        <w:tc>
          <w:tcPr>
            <w:tcW w:w="1780" w:type="dxa"/>
            <w:vAlign w:val="bottom"/>
            <w:gridSpan w:val="4"/>
          </w:tcPr>
          <w:p>
            <w:pPr>
              <w:ind w:left="160"/>
              <w:spacing w:after="0" w:line="271" w:lineRule="exact"/>
              <w:rPr>
                <w:sz w:val="20"/>
                <w:szCs w:val="20"/>
                <w:color w:val="auto"/>
              </w:rPr>
            </w:pPr>
            <w:r>
              <w:rPr>
                <w:rFonts w:ascii="Arial" w:cs="Arial" w:eastAsia="Arial" w:hAnsi="Arial"/>
                <w:sz w:val="18"/>
                <w:szCs w:val="18"/>
                <w:b w:val="1"/>
                <w:bCs w:val="1"/>
                <w:color w:val="auto"/>
              </w:rPr>
              <w:t>Compensation</w:t>
            </w:r>
            <w:r>
              <w:rPr>
                <w:rFonts w:ascii="Arial" w:cs="Arial" w:eastAsia="Arial" w:hAnsi="Arial"/>
                <w:sz w:val="30"/>
                <w:szCs w:val="30"/>
                <w:b w:val="1"/>
                <w:bCs w:val="1"/>
                <w:color w:val="auto"/>
                <w:vertAlign w:val="superscript"/>
              </w:rPr>
              <w:t>(2)</w:t>
            </w:r>
          </w:p>
        </w:tc>
        <w:tc>
          <w:tcPr>
            <w:tcW w:w="144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w w:val="94"/>
              </w:rPr>
              <w:t>Compensation</w:t>
            </w:r>
            <w:r>
              <w:rPr>
                <w:rFonts w:ascii="Arial" w:cs="Arial" w:eastAsia="Arial" w:hAnsi="Arial"/>
                <w:sz w:val="30"/>
                <w:szCs w:val="30"/>
                <w:b w:val="1"/>
                <w:bCs w:val="1"/>
                <w:color w:val="auto"/>
                <w:w w:val="94"/>
                <w:vertAlign w:val="superscript"/>
              </w:rPr>
              <w:t>(3)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2"/>
        </w:trPr>
        <w:tc>
          <w:tcPr>
            <w:tcW w:w="38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 xml:space="preserve">Zeynep Hakimoglu - </w:t>
            </w:r>
            <w:r>
              <w:rPr>
                <w:rFonts w:ascii="Arial" w:cs="Arial" w:eastAsia="Arial" w:hAnsi="Arial"/>
                <w:sz w:val="18"/>
                <w:szCs w:val="18"/>
                <w:color w:val="auto"/>
                <w:w w:val="96"/>
              </w:rPr>
              <w:t>Chief Executive Officer and</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President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294,442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258,390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102,192</w:t>
            </w:r>
          </w:p>
        </w:tc>
        <w:tc>
          <w:tcPr>
            <w:tcW w:w="3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89,400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744,424</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279,154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59,895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88,200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427,249</w:t>
            </w:r>
          </w:p>
        </w:tc>
        <w:tc>
          <w:tcPr>
            <w:tcW w:w="100" w:type="dxa"/>
            <w:vAlign w:val="bottom"/>
            <w:shd w:val="clear" w:color="auto" w:fill="CCEEFF"/>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258,960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181,600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109,247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549,807</w:t>
            </w:r>
          </w:p>
        </w:tc>
        <w:tc>
          <w:tcPr>
            <w:tcW w:w="100" w:type="dxa"/>
            <w:vAlign w:val="bottom"/>
          </w:tcPr>
          <w:p>
            <w:pPr>
              <w:spacing w:after="0"/>
              <w:rPr>
                <w:sz w:val="19"/>
                <w:szCs w:val="19"/>
                <w:color w:val="auto"/>
              </w:rPr>
            </w:pPr>
          </w:p>
        </w:tc>
      </w:tr>
      <w:tr>
        <w:trPr>
          <w:trHeight w:val="188"/>
        </w:trPr>
        <w:tc>
          <w:tcPr>
            <w:tcW w:w="38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 xml:space="preserve">Narsi Narayanan - </w:t>
            </w:r>
            <w:r>
              <w:rPr>
                <w:rFonts w:ascii="Arial" w:cs="Arial" w:eastAsia="Arial" w:hAnsi="Arial"/>
                <w:sz w:val="18"/>
                <w:szCs w:val="18"/>
                <w:color w:val="auto"/>
              </w:rPr>
              <w:t>Senior Vice President of</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Finance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177,665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118,081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59,472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21,425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376,643</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170,481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31,210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230,791</w:t>
            </w:r>
          </w:p>
        </w:tc>
        <w:tc>
          <w:tcPr>
            <w:tcW w:w="100" w:type="dxa"/>
            <w:vAlign w:val="bottom"/>
            <w:shd w:val="clear" w:color="auto" w:fill="CCEEFF"/>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161,590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90,800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61,922</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314,312</w:t>
            </w:r>
          </w:p>
        </w:tc>
        <w:tc>
          <w:tcPr>
            <w:tcW w:w="100" w:type="dxa"/>
            <w:vAlign w:val="bottom"/>
          </w:tcPr>
          <w:p>
            <w:pPr>
              <w:spacing w:after="0"/>
              <w:rPr>
                <w:sz w:val="19"/>
                <w:szCs w:val="19"/>
                <w:color w:val="auto"/>
              </w:rPr>
            </w:pPr>
          </w:p>
        </w:tc>
      </w:tr>
      <w:tr>
        <w:trPr>
          <w:trHeight w:val="188"/>
        </w:trPr>
        <w:tc>
          <w:tcPr>
            <w:tcW w:w="38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 xml:space="preserve">Michael Braithwaite - </w:t>
            </w:r>
            <w:r>
              <w:rPr>
                <w:rFonts w:ascii="Arial" w:cs="Arial" w:eastAsia="Arial" w:hAnsi="Arial"/>
                <w:sz w:val="18"/>
                <w:szCs w:val="18"/>
                <w:color w:val="auto"/>
              </w:rPr>
              <w:t>Senior Vice President -</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Network Streaming Business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172,665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32,640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23,000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10,884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239,189</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167,288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247,470</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162,500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36,329</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200,629</w:t>
            </w:r>
          </w:p>
        </w:tc>
        <w:tc>
          <w:tcPr>
            <w:tcW w:w="100" w:type="dxa"/>
            <w:vAlign w:val="bottom"/>
          </w:tcPr>
          <w:p>
            <w:pPr>
              <w:spacing w:after="0"/>
              <w:rPr>
                <w:sz w:val="18"/>
                <w:szCs w:val="18"/>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jc w:val="both"/>
        <w:ind w:left="660" w:hanging="652"/>
        <w:spacing w:after="0" w:line="30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The assumptions made in the valuation of our option awards and the material terms of option awards are disclosed in Note 9 - Share Based Payments in our Notes to Consolidated Financial Statements included in Part IV of the Form 10-K for the year ended December 31, 2016.</w:t>
      </w:r>
    </w:p>
    <w:p>
      <w:pPr>
        <w:spacing w:after="0" w:line="154" w:lineRule="exact"/>
        <w:rPr>
          <w:rFonts w:ascii="Arial" w:cs="Arial" w:eastAsia="Arial" w:hAnsi="Arial"/>
          <w:sz w:val="16"/>
          <w:szCs w:val="16"/>
          <w:color w:val="auto"/>
        </w:rPr>
      </w:pPr>
    </w:p>
    <w:p>
      <w:pPr>
        <w:jc w:val="both"/>
        <w:ind w:left="660" w:hanging="652"/>
        <w:spacing w:after="0" w:line="28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Non-Equity Incentive Plan Compensation for Ms. Hakimoglu and Mr. Narayanan is based upon the achievement of pre-determined quarterly goals, namely, financial goals comprising of revenue, gross margin, operating income and meeting reporting deadlines, and non-quantitative performance goals. Mr. Braithwaite’s compensation plan is based upon attainment of revenue of a certain product group. Non-quantitative goals varied for each executive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by the other two executive officers. Compensation under the non-equity incentive plan for Ms. Hakimoglu and Mr. Narayanan is calculated by assigning 70% weight to financial goals and 30% to non-quantitative goals. Ms. Hakimoglu’s compensation for the year ended December 31, 2016 included $35,700 for achieving financial goals, $52,429 for achieving non-quantitative goals, $7,500 paid as discretionary bonus and $6,563 paid as compensation for bonus underpaid in previous years, for the year ended December 31, 2015 included $24,895 for achieving financial goals and $35,000 for achieving non-quantitative goals and for the year ended December 31, 2014 included $46,741 for achieving financial goals and $62,506 for achieving non-quantitative goals. Mr. Narayanan’s compensation for the year ended December 31, 2016 included $21,542 for achieving financial goals, $26,394 for achieving non-quantitative goals, $7,500 paid as discretionary bonus and $4,036 paid as compensation for bonus underpaid in previous years, for the year ended December 31, 2015 included $15,395 for achieving financial goals and $15,815 for achieving non-quantitative goals and for the year ended December 31, 2014 included $28,914 for achieving financial goals and $33,008 for achieving non-quantitative goals. Mr. Braithwaite’s compensation for the year ended December 31, 2016 was entirely for achieving non-revenue goals, for the year ended December 31, 2015 included $7,500 for achieving revenue goals and $16,500 for achieving non-revenue goals, and for the year ended December 31, 2014 included 29,743 for achieving financials goals and $6,586 for achieving non-quantitative goals.</w:t>
      </w:r>
    </w:p>
    <w:p>
      <w:pPr>
        <w:spacing w:after="0" w:line="391" w:lineRule="exact"/>
        <w:rPr>
          <w:rFonts w:ascii="Arial" w:cs="Arial" w:eastAsia="Arial" w:hAnsi="Arial"/>
          <w:sz w:val="16"/>
          <w:szCs w:val="16"/>
          <w:color w:val="auto"/>
        </w:rPr>
      </w:pPr>
    </w:p>
    <w:p>
      <w:pPr>
        <w:jc w:val="both"/>
        <w:ind w:left="660" w:hanging="652"/>
        <w:spacing w:after="0" w:line="28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other Compensation for 2016 includes honorariums paid under a patenting process program of $6,330 for Mr. Braithwaite and $300 for Ms. Hakimoglu. All other Compensation for 2016 also includes value of ClearOne stock awarded under a dividend equivalents plan offered to all ClearOne stock optionees including directors and officers. Under this plan, dividend equivalents were calculated at $0.10, $0.035, $0.035, $0.035 and $0.05, for each stock option outstanding in the quarters of 2014-Q4, 2015-Q1, 2015-Q2,2015-Q3, and 2015-Q4, respectively and equivalent value of ClearOne stock awarded. Ms. Hakimoglu, Mr. Narayanan and Mr. Braithwaite received ClearOne stock under this program for dividend equivalents related to 2015-Q3 and 2015-Q4 in 2016. The amounts calculated for Ms. Hakimoglu, Mr. Narayanan and Mr. Braithwaite were $39,100, $8,925 and $2,054, respectively. The calculated dividend equivalents were awarded in the form of ClearOne stock valued at market price on the date of award of dividend equivalents. The dividend equivalents program was discontinued after making above mentioned payments in 2016. All other Compensation also included $50,000, $12,500 and $2,500 for Ms. Hakimoglu, Mr. Narayanan and Mr. Braithwaite respectively as one-time payment for the termination of the dividend equivalents program. All other Compensation for 2015 includes $10,000 for Ms. Hakimoglu and $11,250 for Mr. Narayanan awarded for special achievement with respect to a litigation issue. All other compensation for 2015 also includes value of ClearOne stock awarded under the dividend equivalents plan amounting to $78,200, $17,850 and $3,109, to Ms. Hakimoglu, Mr. Narayanan and Mr. Braithwaite, respectively. All other compensation in 2014 for Mr. Braithwaite consists of honorarium paid under a patenting process program.</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on the holdings of stock options by the named executive officers as of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Securities</w:t>
            </w: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Securities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Underlying</w:t>
            </w: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Underlying</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Unexercised</w:t>
            </w: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Unexercised</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ind w:left="560"/>
              <w:spacing w:after="0"/>
              <w:rPr>
                <w:sz w:val="20"/>
                <w:szCs w:val="20"/>
                <w:color w:val="auto"/>
              </w:rPr>
            </w:pPr>
            <w:r>
              <w:rPr>
                <w:rFonts w:ascii="Arial" w:cs="Arial" w:eastAsia="Arial" w:hAnsi="Arial"/>
                <w:sz w:val="18"/>
                <w:szCs w:val="18"/>
                <w:b w:val="1"/>
                <w:bCs w:val="1"/>
                <w:color w:val="auto"/>
              </w:rPr>
              <w:t>Option</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Options</w:t>
            </w: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Options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88"/>
              </w:rPr>
              <w:t>Option Exercise</w:t>
            </w:r>
          </w:p>
        </w:tc>
        <w:tc>
          <w:tcPr>
            <w:tcW w:w="30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77"/>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Exercisable</w:t>
            </w:r>
          </w:p>
        </w:tc>
        <w:tc>
          <w:tcPr>
            <w:tcW w:w="1620" w:type="dxa"/>
            <w:vAlign w:val="bottom"/>
            <w:gridSpan w:val="2"/>
          </w:tcPr>
          <w:p>
            <w:pPr>
              <w:jc w:val="center"/>
              <w:ind w:right="360"/>
              <w:spacing w:after="0" w:line="269" w:lineRule="exact"/>
              <w:rPr>
                <w:sz w:val="20"/>
                <w:szCs w:val="20"/>
                <w:color w:val="auto"/>
              </w:rPr>
            </w:pPr>
            <w:r>
              <w:rPr>
                <w:rFonts w:ascii="Arial" w:cs="Arial" w:eastAsia="Arial" w:hAnsi="Arial"/>
                <w:sz w:val="18"/>
                <w:szCs w:val="18"/>
                <w:b w:val="1"/>
                <w:bCs w:val="1"/>
                <w:color w:val="auto"/>
                <w:w w:val="85"/>
              </w:rPr>
              <w:t>Unexercisable</w:t>
            </w:r>
            <w:r>
              <w:rPr>
                <w:rFonts w:ascii="Arial" w:cs="Arial" w:eastAsia="Arial" w:hAnsi="Arial"/>
                <w:sz w:val="30"/>
                <w:szCs w:val="30"/>
                <w:b w:val="1"/>
                <w:bCs w:val="1"/>
                <w:color w:val="auto"/>
                <w:w w:val="85"/>
                <w:vertAlign w:val="superscript"/>
              </w:rPr>
              <w:t>(1)</w:t>
            </w: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Price ($)</w:t>
            </w:r>
          </w:p>
        </w:tc>
        <w:tc>
          <w:tcPr>
            <w:tcW w:w="300" w:type="dxa"/>
            <w:vAlign w:val="bottom"/>
          </w:tcPr>
          <w:p>
            <w:pPr>
              <w:spacing w:after="0"/>
              <w:rPr>
                <w:sz w:val="24"/>
                <w:szCs w:val="24"/>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Zeynep Hakimoglu</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08/14/07</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08/14/17</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50,000</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4.03</w:t>
            </w:r>
          </w:p>
        </w:tc>
        <w:tc>
          <w:tcPr>
            <w:tcW w:w="200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11/14/08</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11/14/18</w:t>
            </w:r>
          </w:p>
        </w:tc>
      </w:tr>
      <w:tr>
        <w:trPr>
          <w:trHeight w:val="216"/>
        </w:trPr>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20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05/26/10</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05/26/20</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5.48</w:t>
            </w:r>
          </w:p>
        </w:tc>
        <w:tc>
          <w:tcPr>
            <w:tcW w:w="200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08/05/11</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08/05/21</w:t>
            </w:r>
          </w:p>
        </w:tc>
      </w:tr>
      <w:tr>
        <w:trPr>
          <w:trHeight w:val="216"/>
        </w:trPr>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8"/>
              </w:rPr>
              <w:t>05/11/12</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05/11/22</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25,000</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8.22</w:t>
            </w:r>
          </w:p>
        </w:tc>
        <w:tc>
          <w:tcPr>
            <w:tcW w:w="200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08/22/13</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08/22/23</w:t>
            </w:r>
          </w:p>
        </w:tc>
      </w:tr>
      <w:tr>
        <w:trPr>
          <w:trHeight w:val="216"/>
        </w:trPr>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30,000</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09/12/14</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09/12/24</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50,000</w:t>
            </w:r>
          </w:p>
        </w:tc>
        <w:tc>
          <w:tcPr>
            <w:tcW w:w="1280" w:type="dxa"/>
            <w:vAlign w:val="bottom"/>
          </w:tcPr>
          <w:p>
            <w:pPr>
              <w:jc w:val="right"/>
              <w:spacing w:after="0"/>
              <w:rPr>
                <w:sz w:val="20"/>
                <w:szCs w:val="20"/>
                <w:color w:val="auto"/>
              </w:rPr>
            </w:pPr>
            <w:r>
              <w:rPr>
                <w:rFonts w:ascii="Arial" w:cs="Arial" w:eastAsia="Arial" w:hAnsi="Arial"/>
                <w:sz w:val="18"/>
                <w:szCs w:val="18"/>
                <w:color w:val="auto"/>
              </w:rPr>
              <w:t>11.96</w:t>
            </w:r>
          </w:p>
        </w:tc>
        <w:tc>
          <w:tcPr>
            <w:tcW w:w="200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03/11/16</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03/11/26</w:t>
            </w:r>
          </w:p>
        </w:tc>
      </w:tr>
      <w:tr>
        <w:trPr>
          <w:trHeight w:val="236"/>
        </w:trPr>
        <w:tc>
          <w:tcPr>
            <w:tcW w:w="2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12/14/16</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12/14/26</w:t>
            </w:r>
          </w:p>
        </w:tc>
      </w:tr>
      <w:tr>
        <w:trPr>
          <w:trHeight w:val="203"/>
        </w:trPr>
        <w:tc>
          <w:tcPr>
            <w:tcW w:w="29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Narsi Narayanan</w:t>
            </w: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20,000</w:t>
            </w:r>
          </w:p>
        </w:tc>
        <w:tc>
          <w:tcPr>
            <w:tcW w:w="36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2.78</w:t>
            </w:r>
          </w:p>
        </w:tc>
        <w:tc>
          <w:tcPr>
            <w:tcW w:w="2000" w:type="dxa"/>
            <w:vAlign w:val="bottom"/>
            <w:tcBorders>
              <w:top w:val="single" w:sz="8" w:color="CCEEFF"/>
            </w:tcBorders>
            <w:gridSpan w:val="2"/>
          </w:tcPr>
          <w:p>
            <w:pPr>
              <w:jc w:val="center"/>
              <w:ind w:left="230"/>
              <w:spacing w:after="0" w:line="203" w:lineRule="exact"/>
              <w:rPr>
                <w:sz w:val="20"/>
                <w:szCs w:val="20"/>
                <w:color w:val="auto"/>
              </w:rPr>
            </w:pPr>
            <w:r>
              <w:rPr>
                <w:rFonts w:ascii="Arial" w:cs="Arial" w:eastAsia="Arial" w:hAnsi="Arial"/>
                <w:sz w:val="18"/>
                <w:szCs w:val="18"/>
                <w:color w:val="auto"/>
                <w:w w:val="91"/>
              </w:rPr>
              <w:t>08/27/09</w:t>
            </w:r>
          </w:p>
        </w:tc>
        <w:tc>
          <w:tcPr>
            <w:tcW w:w="22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jc w:val="center"/>
              <w:spacing w:after="0" w:line="203" w:lineRule="exact"/>
              <w:rPr>
                <w:sz w:val="20"/>
                <w:szCs w:val="20"/>
                <w:color w:val="auto"/>
              </w:rPr>
            </w:pPr>
            <w:r>
              <w:rPr>
                <w:rFonts w:ascii="Arial" w:cs="Arial" w:eastAsia="Arial" w:hAnsi="Arial"/>
                <w:sz w:val="18"/>
                <w:szCs w:val="18"/>
                <w:color w:val="auto"/>
                <w:w w:val="91"/>
              </w:rPr>
              <w:t>08/27/19</w:t>
            </w:r>
          </w:p>
        </w:tc>
      </w:tr>
      <w:tr>
        <w:trPr>
          <w:trHeight w:val="216"/>
        </w:trPr>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20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05/26/10</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05/26/20</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5.48</w:t>
            </w:r>
          </w:p>
        </w:tc>
        <w:tc>
          <w:tcPr>
            <w:tcW w:w="200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08/05/11</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08/05/21</w:t>
            </w:r>
          </w:p>
        </w:tc>
      </w:tr>
      <w:tr>
        <w:trPr>
          <w:trHeight w:val="216"/>
        </w:trPr>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20,000</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8"/>
              </w:rPr>
              <w:t>05/11/12</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05/11/22</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15,000</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8.22</w:t>
            </w:r>
          </w:p>
        </w:tc>
        <w:tc>
          <w:tcPr>
            <w:tcW w:w="200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08/22/13</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08/22/23</w:t>
            </w:r>
          </w:p>
        </w:tc>
      </w:tr>
      <w:tr>
        <w:trPr>
          <w:trHeight w:val="216"/>
        </w:trPr>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15,000</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09/12/14</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09/12/24</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25,000</w:t>
            </w:r>
          </w:p>
        </w:tc>
        <w:tc>
          <w:tcPr>
            <w:tcW w:w="1280" w:type="dxa"/>
            <w:vAlign w:val="bottom"/>
          </w:tcPr>
          <w:p>
            <w:pPr>
              <w:jc w:val="right"/>
              <w:spacing w:after="0"/>
              <w:rPr>
                <w:sz w:val="20"/>
                <w:szCs w:val="20"/>
                <w:color w:val="auto"/>
              </w:rPr>
            </w:pPr>
            <w:r>
              <w:rPr>
                <w:rFonts w:ascii="Arial" w:cs="Arial" w:eastAsia="Arial" w:hAnsi="Arial"/>
                <w:sz w:val="18"/>
                <w:szCs w:val="18"/>
                <w:color w:val="auto"/>
              </w:rPr>
              <w:t>11.96</w:t>
            </w:r>
          </w:p>
        </w:tc>
        <w:tc>
          <w:tcPr>
            <w:tcW w:w="200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03/11/16</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03/11/26</w:t>
            </w:r>
          </w:p>
        </w:tc>
      </w:tr>
      <w:tr>
        <w:trPr>
          <w:trHeight w:val="236"/>
        </w:trPr>
        <w:tc>
          <w:tcPr>
            <w:tcW w:w="2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12/14/16</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12/14/26</w:t>
            </w:r>
          </w:p>
        </w:tc>
      </w:tr>
      <w:tr>
        <w:trPr>
          <w:trHeight w:val="203"/>
        </w:trPr>
        <w:tc>
          <w:tcPr>
            <w:tcW w:w="29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Michael Braithwaite</w:t>
            </w: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5,277</w:t>
            </w:r>
          </w:p>
        </w:tc>
        <w:tc>
          <w:tcPr>
            <w:tcW w:w="36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4,723</w:t>
            </w:r>
          </w:p>
        </w:tc>
        <w:tc>
          <w:tcPr>
            <w:tcW w:w="360" w:type="dxa"/>
            <w:vAlign w:val="bottom"/>
            <w:tcBorders>
              <w:top w:val="single" w:sz="8" w:color="CCEEFF"/>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12.98</w:t>
            </w:r>
          </w:p>
        </w:tc>
        <w:tc>
          <w:tcPr>
            <w:tcW w:w="2000" w:type="dxa"/>
            <w:vAlign w:val="bottom"/>
            <w:tcBorders>
              <w:top w:val="single" w:sz="8" w:color="CCEEFF"/>
            </w:tcBorders>
            <w:gridSpan w:val="2"/>
          </w:tcPr>
          <w:p>
            <w:pPr>
              <w:jc w:val="center"/>
              <w:ind w:left="230"/>
              <w:spacing w:after="0" w:line="203" w:lineRule="exact"/>
              <w:rPr>
                <w:sz w:val="20"/>
                <w:szCs w:val="20"/>
                <w:color w:val="auto"/>
              </w:rPr>
            </w:pPr>
            <w:r>
              <w:rPr>
                <w:rFonts w:ascii="Arial" w:cs="Arial" w:eastAsia="Arial" w:hAnsi="Arial"/>
                <w:sz w:val="18"/>
                <w:szCs w:val="18"/>
                <w:color w:val="auto"/>
                <w:w w:val="91"/>
              </w:rPr>
              <w:t>05/01/15</w:t>
            </w:r>
          </w:p>
        </w:tc>
        <w:tc>
          <w:tcPr>
            <w:tcW w:w="22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jc w:val="center"/>
              <w:spacing w:after="0" w:line="203" w:lineRule="exact"/>
              <w:rPr>
                <w:sz w:val="20"/>
                <w:szCs w:val="20"/>
                <w:color w:val="auto"/>
              </w:rPr>
            </w:pPr>
            <w:r>
              <w:rPr>
                <w:rFonts w:ascii="Arial" w:cs="Arial" w:eastAsia="Arial" w:hAnsi="Arial"/>
                <w:sz w:val="18"/>
                <w:szCs w:val="18"/>
                <w:color w:val="auto"/>
                <w:w w:val="91"/>
              </w:rPr>
              <w:t>05/01/25</w:t>
            </w:r>
          </w:p>
        </w:tc>
      </w:tr>
      <w:tr>
        <w:trPr>
          <w:trHeight w:val="216"/>
        </w:trPr>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08/30/16</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08/30/26</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500</w:t>
            </w:r>
          </w:p>
        </w:tc>
        <w:tc>
          <w:tcPr>
            <w:tcW w:w="1280" w:type="dxa"/>
            <w:vAlign w:val="bottom"/>
          </w:tcPr>
          <w:p>
            <w:pPr>
              <w:jc w:val="right"/>
              <w:spacing w:after="0"/>
              <w:rPr>
                <w:sz w:val="20"/>
                <w:szCs w:val="20"/>
                <w:color w:val="auto"/>
              </w:rPr>
            </w:pPr>
            <w:r>
              <w:rPr>
                <w:rFonts w:ascii="Arial" w:cs="Arial" w:eastAsia="Arial" w:hAnsi="Arial"/>
                <w:sz w:val="18"/>
                <w:szCs w:val="18"/>
                <w:color w:val="auto"/>
              </w:rPr>
              <w:t>11.00</w:t>
            </w:r>
          </w:p>
        </w:tc>
        <w:tc>
          <w:tcPr>
            <w:tcW w:w="200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12/14/16</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12/14/26</w:t>
            </w: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One-third of unvested options vest one year from the date of grant and balance vest equally over a period of 24 months following the first anniversary date of grant.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60" w:type="dxa"/>
            <w:vAlign w:val="bottom"/>
            <w:gridSpan w:val="6"/>
          </w:tcPr>
          <w:p>
            <w:pPr>
              <w:jc w:val="right"/>
              <w:ind w:right="1260"/>
              <w:spacing w:after="0"/>
              <w:rPr>
                <w:sz w:val="20"/>
                <w:szCs w:val="20"/>
                <w:color w:val="auto"/>
              </w:rPr>
            </w:pPr>
            <w:r>
              <w:rPr>
                <w:rFonts w:ascii="Arial" w:cs="Arial" w:eastAsia="Arial" w:hAnsi="Arial"/>
                <w:sz w:val="18"/>
                <w:szCs w:val="18"/>
                <w:b w:val="1"/>
                <w:bCs w:val="1"/>
                <w:color w:val="auto"/>
              </w:rPr>
              <w:t>GRANTS OF PLAN-BASED AWARDS</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3"/>
              </w:rPr>
              <w:t>All Other Stock</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All Other</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1"/>
              </w:rPr>
              <w:t>Option Awards:</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Awards:</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Number of</w:t>
            </w: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Exercise or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Fair Value of</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Number of</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Securities</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Base Price of</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Stock and</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 of Stock</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Underlying</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Option Awards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Option Awards</w:t>
            </w:r>
          </w:p>
        </w:tc>
        <w:tc>
          <w:tcPr>
            <w:tcW w:w="0" w:type="dxa"/>
            <w:vAlign w:val="bottom"/>
          </w:tcPr>
          <w:p>
            <w:pPr>
              <w:spacing w:after="0"/>
              <w:rPr>
                <w:sz w:val="1"/>
                <w:szCs w:val="1"/>
                <w:color w:val="auto"/>
              </w:rPr>
            </w:pPr>
          </w:p>
        </w:tc>
      </w:tr>
      <w:tr>
        <w:trPr>
          <w:trHeight w:val="277"/>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9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Grant Date</w:t>
            </w:r>
          </w:p>
        </w:tc>
        <w:tc>
          <w:tcPr>
            <w:tcW w:w="1620" w:type="dxa"/>
            <w:vAlign w:val="bottom"/>
            <w:gridSpan w:val="2"/>
          </w:tcPr>
          <w:p>
            <w:pPr>
              <w:jc w:val="center"/>
              <w:ind w:right="360"/>
              <w:spacing w:after="0" w:line="269" w:lineRule="exact"/>
              <w:rPr>
                <w:sz w:val="20"/>
                <w:szCs w:val="20"/>
                <w:color w:val="auto"/>
              </w:rPr>
            </w:pPr>
            <w:r>
              <w:rPr>
                <w:rFonts w:ascii="Arial" w:cs="Arial" w:eastAsia="Arial" w:hAnsi="Arial"/>
                <w:sz w:val="18"/>
                <w:szCs w:val="18"/>
                <w:b w:val="1"/>
                <w:bCs w:val="1"/>
                <w:color w:val="auto"/>
                <w:w w:val="88"/>
              </w:rPr>
              <w:t>or Units</w:t>
            </w:r>
            <w:r>
              <w:rPr>
                <w:rFonts w:ascii="Arial" w:cs="Arial" w:eastAsia="Arial" w:hAnsi="Arial"/>
                <w:sz w:val="30"/>
                <w:szCs w:val="30"/>
                <w:b w:val="1"/>
                <w:bCs w:val="1"/>
                <w:color w:val="auto"/>
                <w:w w:val="88"/>
                <w:vertAlign w:val="superscript"/>
              </w:rPr>
              <w:t>1</w:t>
            </w:r>
            <w:r>
              <w:rPr>
                <w:rFonts w:ascii="Arial" w:cs="Arial" w:eastAsia="Arial" w:hAnsi="Arial"/>
                <w:sz w:val="18"/>
                <w:szCs w:val="18"/>
                <w:b w:val="1"/>
                <w:bCs w:val="1"/>
                <w:color w:val="auto"/>
                <w:w w:val="88"/>
              </w:rPr>
              <w:t xml:space="preserve"> (#)</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Options (#)</w:t>
            </w: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($/Sh)</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Zeynep Hakimoglu</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03-11-16</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213,935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12-14-16</w:t>
            </w:r>
          </w:p>
        </w:tc>
        <w:tc>
          <w:tcPr>
            <w:tcW w:w="16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11.00</w:t>
            </w:r>
          </w:p>
        </w:tc>
        <w:tc>
          <w:tcPr>
            <w:tcW w:w="1280" w:type="dxa"/>
            <w:vAlign w:val="bottom"/>
          </w:tcPr>
          <w:p>
            <w:pPr>
              <w:jc w:val="right"/>
              <w:spacing w:after="0"/>
              <w:rPr>
                <w:sz w:val="20"/>
                <w:szCs w:val="20"/>
                <w:color w:val="auto"/>
              </w:rPr>
            </w:pPr>
            <w:r>
              <w:rPr>
                <w:rFonts w:ascii="Arial" w:cs="Arial" w:eastAsia="Arial" w:hAnsi="Arial"/>
                <w:sz w:val="18"/>
                <w:szCs w:val="18"/>
                <w:color w:val="auto"/>
              </w:rPr>
              <w:t>44,455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Narsi Narayanan</w:t>
            </w:r>
          </w:p>
        </w:tc>
        <w:tc>
          <w:tcPr>
            <w:tcW w:w="19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03-11-16</w:t>
            </w: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106,968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12-14-16</w:t>
            </w:r>
          </w:p>
        </w:tc>
        <w:tc>
          <w:tcPr>
            <w:tcW w:w="16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2,500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11.00</w:t>
            </w:r>
          </w:p>
        </w:tc>
        <w:tc>
          <w:tcPr>
            <w:tcW w:w="1280" w:type="dxa"/>
            <w:vAlign w:val="bottom"/>
          </w:tcPr>
          <w:p>
            <w:pPr>
              <w:jc w:val="right"/>
              <w:spacing w:after="0"/>
              <w:rPr>
                <w:sz w:val="20"/>
                <w:szCs w:val="20"/>
                <w:color w:val="auto"/>
              </w:rPr>
            </w:pPr>
            <w:r>
              <w:rPr>
                <w:rFonts w:ascii="Arial" w:cs="Arial" w:eastAsia="Arial" w:hAnsi="Arial"/>
                <w:sz w:val="18"/>
                <w:szCs w:val="18"/>
                <w:color w:val="auto"/>
              </w:rPr>
              <w:t>11,114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J. Braithwaite</w:t>
            </w:r>
          </w:p>
        </w:tc>
        <w:tc>
          <w:tcPr>
            <w:tcW w:w="19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08-30-16</w:t>
            </w: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12-14-16</w:t>
            </w:r>
          </w:p>
        </w:tc>
        <w:tc>
          <w:tcPr>
            <w:tcW w:w="16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500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11.00</w:t>
            </w:r>
          </w:p>
        </w:tc>
        <w:tc>
          <w:tcPr>
            <w:tcW w:w="1280" w:type="dxa"/>
            <w:vAlign w:val="bottom"/>
          </w:tcPr>
          <w:p>
            <w:pPr>
              <w:jc w:val="right"/>
              <w:spacing w:after="0"/>
              <w:rPr>
                <w:sz w:val="20"/>
                <w:szCs w:val="20"/>
                <w:color w:val="auto"/>
              </w:rPr>
            </w:pPr>
            <w:r>
              <w:rPr>
                <w:rFonts w:ascii="Arial" w:cs="Arial" w:eastAsia="Arial" w:hAnsi="Arial"/>
                <w:sz w:val="18"/>
                <w:szCs w:val="18"/>
                <w:color w:val="auto"/>
              </w:rPr>
              <w:t>2,223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95"/>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Options granted in 2016 have the following vesting schedule: one-third on the first anniversary of the options grant; remaining option vest equally over a period of 24 months immediately following the first vesting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on the exercise of stock options by named executive officers during the year ended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equity awards that vested for the named executive officers during the year ended December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shares acquired</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Value realized on</w:t>
            </w:r>
          </w:p>
        </w:tc>
      </w:tr>
      <w:tr>
        <w:trPr>
          <w:trHeight w:val="278"/>
        </w:trPr>
        <w:tc>
          <w:tcPr>
            <w:tcW w:w="4960" w:type="dxa"/>
            <w:vAlign w:val="bottom"/>
            <w:gridSpan w:val="2"/>
          </w:tcPr>
          <w:p>
            <w:pPr>
              <w:ind w:left="2180"/>
              <w:spacing w:after="0"/>
              <w:rPr>
                <w:sz w:val="20"/>
                <w:szCs w:val="20"/>
                <w:color w:val="auto"/>
              </w:rPr>
            </w:pPr>
            <w:r>
              <w:rPr>
                <w:rFonts w:ascii="Arial" w:cs="Arial" w:eastAsia="Arial" w:hAnsi="Arial"/>
                <w:sz w:val="18"/>
                <w:szCs w:val="18"/>
                <w:b w:val="1"/>
                <w:bCs w:val="1"/>
                <w:color w:val="auto"/>
              </w:rPr>
              <w:t>Name</w:t>
            </w:r>
          </w:p>
        </w:tc>
        <w:tc>
          <w:tcPr>
            <w:tcW w:w="160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2"/>
              </w:rPr>
              <w:t>on exercise</w:t>
            </w:r>
            <w:r>
              <w:rPr>
                <w:rFonts w:ascii="Arial" w:cs="Arial" w:eastAsia="Arial" w:hAnsi="Arial"/>
                <w:sz w:val="30"/>
                <w:szCs w:val="30"/>
                <w:b w:val="1"/>
                <w:bCs w:val="1"/>
                <w:color w:val="auto"/>
                <w:w w:val="82"/>
                <w:vertAlign w:val="superscript"/>
              </w:rPr>
              <w:t>(2)</w:t>
            </w:r>
          </w:p>
        </w:tc>
        <w:tc>
          <w:tcPr>
            <w:tcW w:w="140" w:type="dxa"/>
            <w:vAlign w:val="bottom"/>
          </w:tcPr>
          <w:p>
            <w:pPr>
              <w:spacing w:after="0"/>
              <w:rPr>
                <w:sz w:val="24"/>
                <w:szCs w:val="24"/>
                <w:color w:val="auto"/>
              </w:rPr>
            </w:pPr>
          </w:p>
        </w:tc>
        <w:tc>
          <w:tcPr>
            <w:tcW w:w="1280" w:type="dxa"/>
            <w:vAlign w:val="bottom"/>
            <w:gridSpan w:val="2"/>
          </w:tcPr>
          <w:p>
            <w:pPr>
              <w:jc w:val="right"/>
              <w:ind w:right="260"/>
              <w:spacing w:after="0" w:line="271" w:lineRule="exact"/>
              <w:rPr>
                <w:sz w:val="20"/>
                <w:szCs w:val="20"/>
                <w:color w:val="auto"/>
              </w:rPr>
            </w:pPr>
            <w:r>
              <w:rPr>
                <w:rFonts w:ascii="Arial" w:cs="Arial" w:eastAsia="Arial" w:hAnsi="Arial"/>
                <w:sz w:val="18"/>
                <w:szCs w:val="18"/>
                <w:b w:val="1"/>
                <w:bCs w:val="1"/>
                <w:color w:val="auto"/>
                <w:w w:val="82"/>
              </w:rPr>
              <w:t>exercise</w:t>
            </w:r>
            <w:r>
              <w:rPr>
                <w:rFonts w:ascii="Arial" w:cs="Arial" w:eastAsia="Arial" w:hAnsi="Arial"/>
                <w:sz w:val="30"/>
                <w:szCs w:val="30"/>
                <w:b w:val="1"/>
                <w:bCs w:val="1"/>
                <w:color w:val="auto"/>
                <w:w w:val="82"/>
                <w:vertAlign w:val="superscript"/>
              </w:rPr>
              <w:t>(1)(2)</w:t>
            </w:r>
          </w:p>
        </w:tc>
      </w:tr>
      <w:tr>
        <w:trPr>
          <w:trHeight w:val="216"/>
        </w:trPr>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Zeynep Hakimoglu</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1,273,900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Narsi Narayanan</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94,000</w:t>
            </w: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Braithwaite</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14,168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110,560</w:t>
            </w:r>
          </w:p>
        </w:tc>
      </w:tr>
    </w:tbl>
    <w:p>
      <w:pPr>
        <w:spacing w:after="0" w:line="20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Value realized on exercise is the excess of market price of underlying shares on the date of exercise over exercise price for the options.</w:t>
      </w:r>
    </w:p>
    <w:p>
      <w:pPr>
        <w:spacing w:after="0" w:line="236" w:lineRule="exact"/>
        <w:rPr>
          <w:rFonts w:ascii="Arial" w:cs="Arial" w:eastAsia="Arial" w:hAnsi="Arial"/>
          <w:sz w:val="17"/>
          <w:szCs w:val="17"/>
          <w:color w:val="auto"/>
        </w:rPr>
      </w:pPr>
    </w:p>
    <w:p>
      <w:pPr>
        <w:jc w:val="both"/>
        <w:ind w:left="660" w:hanging="652"/>
        <w:spacing w:after="0" w:line="273"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From March 11, 2016 to March 17, 2016, the Company offered to repurchase eligible vested options to purchase shares under the 1998 Plan and the 2007 Plan from employees and directors.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above table includes 94,000 options repurchased from Ms. Hakimoglu, 10,000 options repurchased from Mr. Narayanan and 14,168 options repurchased from Mr. Braithwaite. Ms. Hakimoglu, Mr. Narayanan and Mr. Braithwaite realized value of $801,820, $94,000 and $110,560 respectively from such repurchase of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2016, none of our named executive officers was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Accelerated Stock Option Vesting Upon a Change in Control</w:t>
      </w:r>
      <w:r>
        <w:rPr>
          <w:rFonts w:ascii="Arial" w:cs="Arial" w:eastAsia="Arial" w:hAnsi="Arial"/>
          <w:sz w:val="18"/>
          <w:szCs w:val="18"/>
          <w:color w:val="auto"/>
        </w:rPr>
        <w:t>. For certain option grants to executive officers and directors, in the event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all of such optionee’s unvested stock options will vest and become exercisable immediately prior to the event or the closing of the transaction causing the change in control.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option grants, a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means a change in ownership or control of the Company effected through either of the following transactions:</w:t>
      </w:r>
    </w:p>
    <w:p>
      <w:pPr>
        <w:spacing w:after="0" w:line="170" w:lineRule="exact"/>
        <w:rPr>
          <w:sz w:val="20"/>
          <w:szCs w:val="20"/>
          <w:color w:val="auto"/>
        </w:rPr>
      </w:pPr>
    </w:p>
    <w:p>
      <w:pPr>
        <w:jc w:val="both"/>
        <w:ind w:left="660" w:hanging="4"/>
        <w:spacing w:after="0" w:line="259" w:lineRule="auto"/>
        <w:tabs>
          <w:tab w:leader="none" w:pos="8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86" w:lineRule="exact"/>
        <w:rPr>
          <w:rFonts w:ascii="Arial" w:cs="Arial" w:eastAsia="Arial" w:hAnsi="Arial"/>
          <w:sz w:val="18"/>
          <w:szCs w:val="18"/>
          <w:color w:val="auto"/>
        </w:rPr>
      </w:pPr>
    </w:p>
    <w:p>
      <w:pPr>
        <w:jc w:val="both"/>
        <w:ind w:left="660" w:hanging="4"/>
        <w:spacing w:after="0" w:line="257" w:lineRule="auto"/>
        <w:tabs>
          <w:tab w:leader="none" w:pos="9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our current stock price of about $10.00, all our named executive officers would benefit from any potential accelerated vesting of unvested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setting compensation, the Compensation Committee considers the risks to the Company’s shareholders and to achievement of its goals that may be inherent in its compensation programs. The Compensation Committee conducted a risk assessment of the Company’s compensation programs, including its executive compensation programs. The Compensation Committee reviewed and discussed its assessment with management and outside legal counsel and concluded that the Company’s compensation programs are within industry standards and are designed with the appropriate balance of risk and reward to align employees’ interests with those of the Company and do not incent employees to take unnecessary or excessive risks. Although a portion of our executives’ and employees’ compensation is performance-based and “at risk,” we believe our compensation plans are appropriately structured and are not reasonably likely to result in a material adverse effect on the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Executive Compensation and Option Committee Report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has reviewed the Compensation Discussion and Analysis and discussed that Analysis with management. Based on its review and discussions with management, the Compensation Committee recommended to the Board of Directors that the Compensation Discussion and Analysis be included in the Company’s Annual Report on Form 10-K for the year ended December 31, 2016 and the Company’s proxy statement relating to the Annual Meeting of stockholders to be held on April 27, 2017. This report is provided by the following independent directors, who comprise all of the members of the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OF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R. Baldwin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Larry R. Hendricks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Eric L. Robinson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consists of Brad R. Baldwin (Chairman), Larry R. Hendricks and Eric L. Robinson.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 member of the Compensation Committee was at any time in 2016 or at any other time an officer or employee of the Company, and no member had any relationship with the Company requiring disclosure as a related-person transaction in the section “Certain Relationships and Related Transactions.” No executive officer of the Company has served on the board of directors or compensation committee of any other entity that has or has had one or more executive officers who served as a member of our Board of Directors or Compensation Committee at any time in 2016.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December 31, 2016. Ms. Hakimoglu did not receive additional compensation for her service as a director.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Fees Earned</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 Options</w:t>
            </w:r>
          </w:p>
        </w:tc>
      </w:tr>
      <w:tr>
        <w:trPr>
          <w:trHeight w:val="216"/>
        </w:trPr>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or Paid in</w:t>
            </w: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Option</w:t>
            </w:r>
          </w:p>
        </w:tc>
        <w:tc>
          <w:tcPr>
            <w:tcW w:w="24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r>
      <w:tr>
        <w:trPr>
          <w:trHeight w:val="277"/>
        </w:trPr>
        <w:tc>
          <w:tcPr>
            <w:tcW w:w="39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center"/>
              <w:ind w:right="420"/>
              <w:spacing w:after="0" w:line="269" w:lineRule="exact"/>
              <w:rPr>
                <w:sz w:val="20"/>
                <w:szCs w:val="20"/>
                <w:color w:val="auto"/>
              </w:rPr>
            </w:pPr>
            <w:r>
              <w:rPr>
                <w:rFonts w:ascii="Arial" w:cs="Arial" w:eastAsia="Arial" w:hAnsi="Arial"/>
                <w:sz w:val="18"/>
                <w:szCs w:val="18"/>
                <w:b w:val="1"/>
                <w:bCs w:val="1"/>
                <w:color w:val="auto"/>
                <w:w w:val="81"/>
              </w:rPr>
              <w:t>Cash</w:t>
            </w:r>
            <w:r>
              <w:rPr>
                <w:rFonts w:ascii="Arial" w:cs="Arial" w:eastAsia="Arial" w:hAnsi="Arial"/>
                <w:sz w:val="30"/>
                <w:szCs w:val="30"/>
                <w:b w:val="1"/>
                <w:bCs w:val="1"/>
                <w:color w:val="auto"/>
                <w:w w:val="81"/>
                <w:vertAlign w:val="superscript"/>
              </w:rPr>
              <w:t>(1)</w:t>
            </w:r>
          </w:p>
        </w:tc>
        <w:tc>
          <w:tcPr>
            <w:tcW w:w="140" w:type="dxa"/>
            <w:vAlign w:val="bottom"/>
          </w:tcPr>
          <w:p>
            <w:pPr>
              <w:spacing w:after="0"/>
              <w:rPr>
                <w:sz w:val="24"/>
                <w:szCs w:val="24"/>
                <w:color w:val="auto"/>
              </w:rPr>
            </w:pPr>
          </w:p>
        </w:tc>
        <w:tc>
          <w:tcPr>
            <w:tcW w:w="1320" w:type="dxa"/>
            <w:vAlign w:val="bottom"/>
            <w:gridSpan w:val="2"/>
          </w:tcPr>
          <w:p>
            <w:pPr>
              <w:jc w:val="center"/>
              <w:ind w:right="480"/>
              <w:spacing w:after="0" w:line="269" w:lineRule="exact"/>
              <w:rPr>
                <w:sz w:val="20"/>
                <w:szCs w:val="20"/>
                <w:color w:val="auto"/>
              </w:rPr>
            </w:pPr>
            <w:r>
              <w:rPr>
                <w:rFonts w:ascii="Arial" w:cs="Arial" w:eastAsia="Arial" w:hAnsi="Arial"/>
                <w:sz w:val="18"/>
                <w:szCs w:val="18"/>
                <w:b w:val="1"/>
                <w:bCs w:val="1"/>
                <w:color w:val="auto"/>
                <w:w w:val="84"/>
              </w:rPr>
              <w:t>Awards</w:t>
            </w:r>
            <w:r>
              <w:rPr>
                <w:rFonts w:ascii="Arial" w:cs="Arial" w:eastAsia="Arial" w:hAnsi="Arial"/>
                <w:sz w:val="30"/>
                <w:szCs w:val="30"/>
                <w:b w:val="1"/>
                <w:bCs w:val="1"/>
                <w:color w:val="auto"/>
                <w:w w:val="84"/>
                <w:vertAlign w:val="superscript"/>
              </w:rPr>
              <w:t>(2)</w:t>
            </w:r>
          </w:p>
        </w:tc>
        <w:tc>
          <w:tcPr>
            <w:tcW w:w="1600" w:type="dxa"/>
            <w:vAlign w:val="bottom"/>
            <w:gridSpan w:val="3"/>
          </w:tcPr>
          <w:p>
            <w:pPr>
              <w:spacing w:after="0" w:line="269" w:lineRule="exact"/>
              <w:rPr>
                <w:sz w:val="20"/>
                <w:szCs w:val="20"/>
                <w:color w:val="auto"/>
              </w:rPr>
            </w:pPr>
            <w:r>
              <w:rPr>
                <w:rFonts w:ascii="Arial" w:cs="Arial" w:eastAsia="Arial" w:hAnsi="Arial"/>
                <w:sz w:val="18"/>
                <w:szCs w:val="18"/>
                <w:b w:val="1"/>
                <w:bCs w:val="1"/>
                <w:color w:val="auto"/>
              </w:rPr>
              <w:t>Compensation</w:t>
            </w:r>
            <w:r>
              <w:rPr>
                <w:rFonts w:ascii="Arial" w:cs="Arial" w:eastAsia="Arial" w:hAnsi="Arial"/>
                <w:sz w:val="30"/>
                <w:szCs w:val="30"/>
                <w:b w:val="1"/>
                <w:bCs w:val="1"/>
                <w:color w:val="auto"/>
                <w:vertAlign w:val="superscript"/>
              </w:rPr>
              <w:t>(3)</w:t>
            </w: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at Year End</w:t>
            </w:r>
          </w:p>
        </w:tc>
      </w:tr>
      <w:tr>
        <w:trPr>
          <w:trHeight w:val="216"/>
        </w:trPr>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Brad R. Baldwin</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3"/>
              </w:rPr>
              <w:t>37,200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3"/>
              </w:rPr>
              <w:t>44,165</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87,740</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Larry R. Hendricks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33,600</w:t>
            </w:r>
          </w:p>
        </w:tc>
        <w:tc>
          <w:tcPr>
            <w:tcW w:w="140" w:type="dxa"/>
            <w:vAlign w:val="bottom"/>
          </w:tcPr>
          <w:p>
            <w:pPr>
              <w:spacing w:after="0"/>
              <w:rPr>
                <w:sz w:val="18"/>
                <w:szCs w:val="18"/>
                <w:color w:val="auto"/>
              </w:rPr>
            </w:pP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44,165</w:t>
            </w:r>
          </w:p>
        </w:tc>
        <w:tc>
          <w:tcPr>
            <w:tcW w:w="2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6,375</w:t>
            </w: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84,140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70,000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Eric L. Robinson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34,217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44,165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79,090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18,333</w:t>
            </w:r>
          </w:p>
        </w:tc>
      </w:tr>
    </w:tbl>
    <w:p>
      <w:pPr>
        <w:spacing w:after="0" w:line="202" w:lineRule="exact"/>
        <w:rPr>
          <w:sz w:val="20"/>
          <w:szCs w:val="20"/>
          <w:color w:val="auto"/>
        </w:rPr>
      </w:pPr>
    </w:p>
    <w:p>
      <w:pPr>
        <w:jc w:val="both"/>
        <w:ind w:left="380" w:right="20" w:hanging="372"/>
        <w:spacing w:after="0" w:line="264"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base annual director’s fee for the reporting year was $30,000. In addition, independent directors were paid $100 per month for each board committee served on, and an additional $300 per month if the director was the chair of the Audit and Compliance Committee or Compensation Committee. The fee is not dependent on the number of meetings attended by any directors.</w:t>
      </w:r>
    </w:p>
    <w:p>
      <w:pPr>
        <w:spacing w:after="0" w:line="181" w:lineRule="exact"/>
        <w:rPr>
          <w:rFonts w:ascii="Arial" w:cs="Arial" w:eastAsia="Arial" w:hAnsi="Arial"/>
          <w:sz w:val="18"/>
          <w:szCs w:val="18"/>
          <w:color w:val="auto"/>
        </w:rPr>
      </w:pPr>
    </w:p>
    <w:p>
      <w:pPr>
        <w:jc w:val="both"/>
        <w:ind w:left="380" w:hanging="372"/>
        <w:spacing w:after="0" w:line="259"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assumptions made in the valuation of our option awards are disclosed in Note 9 - Share Based Payments in our Notes to Consolidated Financial Statements contained in our Form 10-K for the year ended December 31, 2016.</w:t>
      </w:r>
    </w:p>
    <w:p>
      <w:pPr>
        <w:spacing w:after="0" w:line="186" w:lineRule="exact"/>
        <w:rPr>
          <w:rFonts w:ascii="Arial" w:cs="Arial" w:eastAsia="Arial" w:hAnsi="Arial"/>
          <w:sz w:val="18"/>
          <w:szCs w:val="18"/>
          <w:color w:val="auto"/>
        </w:rPr>
      </w:pPr>
    </w:p>
    <w:p>
      <w:pPr>
        <w:jc w:val="both"/>
        <w:ind w:left="380" w:hanging="372"/>
        <w:spacing w:after="0" w:line="273"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 Compensation represents value of ClearOne stock awarded under a dividend equivalents plan offered to all ClearOne stock optionees including directors and officers. Under this plan, dividend equivalents were calculated at $0.10, $0.035, $0.035, $0.035 and $0.05, for each stock option outstanding in the quarters of 2014-Q4, 2015-Q1, 2015-Q2, 2015-Q3, and 2015-Q4, respectively and equivalent value of ClearOne stock awarded. Directors received ClearOne stock under this program for dividend equivalents related to 2015-Q3 and 2015-Q4 in 2016. The calculated dividend equivalents were awarded in the form of ClearOne stock valued at market price on the date of award of dividend equivalents. The dividend equivalents program was not continued beyond 2015 after making above mentioned payments in 2016.</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Independent directors receive an annual grant of stock options of 10,000 shares of common stock, of which one-third vests on the first anniversary of the date of grant, and the remaining vest in equal monthly increments over the subsequent 24-month period. All directors are reimbursed by us for their out-of-pocket travel and related expenses incurred in attending all Board of Directors and committee meetings.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Related Party Transactions Policy on January 18, 2017. This policy is available in our website at http://investors.clearone.com/governance.cfm.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Consulting Agreement with Edward D. Bagley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June 3, 2015, ClearOne, Inc. (“ClearOne”) entered into a Consulting Agreement with Edward D. Bagley, former Chairman of the Board and greater than 10% shareholder (“Consulting Agreement”) which shall become effective as of July 29, 2015 for a term of three years. Pursuant to the terms of the Consulting Agreement Mr. Bagley will be paid a fee of $5,000 per month and is eligible to participate in our equity incentive programs and will be granted stock options commensurate with grants of stock options made to our directors. During 2016, he was paid $60,000 as consulting fees and was awarded 10,000 options at an exercise price of $11.26. He also received ClearOne stock awarded under a dividend equivalents plan offered to all ClearOne stock optionees including directors and officers. Under this plan, dividend equivalents were calculated at $0.10, $0.035, $0.035, $0.035 and $0.05, for each stock option outstanding in the quarters of 2014-Q4, 2015-Q1, 2015-Q2,2015-Q3, and 2015-Q4, respectively and equivalent value of ClearOne stock awarded. The value of ClearOne stock received by Mr. Bagley in 2016 was $779.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COMPLIANCE COMMITTEE REPORT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and Compliance Committee of the Board of Directors is comprised of three directors, all of whom are independent as defined in NASDAQ and SEC rules and regulations. The members of the Audit and Compliance Committee are Eric L. Robinson (Chair), Brad R. Baldwin and Larry R. Hendricks. Eric L. Robinson is the Board of Directors’ designated “audit committee financial expert” as that term is defined in the securities laws. The Audit and Compliance Committee serves as an independent and objective party to monitor and provide general oversight of the Company’s financial accounting and reporting process, selection of critical accounting policies, system of internal control, internal audit function, audit process for monitoring compliance with laws and regulations and the Company’s standards of business conduct. The Audit and Compliance Committee performs these oversight responsibilities in accordance with its charter.</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management has primary responsibility for preparing the Company’s financial statements and the Company’s financial reporting process, including its system of internal control over financial reporting. The Company’s independent registered public accountants, Tanner LLC, are responsible for expressing opinions on the conformity of the Company’s 2016 audited financial statements to accounting principles generally accepted in the United States of America and the effectiveness of the Company’s internal control over financial reporting as of December 31, 2016.</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and Compliance Committee discussed with the Company’s independent registered public accountants the overall scope and plans for its audits. The Audit and Compliance Committee met with the Company’s independent registered public accountants, with and without management present, to discuss the results of their examinations, their evaluations of the Company’s internal control over financial reporting, and the overall quality of the Company’s financial reporting.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context, the Audit and Compliance Committee hereby reports as follows:</w:t>
      </w:r>
    </w:p>
    <w:p>
      <w:pPr>
        <w:spacing w:after="0" w:line="225" w:lineRule="exact"/>
        <w:rPr>
          <w:sz w:val="20"/>
          <w:szCs w:val="20"/>
          <w:color w:val="auto"/>
        </w:rPr>
      </w:pPr>
    </w:p>
    <w:p>
      <w:pPr>
        <w:jc w:val="both"/>
        <w:ind w:firstLine="656"/>
        <w:spacing w:after="0" w:line="264" w:lineRule="auto"/>
        <w:tabs>
          <w:tab w:leader="none" w:pos="8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Audit and Compliance Committee has reviewed and discussed the fiscal 2016 audited financial statements with the Company’s management, including the quality, not just the acceptability, of the Company’s accounting principles, the reasonableness of significant judgments, and the clarity of disclosures in the financial statements;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Audit and Compliance Committee has discussed with the Company’s independent registered public accountants the matters required to be discussed by the statement on Auditing Standards No. 61,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Vol. 1. AU Section 380), as adopted by the Public Company Accounting Oversight Board in Rule 3200T;</w:t>
      </w:r>
    </w:p>
    <w:p>
      <w:pPr>
        <w:spacing w:after="0" w:line="181" w:lineRule="exact"/>
        <w:rPr>
          <w:rFonts w:ascii="Arial" w:cs="Arial" w:eastAsia="Arial" w:hAnsi="Arial"/>
          <w:sz w:val="18"/>
          <w:szCs w:val="18"/>
          <w:color w:val="auto"/>
        </w:rPr>
      </w:pPr>
    </w:p>
    <w:p>
      <w:pPr>
        <w:jc w:val="both"/>
        <w:ind w:firstLine="656"/>
        <w:spacing w:after="0" w:line="279" w:lineRule="auto"/>
        <w:tabs>
          <w:tab w:leader="none" w:pos="85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Audit and Compliance Committee has received the written disclosures and the letter from the Company’s independent registered public accountants required by applicable requirements of the Public Company Accounting Oversight Board regarding the independent registered public accountant’s communications with the Audit and Compliance Committee concerning independence, and has discussed with the Company’s independent registered public accountants the independent registered public accountants’ independence from management and the Company;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jc w:val="both"/>
        <w:ind w:firstLine="656"/>
        <w:spacing w:after="0" w:line="286" w:lineRule="auto"/>
        <w:tabs>
          <w:tab w:leader="none" w:pos="837"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the review and discussions referred to in paragraphs (1) through (3) above, the Audit and Compliance Committee recommended to the Board of Directors (and the Board of Directors has approved) that the audited financial statements be included in the Company’s Annual Report on Form 10-K for the fiscal year ended December 31, 2016, for filing with the Securities and Exchange Commission on March 16, 2017.</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Audit and Compliance Committee Report does not constitute soliciting material and shall not be deemed filed or incorporated by reference into any other Company filing under the Securities Act of 1933, as amended, or Exchange Act, except to the extent the Company specifically incorporates this Audit and Compliance Committee Report by reference therein. Each of the members of the Audit and Compliance Committee is independent as defined under the standards of the NASDAQ Capital Market and the Securities and Exchange Commission, and meets all other requirements of such exchange and of such rules of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AUDIT AND COMPLIANCE COMMITTEE OF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L. Robinson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 R. Baldwin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Larry R. Hendricks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396"/>
        <w:spacing w:after="0" w:line="264" w:lineRule="auto"/>
        <w:rPr>
          <w:sz w:val="20"/>
          <w:szCs w:val="20"/>
          <w:color w:val="auto"/>
        </w:rPr>
      </w:pPr>
      <w:r>
        <w:rPr>
          <w:rFonts w:ascii="Arial" w:cs="Arial" w:eastAsia="Arial" w:hAnsi="Arial"/>
          <w:sz w:val="18"/>
          <w:szCs w:val="18"/>
          <w:color w:val="auto"/>
        </w:rPr>
        <w:t>The following table sets forth certain information regarding ownership of our common stock as of March 27, 2017,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Shares Beneficially Owned</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7"/>
              </w:rPr>
              <w:t>Currently</w:t>
            </w:r>
          </w:p>
        </w:tc>
        <w:tc>
          <w:tcPr>
            <w:tcW w:w="380" w:type="dxa"/>
            <w:vAlign w:val="bottom"/>
          </w:tcPr>
          <w:p>
            <w:pPr>
              <w:spacing w:after="0"/>
              <w:rPr>
                <w:sz w:val="17"/>
                <w:szCs w:val="17"/>
                <w:color w:val="auto"/>
              </w:rPr>
            </w:pPr>
          </w:p>
        </w:tc>
        <w:tc>
          <w:tcPr>
            <w:tcW w:w="224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8"/>
              </w:rPr>
              <w:t>Shares that could</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Currently</w:t>
            </w:r>
          </w:p>
        </w:tc>
        <w:tc>
          <w:tcPr>
            <w:tcW w:w="152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89"/>
              </w:rPr>
              <w:t>Owned</w:t>
            </w: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be acquired within</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640" w:type="dxa"/>
            <w:vAlign w:val="bottom"/>
            <w:gridSpan w:val="5"/>
            <w:vMerge w:val="restart"/>
          </w:tcPr>
          <w:p>
            <w:pPr>
              <w:ind w:left="600"/>
              <w:spacing w:after="0"/>
              <w:rPr>
                <w:sz w:val="20"/>
                <w:szCs w:val="20"/>
                <w:color w:val="auto"/>
              </w:rPr>
            </w:pPr>
            <w:r>
              <w:rPr>
                <w:rFonts w:ascii="Arial" w:cs="Arial" w:eastAsia="Arial" w:hAnsi="Arial"/>
                <w:sz w:val="18"/>
                <w:szCs w:val="18"/>
                <w:b w:val="1"/>
                <w:bCs w:val="1"/>
                <w:color w:val="auto"/>
              </w:rPr>
              <w:t>Name of Beneficial Owner</w:t>
            </w:r>
            <w:r>
              <w:rPr>
                <w:rFonts w:ascii="Arial" w:cs="Arial" w:eastAsia="Arial" w:hAnsi="Arial"/>
                <w:sz w:val="30"/>
                <w:szCs w:val="30"/>
                <w:b w:val="1"/>
                <w:bCs w:val="1"/>
                <w:color w:val="auto"/>
                <w:vertAlign w:val="superscript"/>
              </w:rPr>
              <w:t>(1)</w:t>
            </w:r>
          </w:p>
        </w:tc>
        <w:tc>
          <w:tcPr>
            <w:tcW w:w="1480" w:type="dxa"/>
            <w:vAlign w:val="bottom"/>
            <w:gridSpan w:val="2"/>
          </w:tcPr>
          <w:p>
            <w:pPr>
              <w:jc w:val="center"/>
              <w:ind w:right="320"/>
              <w:spacing w:after="0" w:line="297" w:lineRule="exact"/>
              <w:rPr>
                <w:sz w:val="20"/>
                <w:szCs w:val="20"/>
                <w:color w:val="auto"/>
              </w:rPr>
            </w:pPr>
            <w:r>
              <w:rPr>
                <w:rFonts w:ascii="Arial" w:cs="Arial" w:eastAsia="Arial" w:hAnsi="Arial"/>
                <w:sz w:val="18"/>
                <w:szCs w:val="18"/>
                <w:b w:val="1"/>
                <w:bCs w:val="1"/>
                <w:color w:val="auto"/>
                <w:w w:val="84"/>
              </w:rPr>
              <w:t xml:space="preserve">Owned </w:t>
            </w:r>
            <w:r>
              <w:rPr>
                <w:rFonts w:ascii="Arial" w:cs="Arial" w:eastAsia="Arial" w:hAnsi="Arial"/>
                <w:sz w:val="30"/>
                <w:szCs w:val="30"/>
                <w:b w:val="1"/>
                <w:bCs w:val="1"/>
                <w:color w:val="auto"/>
                <w:w w:val="84"/>
                <w:vertAlign w:val="superscript"/>
              </w:rPr>
              <w:t>(2)</w:t>
            </w:r>
          </w:p>
        </w:tc>
        <w:tc>
          <w:tcPr>
            <w:tcW w:w="1520" w:type="dxa"/>
            <w:vAlign w:val="bottom"/>
            <w:gridSpan w:val="2"/>
          </w:tcPr>
          <w:p>
            <w:pPr>
              <w:jc w:val="center"/>
              <w:ind w:right="290"/>
              <w:spacing w:after="0" w:line="297" w:lineRule="exact"/>
              <w:rPr>
                <w:sz w:val="20"/>
                <w:szCs w:val="20"/>
                <w:color w:val="auto"/>
              </w:rPr>
            </w:pPr>
            <w:r>
              <w:rPr>
                <w:rFonts w:ascii="Arial" w:cs="Arial" w:eastAsia="Arial" w:hAnsi="Arial"/>
                <w:sz w:val="18"/>
                <w:szCs w:val="18"/>
                <w:b w:val="1"/>
                <w:bCs w:val="1"/>
                <w:color w:val="auto"/>
                <w:w w:val="85"/>
              </w:rPr>
              <w:t xml:space="preserve">Percent </w:t>
            </w:r>
            <w:r>
              <w:rPr>
                <w:rFonts w:ascii="Arial" w:cs="Arial" w:eastAsia="Arial" w:hAnsi="Arial"/>
                <w:sz w:val="30"/>
                <w:szCs w:val="30"/>
                <w:b w:val="1"/>
                <w:bCs w:val="1"/>
                <w:color w:val="auto"/>
                <w:w w:val="85"/>
                <w:vertAlign w:val="superscript"/>
              </w:rPr>
              <w:t>(2)</w:t>
            </w:r>
          </w:p>
        </w:tc>
        <w:tc>
          <w:tcPr>
            <w:tcW w:w="2240" w:type="dxa"/>
            <w:vAlign w:val="bottom"/>
            <w:gridSpan w:val="2"/>
          </w:tcPr>
          <w:p>
            <w:pPr>
              <w:jc w:val="center"/>
              <w:ind w:right="320"/>
              <w:spacing w:after="0" w:line="297" w:lineRule="exact"/>
              <w:rPr>
                <w:sz w:val="20"/>
                <w:szCs w:val="20"/>
                <w:color w:val="auto"/>
              </w:rPr>
            </w:pPr>
            <w:r>
              <w:rPr>
                <w:rFonts w:ascii="Arial" w:cs="Arial" w:eastAsia="Arial" w:hAnsi="Arial"/>
                <w:sz w:val="18"/>
                <w:szCs w:val="18"/>
                <w:b w:val="1"/>
                <w:bCs w:val="1"/>
                <w:color w:val="auto"/>
                <w:w w:val="83"/>
              </w:rPr>
              <w:t xml:space="preserve">60 days </w:t>
            </w:r>
            <w:r>
              <w:rPr>
                <w:rFonts w:ascii="Arial" w:cs="Arial" w:eastAsia="Arial" w:hAnsi="Arial"/>
                <w:sz w:val="30"/>
                <w:szCs w:val="30"/>
                <w:b w:val="1"/>
                <w:bCs w:val="1"/>
                <w:color w:val="auto"/>
                <w:w w:val="83"/>
                <w:vertAlign w:val="superscript"/>
              </w:rPr>
              <w:t>(2)</w:t>
            </w:r>
          </w:p>
        </w:tc>
        <w:tc>
          <w:tcPr>
            <w:tcW w:w="1340" w:type="dxa"/>
            <w:vAlign w:val="bottom"/>
            <w:gridSpan w:val="2"/>
          </w:tcPr>
          <w:p>
            <w:pPr>
              <w:jc w:val="right"/>
              <w:ind w:right="520"/>
              <w:spacing w:after="0" w:line="297" w:lineRule="exact"/>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30"/>
                <w:szCs w:val="30"/>
                <w:b w:val="1"/>
                <w:bCs w:val="1"/>
                <w:color w:val="auto"/>
                <w:vertAlign w:val="superscript"/>
              </w:rPr>
              <w:t>(2)</w:t>
            </w:r>
          </w:p>
        </w:tc>
        <w:tc>
          <w:tcPr>
            <w:tcW w:w="1180" w:type="dxa"/>
            <w:vAlign w:val="bottom"/>
            <w:gridSpan w:val="2"/>
          </w:tcPr>
          <w:p>
            <w:pPr>
              <w:jc w:val="right"/>
              <w:ind w:right="170"/>
              <w:spacing w:after="0" w:line="297" w:lineRule="exact"/>
              <w:rPr>
                <w:sz w:val="20"/>
                <w:szCs w:val="20"/>
                <w:color w:val="auto"/>
              </w:rPr>
            </w:pPr>
            <w:r>
              <w:rPr>
                <w:rFonts w:ascii="Arial" w:cs="Arial" w:eastAsia="Arial" w:hAnsi="Arial"/>
                <w:sz w:val="18"/>
                <w:szCs w:val="18"/>
                <w:b w:val="1"/>
                <w:bCs w:val="1"/>
                <w:color w:val="auto"/>
                <w:w w:val="94"/>
              </w:rPr>
              <w:t xml:space="preserve">Percent </w:t>
            </w:r>
            <w:r>
              <w:rPr>
                <w:rFonts w:ascii="Arial" w:cs="Arial" w:eastAsia="Arial" w:hAnsi="Arial"/>
                <w:sz w:val="30"/>
                <w:szCs w:val="30"/>
                <w:b w:val="1"/>
                <w:bCs w:val="1"/>
                <w:color w:val="auto"/>
                <w:w w:val="94"/>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vMerge w:val="continue"/>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w:t>
            </w:r>
          </w:p>
        </w:tc>
        <w:tc>
          <w:tcPr>
            <w:tcW w:w="1520" w:type="dxa"/>
            <w:vAlign w:val="bottom"/>
            <w:gridSpan w:val="2"/>
          </w:tcPr>
          <w:p>
            <w:pPr>
              <w:jc w:val="center"/>
              <w:ind w:right="310"/>
              <w:spacing w:after="0"/>
              <w:rPr>
                <w:sz w:val="20"/>
                <w:szCs w:val="20"/>
                <w:color w:val="auto"/>
              </w:rPr>
            </w:pPr>
            <w:r>
              <w:rPr>
                <w:rFonts w:ascii="Arial" w:cs="Arial" w:eastAsia="Arial" w:hAnsi="Arial"/>
                <w:sz w:val="18"/>
                <w:szCs w:val="18"/>
                <w:color w:val="auto"/>
                <w:w w:val="99"/>
              </w:rPr>
              <w:t>(B)</w:t>
            </w: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(C)</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(D)</w:t>
            </w:r>
          </w:p>
        </w:tc>
        <w:tc>
          <w:tcPr>
            <w:tcW w:w="1180" w:type="dxa"/>
            <w:vAlign w:val="bottom"/>
            <w:gridSpan w:val="2"/>
          </w:tcPr>
          <w:p>
            <w:pPr>
              <w:jc w:val="right"/>
              <w:ind w:right="470"/>
              <w:spacing w:after="0"/>
              <w:rPr>
                <w:sz w:val="20"/>
                <w:szCs w:val="20"/>
                <w:color w:val="auto"/>
              </w:rPr>
            </w:pPr>
            <w:r>
              <w:rPr>
                <w:rFonts w:ascii="Arial" w:cs="Arial" w:eastAsia="Arial" w:hAnsi="Arial"/>
                <w:sz w:val="18"/>
                <w:szCs w:val="18"/>
                <w:color w:val="auto"/>
              </w:rPr>
              <w: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tcBorders>
              <w:top w:val="single" w:sz="8" w:color="auto"/>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Directors and Executive Officers:</w:t>
            </w:r>
          </w:p>
        </w:tc>
        <w:tc>
          <w:tcPr>
            <w:tcW w:w="86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tcPr>
          <w:p>
            <w:pPr>
              <w:spacing w:after="0"/>
              <w:rPr>
                <w:sz w:val="20"/>
                <w:szCs w:val="20"/>
                <w:color w:val="auto"/>
              </w:rPr>
            </w:pPr>
            <w:r>
              <w:rPr>
                <w:rFonts w:ascii="Arial" w:cs="Arial" w:eastAsia="Arial" w:hAnsi="Arial"/>
                <w:sz w:val="18"/>
                <w:szCs w:val="18"/>
                <w:color w:val="auto"/>
              </w:rPr>
              <w:t>Zeynep Hakimoglu</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208,395</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2.38%</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324,999</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533,394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 xml:space="preserve">Brad R. Baldwin </w:t>
            </w:r>
            <w:r>
              <w:rPr>
                <w:rFonts w:ascii="Arial" w:cs="Arial" w:eastAsia="Arial" w:hAnsi="Arial"/>
                <w:sz w:val="29"/>
                <w:szCs w:val="29"/>
                <w:color w:val="auto"/>
                <w:vertAlign w:val="superscript"/>
              </w:rPr>
              <w:t>(3)</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113,853</w:t>
            </w:r>
          </w:p>
        </w:tc>
        <w:tc>
          <w:tcPr>
            <w:tcW w:w="1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3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144,963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tcPr>
          <w:p>
            <w:pPr>
              <w:spacing w:after="0"/>
              <w:rPr>
                <w:sz w:val="20"/>
                <w:szCs w:val="20"/>
                <w:color w:val="auto"/>
              </w:rPr>
            </w:pPr>
            <w:r>
              <w:rPr>
                <w:rFonts w:ascii="Arial" w:cs="Arial" w:eastAsia="Arial" w:hAnsi="Arial"/>
                <w:sz w:val="18"/>
                <w:szCs w:val="18"/>
                <w:color w:val="auto"/>
              </w:rPr>
              <w:t>Larry R. Hendricks</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21,648</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0.25%</w:t>
            </w:r>
          </w:p>
        </w:tc>
        <w:tc>
          <w:tcPr>
            <w:tcW w:w="1920" w:type="dxa"/>
            <w:vAlign w:val="bottom"/>
          </w:tcPr>
          <w:p>
            <w:pPr>
              <w:jc w:val="right"/>
              <w:spacing w:after="0"/>
              <w:rPr>
                <w:sz w:val="20"/>
                <w:szCs w:val="20"/>
                <w:color w:val="auto"/>
              </w:rPr>
            </w:pPr>
            <w:r>
              <w:rPr>
                <w:rFonts w:ascii="Arial" w:cs="Arial" w:eastAsia="Arial" w:hAnsi="Arial"/>
                <w:sz w:val="18"/>
                <w:szCs w:val="18"/>
                <w:color w:val="auto"/>
              </w:rPr>
              <w:t>56,110</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77,758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Eric L. Robinson</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1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0.00%</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4,860</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tcPr>
          <w:p>
            <w:pPr>
              <w:spacing w:after="0"/>
              <w:rPr>
                <w:sz w:val="20"/>
                <w:szCs w:val="20"/>
                <w:color w:val="auto"/>
              </w:rPr>
            </w:pPr>
            <w:r>
              <w:rPr>
                <w:rFonts w:ascii="Arial" w:cs="Arial" w:eastAsia="Arial" w:hAnsi="Arial"/>
                <w:sz w:val="18"/>
                <w:szCs w:val="18"/>
                <w:color w:val="auto"/>
              </w:rPr>
              <w:t>Narsi Narayanan</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4,963</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0.06%</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102,499</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107,462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Michael J. Braithwaite</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1,244</w:t>
            </w:r>
          </w:p>
        </w:tc>
        <w:tc>
          <w:tcPr>
            <w:tcW w:w="1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0.01%</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6,666</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7,910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gridSpan w:val="5"/>
          </w:tcPr>
          <w:p>
            <w:pPr>
              <w:spacing w:after="0" w:line="203" w:lineRule="exact"/>
              <w:rPr>
                <w:sz w:val="20"/>
                <w:szCs w:val="20"/>
                <w:color w:val="auto"/>
              </w:rPr>
            </w:pPr>
            <w:r>
              <w:rPr>
                <w:rFonts w:ascii="Arial" w:cs="Arial" w:eastAsia="Arial" w:hAnsi="Arial"/>
                <w:sz w:val="18"/>
                <w:szCs w:val="18"/>
                <w:color w:val="auto"/>
              </w:rPr>
              <w:t>Total (Directors and Officers)</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350,168</w:t>
            </w:r>
          </w:p>
        </w:tc>
        <w:tc>
          <w:tcPr>
            <w:tcW w:w="3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4.01</w:t>
            </w:r>
          </w:p>
        </w:tc>
        <w:tc>
          <w:tcPr>
            <w:tcW w:w="380" w:type="dxa"/>
            <w:vAlign w:val="bottom"/>
            <w:tcBorders>
              <w:top w:val="single" w:sz="8" w:color="CCEEFF"/>
              <w:bottom w:val="single" w:sz="8" w:color="CCEEFF"/>
            </w:tcBorders>
          </w:tcPr>
          <w:p>
            <w:pPr>
              <w:jc w:val="right"/>
              <w:ind w:right="150"/>
              <w:spacing w:after="0" w:line="203" w:lineRule="exact"/>
              <w:rPr>
                <w:sz w:val="20"/>
                <w:szCs w:val="20"/>
                <w:color w:val="auto"/>
              </w:rPr>
            </w:pPr>
            <w:r>
              <w:rPr>
                <w:rFonts w:ascii="Arial" w:cs="Arial" w:eastAsia="Arial" w:hAnsi="Arial"/>
                <w:sz w:val="18"/>
                <w:szCs w:val="18"/>
                <w:color w:val="auto"/>
                <w:w w:val="74"/>
              </w:rPr>
              <w:t>%</w:t>
            </w:r>
          </w:p>
        </w:tc>
        <w:tc>
          <w:tcPr>
            <w:tcW w:w="1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526,244</w:t>
            </w:r>
          </w:p>
        </w:tc>
        <w:tc>
          <w:tcPr>
            <w:tcW w:w="32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876,412</w:t>
            </w:r>
          </w:p>
        </w:tc>
        <w:tc>
          <w:tcPr>
            <w:tcW w:w="32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9.45</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5% Shareholders:</w:t>
            </w:r>
          </w:p>
        </w:tc>
        <w:tc>
          <w:tcPr>
            <w:tcW w:w="2260" w:type="dxa"/>
            <w:vAlign w:val="bottom"/>
            <w:tcBorders>
              <w:bottom w:val="single" w:sz="8" w:color="CCEEFF"/>
            </w:tcBorders>
            <w:gridSpan w:val="4"/>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gridSpan w:val="5"/>
          </w:tcPr>
          <w:p>
            <w:pPr>
              <w:spacing w:after="0" w:line="256" w:lineRule="exact"/>
              <w:rPr>
                <w:sz w:val="20"/>
                <w:szCs w:val="20"/>
                <w:color w:val="auto"/>
              </w:rPr>
            </w:pPr>
            <w:r>
              <w:rPr>
                <w:rFonts w:ascii="Arial" w:cs="Arial" w:eastAsia="Arial" w:hAnsi="Arial"/>
                <w:sz w:val="18"/>
                <w:szCs w:val="18"/>
                <w:color w:val="auto"/>
              </w:rPr>
              <w:t xml:space="preserve">Edward D. Bagley </w:t>
            </w:r>
            <w:r>
              <w:rPr>
                <w:rFonts w:ascii="Arial" w:cs="Arial" w:eastAsia="Arial" w:hAnsi="Arial"/>
                <w:sz w:val="29"/>
                <w:szCs w:val="29"/>
                <w:color w:val="auto"/>
                <w:vertAlign w:val="superscript"/>
              </w:rPr>
              <w:t>(4)</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2,761,043</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31.59%</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4,860</w:t>
            </w:r>
          </w:p>
        </w:tc>
        <w:tc>
          <w:tcPr>
            <w:tcW w:w="1020" w:type="dxa"/>
            <w:vAlign w:val="bottom"/>
          </w:tcPr>
          <w:p>
            <w:pPr>
              <w:jc w:val="right"/>
              <w:spacing w:after="0"/>
              <w:rPr>
                <w:sz w:val="20"/>
                <w:szCs w:val="20"/>
                <w:color w:val="auto"/>
              </w:rPr>
            </w:pPr>
            <w:r>
              <w:rPr>
                <w:rFonts w:ascii="Arial" w:cs="Arial" w:eastAsia="Arial" w:hAnsi="Arial"/>
                <w:sz w:val="18"/>
                <w:szCs w:val="18"/>
                <w:color w:val="auto"/>
              </w:rPr>
              <w:t>2,765,903</w:t>
            </w:r>
          </w:p>
        </w:tc>
        <w:tc>
          <w:tcPr>
            <w:tcW w:w="3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 xml:space="preserve">Wellington Trust Company </w:t>
            </w:r>
            <w:r>
              <w:rPr>
                <w:rFonts w:ascii="Arial" w:cs="Arial" w:eastAsia="Arial" w:hAnsi="Arial"/>
                <w:sz w:val="29"/>
                <w:szCs w:val="29"/>
                <w:color w:val="auto"/>
                <w:vertAlign w:val="superscript"/>
              </w:rPr>
              <w:t>(5)</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790,594</w:t>
            </w:r>
          </w:p>
        </w:tc>
        <w:tc>
          <w:tcPr>
            <w:tcW w:w="1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9.04%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790,594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660" w:hanging="652"/>
        <w:spacing w:after="0" w:line="31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otherwise indicated, each person named in the table has sole voting and investment power, subject to the Utah Control Shares Acquisition Statute, with respect to all common stock beneficially owned, subject to applicable community property law. Except as otherwise indicated, each person may be reached at our corporate offices c/o ClearOne, Inc., 5225 Wiley Post Way, Suite 500, Salt Lake City, Utah 84116.</w:t>
      </w:r>
    </w:p>
    <w:p>
      <w:pPr>
        <w:spacing w:after="0" w:line="146" w:lineRule="exact"/>
        <w:rPr>
          <w:rFonts w:ascii="Arial" w:cs="Arial" w:eastAsia="Arial" w:hAnsi="Arial"/>
          <w:sz w:val="16"/>
          <w:szCs w:val="16"/>
          <w:color w:val="auto"/>
        </w:rPr>
      </w:pPr>
    </w:p>
    <w:p>
      <w:pPr>
        <w:jc w:val="both"/>
        <w:ind w:left="660" w:hanging="652"/>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percentages shown in Column (B) are calculated based on 8,741,214 shares of common stock outstanding on March 27, 2017. The numbers shown in Column (D) and percentages shown in Column (E) include the shares of common stock actually owned as of March 27, 2017 and the shares of common stock that the identified person or group had the right to acquire within 60 days of such date. In calculating the percentage of ownership, all shares of common stock that each identified person or group had the right to acquire within 60 days of March 27, 2017 upon the exercise of options shown in Column (C) are deemed to be outstanding for the purpose of computing the percentage of the shares of common stock owned by the persons or groups listed above.</w:t>
      </w:r>
    </w:p>
    <w:p>
      <w:pPr>
        <w:spacing w:after="0" w:line="19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 75,329 shares held in the Baldwin Family Trust; (ii) 26,947 owned jointly with his spouse; and (iii) 11,577 shares owned directly, of which 11,000 are held in an IRA under the name of Mr. Baldwin.</w:t>
      </w:r>
    </w:p>
    <w:p>
      <w:pPr>
        <w:spacing w:after="0" w:line="170" w:lineRule="exact"/>
        <w:rPr>
          <w:rFonts w:ascii="Arial" w:cs="Arial" w:eastAsia="Arial" w:hAnsi="Arial"/>
          <w:sz w:val="18"/>
          <w:szCs w:val="18"/>
          <w:color w:val="auto"/>
        </w:rPr>
      </w:pPr>
    </w:p>
    <w:p>
      <w:pPr>
        <w:jc w:val="both"/>
        <w:ind w:left="660" w:hanging="652"/>
        <w:spacing w:after="0" w:line="270"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Amounts for Mr. Edward D. Bagley include (i) 126,166 shares held by Edward D. Bagley’s spouse with respect to which he disclaims beneficial ownership but also has acknowledged he may be deemed the owner and (ii) 800,000 shares that are deemed to be owned by his spouse based on the fact she is a trustee of the trust in which such shares are held. Mr. Edward D. Bagley has sole voting and dispositive power over 1,834,877 shares (including the shares that may be acquired pursuant to the exercise of stock options) and shared voting and dispositive power over the 126,166 shares held by Mr. Edward D. Bagley’s spouse. This information is based upon Schedules 13D/A, as filed by Mr. Edward D. Bagley with the SEC in 2013 and Forms 4 filed with SEC in 2016. E. Bryan Bagley, who resigned as Director effective November 6, 2012 is the son of Edward D. Bagley, and each of them has previously disclaimed beneficial ownership of common stock beneficially owned by the other. The amounts indicated for Mr. Edward D. Bagley do not include any shares held by E. Bryan Bagley. All shares indicated as beneficially owned by Edward D. Bagley are subject to application of the Utah Control Shares Acquisition Act.</w:t>
      </w:r>
    </w:p>
    <w:p>
      <w:pPr>
        <w:spacing w:after="0" w:line="181"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790,594 shares of our common stock beneficially owned by investment advisers directly or indirectly owned by Wellington Trust Company, National Association Multiple Common Trust Funds Trust and Micro Cap Equity Portfolio. This information is based upon a Schedule 13G/A, as filed and amended with the SEC as of February 9,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518"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PROPOSAL TWO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THE APPOINTMENT OF THE COMPANY’S INDEPENDENT PUBLIC ACCOUNTANTS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retained Tanner LLC as our auditor and independent certified public accountants for the year ended December 31, 2016. The Board of Directors of the Company has approved the appointment of Tanner LLC as our auditor and independent certified public accountants for the year ending December 31, 2017. The ratification of selection of our auditors for the current year ending on December 31, 2017 is being submitted to the shareholders for their consideration.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It is anticipated that a representative of Tanner LLC will attend the annual meeting and will be available to respond to questions. It is not anticipated that the representative will make any statement or presentation, although the representative will have an opportunity to do so if he or she desires.</w:t>
      </w:r>
    </w:p>
    <w:p>
      <w:pPr>
        <w:spacing w:after="0" w:line="12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PRINCIPLE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aggregate fees billed by the principal accountants to our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3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Tanner</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Tanner</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RSM</w:t>
            </w:r>
          </w:p>
        </w:tc>
        <w:tc>
          <w:tcPr>
            <w:tcW w:w="60" w:type="dxa"/>
            <w:vAlign w:val="bottom"/>
            <w:tcBorders>
              <w:bottom w:val="single" w:sz="8" w:color="CCEEFF"/>
            </w:tcBorders>
          </w:tcPr>
          <w:p>
            <w:pPr>
              <w:spacing w:after="0"/>
              <w:rPr>
                <w:sz w:val="19"/>
                <w:szCs w:val="19"/>
                <w:color w:val="auto"/>
              </w:rPr>
            </w:pPr>
          </w:p>
        </w:tc>
      </w:tr>
      <w:tr>
        <w:trPr>
          <w:trHeight w:val="243"/>
        </w:trPr>
        <w:tc>
          <w:tcPr>
            <w:tcW w:w="38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299,000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86,000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18,000</w:t>
            </w:r>
          </w:p>
        </w:tc>
      </w:tr>
      <w:tr>
        <w:trPr>
          <w:trHeight w:val="257"/>
        </w:trPr>
        <w:tc>
          <w:tcPr>
            <w:tcW w:w="3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3,400</w:t>
            </w: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227,000</w:t>
            </w:r>
          </w:p>
        </w:tc>
      </w:tr>
      <w:tr>
        <w:trPr>
          <w:trHeight w:val="250"/>
        </w:trPr>
        <w:tc>
          <w:tcPr>
            <w:tcW w:w="3840" w:type="dxa"/>
            <w:vAlign w:val="bottom"/>
          </w:tcPr>
          <w:p>
            <w:pPr>
              <w:spacing w:after="0" w:line="243" w:lineRule="exact"/>
              <w:rPr>
                <w:sz w:val="20"/>
                <w:szCs w:val="20"/>
                <w:color w:val="auto"/>
              </w:rPr>
            </w:pPr>
            <w:r>
              <w:rPr>
                <w:rFonts w:ascii="Arial" w:cs="Arial" w:eastAsia="Arial" w:hAnsi="Arial"/>
                <w:sz w:val="17"/>
                <w:szCs w:val="17"/>
                <w:color w:val="auto"/>
              </w:rPr>
              <w:t>All other fees</w:t>
            </w:r>
            <w:r>
              <w:rPr>
                <w:rFonts w:ascii="Arial" w:cs="Arial" w:eastAsia="Arial" w:hAnsi="Arial"/>
                <w:sz w:val="28"/>
                <w:szCs w:val="28"/>
                <w:color w:val="auto"/>
                <w:vertAlign w:val="superscript"/>
              </w:rPr>
              <w:t>(3)</w:t>
            </w: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left="6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fees billed for professional services rendered for the audit and reviews of our financial statements filed with the SEC on Forms 10-K and 10-Q. Fees billed by RSM US LLP (“RSM”) for 2015 and for a portion of 2014 related to audit fees billed in connection with opinions which were withdrawn for 2014 or fees for reviews which required re-performance by Tanner for 2015.</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fees billed for tax filing, preparation, and tax advisory services.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fees billed for all other non-audit services, such as consulting on potential acquisitions or dispositions.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2015,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APPOINTMENT OF OUR INDEPENDENT PUBLIC ACCOUNTANTS.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PROPOSAL THREE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BY NON-BINDING VOTE, OF THE COMPENSATION OF OUR NAMED EXECUTIVE OFFICERS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Dodd-Frank Wall Street and Consumer Protection Act of 2010, or the Dodd-Frank Act, enables our shareholders to vote to approve, on a non-binding, advisory basis, the compensation of our named executive officers as disclosed in this proxy statement in accordance with the disclosure rules of the SEC.</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described in detail under the headings “Compensation Discussion &amp; Analysis” and “Executive Compensation,” our executive compensation programs are designed to attract and retain key executives, to stimulate management’s efforts on our behalf in a way that supports our business plan and to align management’s incentives with our long-term interests and those of our shareholders. Please read the discussion under the headings “Compensation Discussion and Analysis” for additional details about our executive compensation programs, including information about the fiscal year 2016 compensation of our named executive officers.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asking shareholders to indicate their support for our named executive officers’ compensation as described in this proxy statement. This proposal, commonly known as “say on pay,” gives our shareholders the opportunity to express their views on our named executive officers’ compensation. The vote on this proposal is not intended to address any specific element of compensation, but rather the overall compensation of our named executive officers and the philosophy, policies and practices described in this proxy statement. Accordingly, we will ask our shareholders to vote FOR this proposal on their proxy card.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say-on-pay vote is advisory and, therefore, not binding on the Company, the Compensation Committee or the Board of Directors. Our Board of Directors and our Compensation Committee value the opinions of our shareholders, and to the extent there is any significant vote against our named executive officers’ compensation as disclosed in this proxy statement, the Compensation Committee will evaluate what, if any, actions are necessary to address the concerns of shareholders.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we ask our shareholders to approve the following advisory resolution at the 2017 Annual Meeting: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in the compensation tables and narrative discussion, is hereby approved.”</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OF THE COMPENSATION OF OUR NAMED EXECUTIVE OFFICERS, AS DISCLOSED IN THIS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SHAREHOLDER PROPOSALS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shareholder that wishes to present any proposal for shareholder action at our Annual Meeting of Shareholders to be held during calendar year 2018 must notify us at our principal executive offices no later than March 3, 2018 in order for the proposal to be included in our proxy statement and form of proxy relating to that meeting.</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Rule 14a-8 under the Exchange Act, we intend to retain discretionary authority to vote proxies with respect to shareholder proposals for which the proponent does not seek inclusion of the proposed matter in our proxy statement for the annual meeting to be held during calendar 2018, except in circumstances where (i) we receive notice of the proposed matter no later than December 6, 2017 and (ii) the proponent complies with the other requirements set forth in Rule 14a-8.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PROXY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specifically modified or supplemented by the information contained in this supplement, all information set forth in the Definitive Proxy Statement remains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2449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9244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9382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1]"/>
      <w:numFmt w:val="upperLetter"/>
      <w:start w:val="24"/>
    </w:lvl>
  </w:abstractNum>
  <w:abstractNum w:abstractNumId="2">
    <w:nsid w:val="140E0F76"/>
    <w:multiLevelType w:val="hybridMultilevel"/>
    <w:lvl w:ilvl="0">
      <w:lvlJc w:val="left"/>
      <w:lvlText w:val="["/>
      <w:numFmt w:val="bullet"/>
      <w:start w:val="1"/>
    </w:lvl>
    <w:lvl w:ilvl="1">
      <w:lvlJc w:val="left"/>
      <w:lvlText w:val="%2)"/>
      <w:numFmt w:val="decimal"/>
      <w:start w:val="1"/>
    </w:lvl>
  </w:abstractNum>
  <w:abstractNum w:abstractNumId="3">
    <w:nsid w:val="3352255A"/>
    <w:multiLevelType w:val="hybridMultilevel"/>
    <w:lvl w:ilvl="0">
      <w:lvlJc w:val="left"/>
      <w:lvlText w:val="["/>
      <w:numFmt w:val="bullet"/>
      <w:start w:val="1"/>
    </w:lvl>
    <w:lvl w:ilvl="1">
      <w:lvlJc w:val="left"/>
      <w:lvlText w:val="%2)"/>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Roman"/>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lowerRoman"/>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4"/>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2019-12-05T16:49:23Z</dcterms:created>
  <dcterms:modified xsi:type="dcterms:W3CDTF">2019-12-05T16:49:23Z</dcterms:modified>
</cp:coreProperties>
</file>