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Arial" w:cs="Arial" w:eastAsia="Arial" w:hAnsi="Arial"/>
          <w:sz w:val="22"/>
          <w:szCs w:val="22"/>
          <w:b w:val="1"/>
          <w:bCs w:val="1"/>
          <w:color w:val="auto"/>
        </w:rPr>
        <w:t>UNITED STATES</w:t>
      </w:r>
    </w:p>
    <w:p>
      <w:pPr>
        <w:spacing w:after="0" w:line="179" w:lineRule="exact"/>
        <w:rPr>
          <w:sz w:val="24"/>
          <w:szCs w:val="24"/>
          <w:color w:val="auto"/>
        </w:rPr>
      </w:pPr>
    </w:p>
    <w:p>
      <w:pPr>
        <w:ind w:left="600"/>
        <w:spacing w:after="0"/>
        <w:rPr>
          <w:sz w:val="20"/>
          <w:szCs w:val="20"/>
          <w:color w:val="auto"/>
        </w:rPr>
      </w:pPr>
      <w:r>
        <w:rPr>
          <w:rFonts w:ascii="Arial" w:cs="Arial" w:eastAsia="Arial" w:hAnsi="Arial"/>
          <w:sz w:val="22"/>
          <w:szCs w:val="22"/>
          <w:b w:val="1"/>
          <w:bCs w:val="1"/>
          <w:color w:val="auto"/>
        </w:rPr>
        <w:t>SECURITIES AND EXCHANGE COMMISSIONWASHINGTON, DC 20549</w:t>
      </w:r>
    </w:p>
    <w:p>
      <w:pPr>
        <w:spacing w:after="0" w:line="179" w:lineRule="exact"/>
        <w:rPr>
          <w:sz w:val="24"/>
          <w:szCs w:val="24"/>
          <w:color w:val="auto"/>
        </w:rPr>
      </w:pPr>
    </w:p>
    <w:p>
      <w:pPr>
        <w:ind w:left="3420"/>
        <w:spacing w:after="0"/>
        <w:rPr>
          <w:sz w:val="20"/>
          <w:szCs w:val="20"/>
          <w:color w:val="auto"/>
        </w:rPr>
      </w:pPr>
      <w:r>
        <w:rPr>
          <w:rFonts w:ascii="Arial" w:cs="Arial" w:eastAsia="Arial" w:hAnsi="Arial"/>
          <w:sz w:val="22"/>
          <w:szCs w:val="22"/>
          <w:b w:val="1"/>
          <w:bCs w:val="1"/>
          <w:color w:val="auto"/>
        </w:rPr>
        <w:t>SCHEDULE 14A</w:t>
      </w:r>
    </w:p>
    <w:p>
      <w:pPr>
        <w:spacing w:after="0" w:line="179" w:lineRule="exact"/>
        <w:rPr>
          <w:sz w:val="24"/>
          <w:szCs w:val="24"/>
          <w:color w:val="auto"/>
        </w:rPr>
      </w:pPr>
    </w:p>
    <w:p>
      <w:pPr>
        <w:ind w:left="3540"/>
        <w:spacing w:after="0"/>
        <w:rPr>
          <w:sz w:val="20"/>
          <w:szCs w:val="20"/>
          <w:color w:val="auto"/>
        </w:rPr>
      </w:pPr>
      <w:r>
        <w:rPr>
          <w:rFonts w:ascii="Arial" w:cs="Arial" w:eastAsia="Arial" w:hAnsi="Arial"/>
          <w:sz w:val="22"/>
          <w:szCs w:val="22"/>
          <w:b w:val="1"/>
          <w:bCs w:val="1"/>
          <w:color w:val="auto"/>
        </w:rPr>
        <w:t>(Rule 14a-101)</w:t>
      </w:r>
    </w:p>
    <w:p>
      <w:pPr>
        <w:spacing w:after="0" w:line="179" w:lineRule="exact"/>
        <w:rPr>
          <w:sz w:val="24"/>
          <w:szCs w:val="24"/>
          <w:color w:val="auto"/>
        </w:rPr>
      </w:pPr>
    </w:p>
    <w:p>
      <w:pPr>
        <w:ind w:left="2600"/>
        <w:spacing w:after="0"/>
        <w:rPr>
          <w:sz w:val="20"/>
          <w:szCs w:val="20"/>
          <w:color w:val="auto"/>
        </w:rPr>
      </w:pPr>
      <w:r>
        <w:rPr>
          <w:rFonts w:ascii="Arial" w:cs="Arial" w:eastAsia="Arial" w:hAnsi="Arial"/>
          <w:sz w:val="22"/>
          <w:szCs w:val="22"/>
          <w:b w:val="1"/>
          <w:bCs w:val="1"/>
          <w:color w:val="auto"/>
        </w:rPr>
        <w:t>SCHEDULE 14A INFORMATION</w:t>
      </w:r>
    </w:p>
    <w:p>
      <w:pPr>
        <w:spacing w:after="0" w:line="185" w:lineRule="exact"/>
        <w:rPr>
          <w:sz w:val="24"/>
          <w:szCs w:val="24"/>
          <w:color w:val="auto"/>
        </w:rPr>
      </w:pPr>
    </w:p>
    <w:p>
      <w:pPr>
        <w:ind w:left="680"/>
        <w:spacing w:after="0"/>
        <w:rPr>
          <w:sz w:val="20"/>
          <w:szCs w:val="20"/>
          <w:color w:val="auto"/>
        </w:rPr>
      </w:pPr>
      <w:r>
        <w:rPr>
          <w:rFonts w:ascii="Arial" w:cs="Arial" w:eastAsia="Arial" w:hAnsi="Arial"/>
          <w:sz w:val="21"/>
          <w:szCs w:val="21"/>
          <w:color w:val="auto"/>
        </w:rPr>
        <w:t>Proxy Statement Pursuant to Section 14(a) ofthe Securities Exchange Act of 1934</w:t>
      </w:r>
    </w:p>
    <w:p>
      <w:pPr>
        <w:spacing w:after="0" w:line="191" w:lineRule="exact"/>
        <w:rPr>
          <w:sz w:val="24"/>
          <w:szCs w:val="24"/>
          <w:color w:val="auto"/>
        </w:rPr>
      </w:pPr>
    </w:p>
    <w:p>
      <w:pPr>
        <w:spacing w:after="0"/>
        <w:rPr>
          <w:sz w:val="20"/>
          <w:szCs w:val="20"/>
          <w:color w:val="auto"/>
        </w:rPr>
      </w:pPr>
      <w:r>
        <w:rPr>
          <w:rFonts w:ascii="Arial" w:cs="Arial" w:eastAsia="Arial" w:hAnsi="Arial"/>
          <w:sz w:val="22"/>
          <w:szCs w:val="22"/>
          <w:color w:val="auto"/>
        </w:rPr>
        <w:t>Filed by the Registrant x</w:t>
      </w:r>
    </w:p>
    <w:p>
      <w:pPr>
        <w:spacing w:after="0" w:line="179" w:lineRule="exact"/>
        <w:rPr>
          <w:sz w:val="24"/>
          <w:szCs w:val="24"/>
          <w:color w:val="auto"/>
        </w:rPr>
      </w:pPr>
    </w:p>
    <w:p>
      <w:pPr>
        <w:spacing w:after="0"/>
        <w:rPr>
          <w:sz w:val="20"/>
          <w:szCs w:val="20"/>
          <w:color w:val="auto"/>
        </w:rPr>
      </w:pPr>
      <w:r>
        <w:rPr>
          <w:rFonts w:ascii="Arial" w:cs="Arial" w:eastAsia="Arial" w:hAnsi="Arial"/>
          <w:sz w:val="22"/>
          <w:szCs w:val="22"/>
          <w:color w:val="auto"/>
        </w:rPr>
        <w:t>Filed by a Party other than the Registrant o</w:t>
      </w:r>
    </w:p>
    <w:p>
      <w:pPr>
        <w:spacing w:after="0" w:line="179"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spacing w:after="0" w:line="179" w:lineRule="exact"/>
        <w:rPr>
          <w:sz w:val="24"/>
          <w:szCs w:val="24"/>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Preliminary Proxy Statement.</w:t>
      </w:r>
    </w:p>
    <w:p>
      <w:pPr>
        <w:spacing w:after="0" w:line="8"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Confidential, for Use of the Commission Only (as permitted by Rule 14a-6(e)(2)).</w:t>
      </w:r>
    </w:p>
    <w:p>
      <w:pPr>
        <w:spacing w:after="0" w:line="1"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x</w:t>
      </w:r>
      <w:r>
        <w:rPr>
          <w:rFonts w:ascii="Arial" w:cs="Arial" w:eastAsia="Arial" w:hAnsi="Arial"/>
          <w:sz w:val="19"/>
          <w:szCs w:val="19"/>
          <w:color w:val="auto"/>
        </w:rPr>
        <w:t>Definitive Proxy Statement.</w:t>
      </w:r>
    </w:p>
    <w:p>
      <w:pPr>
        <w:ind w:left="620" w:hanging="612"/>
        <w:spacing w:after="0" w:line="230" w:lineRule="auto"/>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Definitive Additional Materials.</w:t>
      </w: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§240.14a-12.</w:t>
      </w:r>
    </w:p>
    <w:p>
      <w:pPr>
        <w:spacing w:after="0" w:line="155"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u w:val="single" w:color="auto"/>
          <w:color w:val="auto"/>
        </w:rPr>
        <w:t>ClearOne Communications, Inc.</w:t>
      </w:r>
    </w:p>
    <w:p>
      <w:pPr>
        <w:spacing w:after="0" w:line="192" w:lineRule="exact"/>
        <w:rPr>
          <w:sz w:val="24"/>
          <w:szCs w:val="24"/>
          <w:color w:val="auto"/>
        </w:rPr>
      </w:pPr>
    </w:p>
    <w:p>
      <w:pPr>
        <w:jc w:val="center"/>
        <w:ind w:right="1779"/>
        <w:spacing w:after="0"/>
        <w:rPr>
          <w:sz w:val="20"/>
          <w:szCs w:val="20"/>
          <w:color w:val="auto"/>
        </w:rPr>
      </w:pPr>
      <w:r>
        <w:rPr>
          <w:rFonts w:ascii="Arial" w:cs="Arial" w:eastAsia="Arial" w:hAnsi="Arial"/>
          <w:sz w:val="18"/>
          <w:szCs w:val="18"/>
          <w:color w:val="auto"/>
        </w:rPr>
        <w:t>(Name of Registrant as Specified in its Charter)</w:t>
      </w:r>
    </w:p>
    <w:p>
      <w:pPr>
        <w:spacing w:after="0" w:line="191" w:lineRule="exact"/>
        <w:rPr>
          <w:sz w:val="24"/>
          <w:szCs w:val="24"/>
          <w:color w:val="auto"/>
        </w:rPr>
      </w:pPr>
    </w:p>
    <w:p>
      <w:pPr>
        <w:ind w:left="1260"/>
        <w:spacing w:after="0"/>
        <w:rPr>
          <w:sz w:val="20"/>
          <w:szCs w:val="20"/>
          <w:color w:val="auto"/>
        </w:rPr>
      </w:pPr>
      <w:r>
        <w:rPr>
          <w:rFonts w:ascii="Arial" w:cs="Arial" w:eastAsia="Arial" w:hAnsi="Arial"/>
          <w:sz w:val="22"/>
          <w:szCs w:val="22"/>
          <w:color w:val="auto"/>
        </w:rPr>
        <w:t>(Name of Person(s) Filing Proxy Statement, if other than Registrant)</w:t>
      </w:r>
    </w:p>
    <w:p>
      <w:pPr>
        <w:spacing w:after="0" w:line="179"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179" w:lineRule="exact"/>
        <w:rPr>
          <w:sz w:val="24"/>
          <w:szCs w:val="24"/>
          <w:color w:val="auto"/>
        </w:rPr>
      </w:pPr>
    </w:p>
    <w:p>
      <w:pPr>
        <w:ind w:left="620" w:hanging="612"/>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No fee required.</w:t>
      </w:r>
    </w:p>
    <w:tbl>
      <w:tblPr>
        <w:tblLayout w:type="fixed"/>
        <w:tblInd w:w="0" w:type="dxa"/>
        <w:tblCellMar>
          <w:top w:w="0" w:type="dxa"/>
          <w:left w:w="0" w:type="dxa"/>
          <w:bottom w:w="0" w:type="dxa"/>
          <w:right w:w="0" w:type="dxa"/>
        </w:tblCellMar>
      </w:tblPr>
      <w:tr>
        <w:trPr>
          <w:trHeight w:val="233"/>
        </w:trPr>
        <w:tc>
          <w:tcPr>
            <w:tcW w:w="380" w:type="dxa"/>
            <w:vAlign w:val="bottom"/>
          </w:tcPr>
          <w:p>
            <w:pPr>
              <w:spacing w:after="0" w:line="233" w:lineRule="exact"/>
              <w:rPr>
                <w:sz w:val="20"/>
                <w:szCs w:val="20"/>
                <w:color w:val="auto"/>
              </w:rPr>
            </w:pPr>
            <w:r>
              <w:rPr>
                <w:rFonts w:ascii="Arial" w:cs="Arial" w:eastAsia="Arial" w:hAnsi="Arial"/>
                <w:sz w:val="22"/>
                <w:szCs w:val="22"/>
                <w:color w:val="auto"/>
              </w:rPr>
              <w:t>o</w:t>
            </w:r>
          </w:p>
        </w:tc>
        <w:tc>
          <w:tcPr>
            <w:tcW w:w="4600" w:type="dxa"/>
            <w:vAlign w:val="bottom"/>
            <w:gridSpan w:val="2"/>
          </w:tcPr>
          <w:p>
            <w:pPr>
              <w:ind w:left="280"/>
              <w:spacing w:after="0" w:line="233" w:lineRule="exact"/>
              <w:rPr>
                <w:sz w:val="20"/>
                <w:szCs w:val="20"/>
                <w:color w:val="auto"/>
              </w:rPr>
            </w:pPr>
            <w:r>
              <w:rPr>
                <w:rFonts w:ascii="Arial" w:cs="Arial" w:eastAsia="Arial" w:hAnsi="Arial"/>
                <w:sz w:val="22"/>
                <w:szCs w:val="22"/>
                <w:color w:val="auto"/>
                <w:w w:val="91"/>
              </w:rPr>
              <w:t>Fee computed on table below per Exchange Act</w:t>
            </w:r>
          </w:p>
        </w:tc>
        <w:tc>
          <w:tcPr>
            <w:tcW w:w="3440" w:type="dxa"/>
            <w:vAlign w:val="bottom"/>
          </w:tcPr>
          <w:p>
            <w:pPr>
              <w:ind w:left="180"/>
              <w:spacing w:after="0" w:line="233" w:lineRule="exact"/>
              <w:rPr>
                <w:sz w:val="20"/>
                <w:szCs w:val="20"/>
                <w:color w:val="auto"/>
              </w:rPr>
            </w:pPr>
            <w:r>
              <w:rPr>
                <w:rFonts w:ascii="Arial" w:cs="Arial" w:eastAsia="Arial" w:hAnsi="Arial"/>
                <w:sz w:val="22"/>
                <w:szCs w:val="22"/>
                <w:color w:val="auto"/>
              </w:rPr>
              <w:t>)(4) and 0-11.</w:t>
            </w:r>
          </w:p>
        </w:tc>
      </w:tr>
      <w:tr>
        <w:trPr>
          <w:trHeight w:val="216"/>
        </w:trPr>
        <w:tc>
          <w:tcPr>
            <w:tcW w:w="380" w:type="dxa"/>
            <w:vAlign w:val="bottom"/>
          </w:tcPr>
          <w:p>
            <w:pPr>
              <w:spacing w:after="0"/>
              <w:rPr>
                <w:sz w:val="18"/>
                <w:szCs w:val="18"/>
                <w:color w:val="auto"/>
              </w:rPr>
            </w:pPr>
          </w:p>
        </w:tc>
        <w:tc>
          <w:tcPr>
            <w:tcW w:w="4600" w:type="dxa"/>
            <w:vAlign w:val="bottom"/>
            <w:gridSpan w:val="2"/>
          </w:tcPr>
          <w:p>
            <w:pPr>
              <w:ind w:left="280"/>
              <w:spacing w:after="0" w:line="217" w:lineRule="exact"/>
              <w:rPr>
                <w:sz w:val="20"/>
                <w:szCs w:val="20"/>
                <w:color w:val="auto"/>
              </w:rPr>
            </w:pPr>
            <w:r>
              <w:rPr>
                <w:rFonts w:ascii="Arial" w:cs="Arial" w:eastAsia="Arial" w:hAnsi="Arial"/>
                <w:sz w:val="22"/>
                <w:szCs w:val="22"/>
                <w:color w:val="auto"/>
              </w:rPr>
              <w:t>Rules 14a-6(I</w:t>
            </w:r>
          </w:p>
        </w:tc>
        <w:tc>
          <w:tcPr>
            <w:tcW w:w="3440" w:type="dxa"/>
            <w:vAlign w:val="bottom"/>
          </w:tcPr>
          <w:p>
            <w:pPr>
              <w:ind w:left="180"/>
              <w:spacing w:after="0" w:line="217" w:lineRule="exact"/>
              <w:rPr>
                <w:sz w:val="20"/>
                <w:szCs w:val="20"/>
                <w:color w:val="auto"/>
              </w:rPr>
            </w:pPr>
            <w:r>
              <w:rPr>
                <w:rFonts w:ascii="Arial" w:cs="Arial" w:eastAsia="Arial" w:hAnsi="Arial"/>
                <w:sz w:val="22"/>
                <w:szCs w:val="22"/>
                <w:color w:val="auto"/>
                <w:w w:val="99"/>
              </w:rPr>
              <w:t>Title of each class of securities to</w:t>
            </w:r>
          </w:p>
        </w:tc>
      </w:tr>
      <w:tr>
        <w:trPr>
          <w:trHeight w:val="270"/>
        </w:trPr>
        <w:tc>
          <w:tcPr>
            <w:tcW w:w="380" w:type="dxa"/>
            <w:vAlign w:val="bottom"/>
          </w:tcPr>
          <w:p>
            <w:pPr>
              <w:spacing w:after="0"/>
              <w:rPr>
                <w:sz w:val="23"/>
                <w:szCs w:val="23"/>
                <w:color w:val="auto"/>
              </w:rPr>
            </w:pPr>
          </w:p>
        </w:tc>
        <w:tc>
          <w:tcPr>
            <w:tcW w:w="680" w:type="dxa"/>
            <w:vAlign w:val="bottom"/>
          </w:tcPr>
          <w:p>
            <w:pPr>
              <w:ind w:left="280"/>
              <w:spacing w:after="0"/>
              <w:rPr>
                <w:sz w:val="20"/>
                <w:szCs w:val="20"/>
                <w:color w:val="auto"/>
              </w:rPr>
            </w:pPr>
            <w:r>
              <w:rPr>
                <w:rFonts w:ascii="Arial" w:cs="Arial" w:eastAsia="Arial" w:hAnsi="Arial"/>
                <w:sz w:val="22"/>
                <w:szCs w:val="22"/>
                <w:color w:val="auto"/>
              </w:rPr>
              <w:t>1)</w:t>
            </w:r>
          </w:p>
        </w:tc>
        <w:tc>
          <w:tcPr>
            <w:tcW w:w="3920" w:type="dxa"/>
            <w:vAlign w:val="bottom"/>
          </w:tcPr>
          <w:p>
            <w:pPr>
              <w:ind w:left="240"/>
              <w:spacing w:after="0"/>
              <w:rPr>
                <w:sz w:val="20"/>
                <w:szCs w:val="20"/>
                <w:color w:val="auto"/>
              </w:rPr>
            </w:pPr>
            <w:r>
              <w:rPr>
                <w:rFonts w:ascii="Arial" w:cs="Arial" w:eastAsia="Arial" w:hAnsi="Arial"/>
                <w:sz w:val="22"/>
                <w:szCs w:val="22"/>
                <w:color w:val="auto"/>
              </w:rPr>
              <w:t>which transaction applies:</w:t>
            </w:r>
          </w:p>
        </w:tc>
        <w:tc>
          <w:tcPr>
            <w:tcW w:w="3440" w:type="dxa"/>
            <w:vAlign w:val="bottom"/>
          </w:tcPr>
          <w:p>
            <w:pPr>
              <w:spacing w:after="0"/>
              <w:rPr>
                <w:sz w:val="23"/>
                <w:szCs w:val="23"/>
                <w:color w:val="auto"/>
              </w:rPr>
            </w:pPr>
          </w:p>
        </w:tc>
      </w:tr>
      <w:tr>
        <w:trPr>
          <w:trHeight w:val="243"/>
        </w:trPr>
        <w:tc>
          <w:tcPr>
            <w:tcW w:w="380" w:type="dxa"/>
            <w:vAlign w:val="bottom"/>
          </w:tcPr>
          <w:p>
            <w:pPr>
              <w:spacing w:after="0"/>
              <w:rPr>
                <w:sz w:val="21"/>
                <w:szCs w:val="21"/>
                <w:color w:val="auto"/>
              </w:rPr>
            </w:pPr>
          </w:p>
        </w:tc>
        <w:tc>
          <w:tcPr>
            <w:tcW w:w="680" w:type="dxa"/>
            <w:vAlign w:val="bottom"/>
          </w:tcPr>
          <w:p>
            <w:pPr>
              <w:ind w:left="280"/>
              <w:spacing w:after="0" w:line="243" w:lineRule="exact"/>
              <w:rPr>
                <w:sz w:val="20"/>
                <w:szCs w:val="20"/>
                <w:color w:val="auto"/>
              </w:rPr>
            </w:pPr>
            <w:r>
              <w:rPr>
                <w:rFonts w:ascii="Arial" w:cs="Arial" w:eastAsia="Arial" w:hAnsi="Arial"/>
                <w:sz w:val="22"/>
                <w:szCs w:val="22"/>
                <w:color w:val="auto"/>
              </w:rPr>
              <w:t>2)</w:t>
            </w:r>
          </w:p>
        </w:tc>
        <w:tc>
          <w:tcPr>
            <w:tcW w:w="3920" w:type="dxa"/>
            <w:vAlign w:val="bottom"/>
          </w:tcPr>
          <w:p>
            <w:pPr>
              <w:ind w:left="220"/>
              <w:spacing w:after="0" w:line="243" w:lineRule="exact"/>
              <w:rPr>
                <w:sz w:val="20"/>
                <w:szCs w:val="20"/>
                <w:color w:val="auto"/>
              </w:rPr>
            </w:pPr>
            <w:r>
              <w:rPr>
                <w:rFonts w:ascii="Arial" w:cs="Arial" w:eastAsia="Arial" w:hAnsi="Arial"/>
                <w:sz w:val="22"/>
                <w:szCs w:val="22"/>
                <w:color w:val="auto"/>
              </w:rPr>
              <w:t>Aggregate</w:t>
            </w:r>
          </w:p>
        </w:tc>
        <w:tc>
          <w:tcPr>
            <w:tcW w:w="3440" w:type="dxa"/>
            <w:vAlign w:val="bottom"/>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680" w:type="dxa"/>
            <w:vAlign w:val="bottom"/>
          </w:tcPr>
          <w:p>
            <w:pPr>
              <w:ind w:left="280"/>
              <w:spacing w:after="0" w:line="243" w:lineRule="exact"/>
              <w:rPr>
                <w:sz w:val="20"/>
                <w:szCs w:val="20"/>
                <w:color w:val="auto"/>
              </w:rPr>
            </w:pPr>
            <w:r>
              <w:rPr>
                <w:rFonts w:ascii="Arial" w:cs="Arial" w:eastAsia="Arial" w:hAnsi="Arial"/>
                <w:sz w:val="22"/>
                <w:szCs w:val="22"/>
                <w:color w:val="auto"/>
              </w:rPr>
              <w:t>3)</w:t>
            </w:r>
          </w:p>
        </w:tc>
        <w:tc>
          <w:tcPr>
            <w:tcW w:w="7360" w:type="dxa"/>
            <w:vAlign w:val="bottom"/>
            <w:gridSpan w:val="2"/>
          </w:tcPr>
          <w:p>
            <w:pPr>
              <w:ind w:left="220"/>
              <w:spacing w:after="0" w:line="243" w:lineRule="exact"/>
              <w:rPr>
                <w:sz w:val="20"/>
                <w:szCs w:val="20"/>
                <w:color w:val="auto"/>
              </w:rPr>
            </w:pPr>
            <w:r>
              <w:rPr>
                <w:rFonts w:ascii="Arial" w:cs="Arial" w:eastAsia="Arial" w:hAnsi="Arial"/>
                <w:sz w:val="22"/>
                <w:szCs w:val="22"/>
                <w:color w:val="auto"/>
                <w:w w:val="96"/>
              </w:rPr>
              <w:t>Per unit price or other underlying value of transaction computed pursuant to</w:t>
            </w:r>
          </w:p>
        </w:tc>
      </w:tr>
      <w:tr>
        <w:trPr>
          <w:trHeight w:val="243"/>
        </w:trPr>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360" w:type="dxa"/>
            <w:vAlign w:val="bottom"/>
            <w:gridSpan w:val="2"/>
          </w:tcPr>
          <w:p>
            <w:pPr>
              <w:ind w:left="240"/>
              <w:spacing w:after="0" w:line="243" w:lineRule="exact"/>
              <w:rPr>
                <w:sz w:val="20"/>
                <w:szCs w:val="20"/>
                <w:color w:val="auto"/>
              </w:rPr>
            </w:pPr>
            <w:r>
              <w:rPr>
                <w:rFonts w:ascii="Arial" w:cs="Arial" w:eastAsia="Arial" w:hAnsi="Arial"/>
                <w:sz w:val="22"/>
                <w:szCs w:val="22"/>
                <w:color w:val="auto"/>
                <w:w w:val="89"/>
              </w:rPr>
              <w:t>Exchange Act Rule 0-11 (set forth the amount on which the filing fee is calculated</w:t>
            </w:r>
          </w:p>
        </w:tc>
      </w:tr>
      <w:tr>
        <w:trPr>
          <w:trHeight w:val="243"/>
        </w:trPr>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920" w:type="dxa"/>
            <w:vAlign w:val="bottom"/>
          </w:tcPr>
          <w:p>
            <w:pPr>
              <w:ind w:left="240"/>
              <w:spacing w:after="0" w:line="243" w:lineRule="exact"/>
              <w:rPr>
                <w:sz w:val="20"/>
                <w:szCs w:val="20"/>
                <w:color w:val="auto"/>
              </w:rPr>
            </w:pPr>
            <w:r>
              <w:rPr>
                <w:rFonts w:ascii="Arial" w:cs="Arial" w:eastAsia="Arial" w:hAnsi="Arial"/>
                <w:sz w:val="22"/>
                <w:szCs w:val="22"/>
                <w:color w:val="auto"/>
              </w:rPr>
              <w:t>and state how it was determined):</w:t>
            </w:r>
          </w:p>
        </w:tc>
        <w:tc>
          <w:tcPr>
            <w:tcW w:w="3440" w:type="dxa"/>
            <w:vAlign w:val="bottom"/>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680" w:type="dxa"/>
            <w:vAlign w:val="bottom"/>
          </w:tcPr>
          <w:p>
            <w:pPr>
              <w:ind w:left="280"/>
              <w:spacing w:after="0" w:line="243" w:lineRule="exact"/>
              <w:rPr>
                <w:sz w:val="20"/>
                <w:szCs w:val="20"/>
                <w:color w:val="auto"/>
              </w:rPr>
            </w:pPr>
            <w:r>
              <w:rPr>
                <w:rFonts w:ascii="Arial" w:cs="Arial" w:eastAsia="Arial" w:hAnsi="Arial"/>
                <w:sz w:val="22"/>
                <w:szCs w:val="22"/>
                <w:color w:val="auto"/>
              </w:rPr>
              <w:t>4)</w:t>
            </w:r>
          </w:p>
        </w:tc>
        <w:tc>
          <w:tcPr>
            <w:tcW w:w="7360" w:type="dxa"/>
            <w:vAlign w:val="bottom"/>
            <w:gridSpan w:val="2"/>
          </w:tcPr>
          <w:p>
            <w:pPr>
              <w:ind w:left="220"/>
              <w:spacing w:after="0" w:line="243" w:lineRule="exact"/>
              <w:rPr>
                <w:sz w:val="20"/>
                <w:szCs w:val="20"/>
                <w:color w:val="auto"/>
              </w:rPr>
            </w:pPr>
            <w:r>
              <w:rPr>
                <w:rFonts w:ascii="Arial" w:cs="Arial" w:eastAsia="Arial" w:hAnsi="Arial"/>
                <w:sz w:val="22"/>
                <w:szCs w:val="22"/>
                <w:color w:val="auto"/>
              </w:rPr>
              <w:t>Proposed maximum aggregate value of transaction:</w:t>
            </w:r>
          </w:p>
        </w:tc>
      </w:tr>
      <w:tr>
        <w:trPr>
          <w:trHeight w:val="261"/>
        </w:trPr>
        <w:tc>
          <w:tcPr>
            <w:tcW w:w="380" w:type="dxa"/>
            <w:vAlign w:val="bottom"/>
          </w:tcPr>
          <w:p>
            <w:pPr>
              <w:spacing w:after="0"/>
              <w:rPr>
                <w:sz w:val="22"/>
                <w:szCs w:val="22"/>
                <w:color w:val="auto"/>
              </w:rPr>
            </w:pPr>
          </w:p>
        </w:tc>
        <w:tc>
          <w:tcPr>
            <w:tcW w:w="680" w:type="dxa"/>
            <w:vAlign w:val="bottom"/>
          </w:tcPr>
          <w:p>
            <w:pPr>
              <w:ind w:left="280"/>
              <w:spacing w:after="0"/>
              <w:rPr>
                <w:sz w:val="20"/>
                <w:szCs w:val="20"/>
                <w:color w:val="auto"/>
              </w:rPr>
            </w:pPr>
            <w:r>
              <w:rPr>
                <w:rFonts w:ascii="Arial" w:cs="Arial" w:eastAsia="Arial" w:hAnsi="Arial"/>
                <w:sz w:val="22"/>
                <w:szCs w:val="22"/>
                <w:color w:val="auto"/>
              </w:rPr>
              <w:t>5)</w:t>
            </w:r>
          </w:p>
        </w:tc>
        <w:tc>
          <w:tcPr>
            <w:tcW w:w="3920" w:type="dxa"/>
            <w:vAlign w:val="bottom"/>
          </w:tcPr>
          <w:p>
            <w:pPr>
              <w:ind w:left="220"/>
              <w:spacing w:after="0"/>
              <w:rPr>
                <w:sz w:val="20"/>
                <w:szCs w:val="20"/>
                <w:color w:val="auto"/>
              </w:rPr>
            </w:pPr>
            <w:r>
              <w:rPr>
                <w:rFonts w:ascii="Arial" w:cs="Arial" w:eastAsia="Arial" w:hAnsi="Arial"/>
                <w:sz w:val="22"/>
                <w:szCs w:val="22"/>
                <w:color w:val="auto"/>
              </w:rPr>
              <w:t>Total fee paid:</w:t>
            </w:r>
          </w:p>
        </w:tc>
        <w:tc>
          <w:tcPr>
            <w:tcW w:w="3440" w:type="dxa"/>
            <w:vAlign w:val="bottom"/>
          </w:tcPr>
          <w:p>
            <w:pPr>
              <w:spacing w:after="0"/>
              <w:rPr>
                <w:sz w:val="22"/>
                <w:szCs w:val="22"/>
                <w:color w:val="auto"/>
              </w:rPr>
            </w:pPr>
          </w:p>
        </w:tc>
      </w:tr>
    </w:tbl>
    <w:p>
      <w:pPr>
        <w:ind w:left="620" w:hanging="612"/>
        <w:spacing w:after="0" w:line="230"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Fee paid previously with preliminary materials.</w:t>
      </w:r>
    </w:p>
    <w:p>
      <w:pPr>
        <w:ind w:left="660" w:right="1939" w:hanging="652"/>
        <w:spacing w:after="0" w:line="233" w:lineRule="auto"/>
        <w:tabs>
          <w:tab w:leader="none" w:pos="633" w:val="left"/>
        </w:tabs>
        <w:numPr>
          <w:ilvl w:val="0"/>
          <w:numId w:val="3"/>
        </w:numPr>
        <w:rPr>
          <w:rFonts w:ascii="Arial" w:cs="Arial" w:eastAsia="Arial" w:hAnsi="Arial"/>
          <w:sz w:val="22"/>
          <w:szCs w:val="22"/>
          <w:color w:val="auto"/>
        </w:rPr>
      </w:pPr>
      <w:r>
        <w:rPr>
          <w:rFonts w:ascii="Arial" w:cs="Arial" w:eastAsia="Arial" w:hAnsi="Arial"/>
          <w:sz w:val="22"/>
          <w:szCs w:val="2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1" w:lineRule="exact"/>
        <w:rPr>
          <w:rFonts w:ascii="Arial" w:cs="Arial" w:eastAsia="Arial" w:hAnsi="Arial"/>
          <w:sz w:val="22"/>
          <w:szCs w:val="22"/>
          <w:color w:val="auto"/>
        </w:rPr>
      </w:pPr>
    </w:p>
    <w:p>
      <w:pPr>
        <w:ind w:left="1280" w:hanging="624"/>
        <w:spacing w:after="0"/>
        <w:tabs>
          <w:tab w:leader="none" w:pos="1280" w:val="left"/>
        </w:tabs>
        <w:numPr>
          <w:ilvl w:val="1"/>
          <w:numId w:val="3"/>
        </w:numPr>
        <w:rPr>
          <w:rFonts w:ascii="Arial" w:cs="Arial" w:eastAsia="Arial" w:hAnsi="Arial"/>
          <w:sz w:val="22"/>
          <w:szCs w:val="22"/>
          <w:color w:val="auto"/>
        </w:rPr>
      </w:pPr>
      <w:r>
        <w:rPr>
          <w:rFonts w:ascii="Arial" w:cs="Arial" w:eastAsia="Arial" w:hAnsi="Arial"/>
          <w:sz w:val="22"/>
          <w:szCs w:val="22"/>
          <w:color w:val="auto"/>
        </w:rPr>
        <w:t>Amount Previously Paid:</w:t>
      </w:r>
    </w:p>
    <w:p>
      <w:pPr>
        <w:spacing w:after="0" w:line="8" w:lineRule="exact"/>
        <w:rPr>
          <w:rFonts w:ascii="Arial" w:cs="Arial" w:eastAsia="Arial" w:hAnsi="Arial"/>
          <w:sz w:val="22"/>
          <w:szCs w:val="22"/>
          <w:color w:val="auto"/>
        </w:rPr>
      </w:pPr>
    </w:p>
    <w:p>
      <w:pPr>
        <w:ind w:left="1280" w:hanging="624"/>
        <w:spacing w:after="0" w:line="230" w:lineRule="auto"/>
        <w:tabs>
          <w:tab w:leader="none" w:pos="1280" w:val="left"/>
        </w:tabs>
        <w:numPr>
          <w:ilvl w:val="1"/>
          <w:numId w:val="3"/>
        </w:numPr>
        <w:rPr>
          <w:rFonts w:ascii="Arial" w:cs="Arial" w:eastAsia="Arial" w:hAnsi="Arial"/>
          <w:sz w:val="22"/>
          <w:szCs w:val="22"/>
          <w:color w:val="auto"/>
        </w:rPr>
      </w:pPr>
      <w:r>
        <w:rPr>
          <w:rFonts w:ascii="Arial" w:cs="Arial" w:eastAsia="Arial" w:hAnsi="Arial"/>
          <w:sz w:val="22"/>
          <w:szCs w:val="22"/>
          <w:color w:val="auto"/>
        </w:rPr>
        <w:t>Form, Schedule or Registration Statement No.:</w:t>
      </w:r>
    </w:p>
    <w:p>
      <w:pPr>
        <w:ind w:left="1280" w:hanging="624"/>
        <w:spacing w:after="0" w:line="230" w:lineRule="auto"/>
        <w:tabs>
          <w:tab w:leader="none" w:pos="1280" w:val="left"/>
        </w:tabs>
        <w:numPr>
          <w:ilvl w:val="1"/>
          <w:numId w:val="3"/>
        </w:numPr>
        <w:rPr>
          <w:rFonts w:ascii="Arial" w:cs="Arial" w:eastAsia="Arial" w:hAnsi="Arial"/>
          <w:sz w:val="22"/>
          <w:szCs w:val="22"/>
          <w:color w:val="auto"/>
        </w:rPr>
      </w:pPr>
      <w:r>
        <w:rPr>
          <w:rFonts w:ascii="Arial" w:cs="Arial" w:eastAsia="Arial" w:hAnsi="Arial"/>
          <w:sz w:val="22"/>
          <w:szCs w:val="22"/>
          <w:color w:val="auto"/>
        </w:rPr>
        <w:t>Filing Party:</w:t>
      </w:r>
    </w:p>
    <w:p>
      <w:pPr>
        <w:ind w:left="1280" w:hanging="624"/>
        <w:spacing w:after="0"/>
        <w:tabs>
          <w:tab w:leader="none" w:pos="1280" w:val="left"/>
        </w:tabs>
        <w:numPr>
          <w:ilvl w:val="1"/>
          <w:numId w:val="3"/>
        </w:numPr>
        <w:rPr>
          <w:rFonts w:ascii="Arial" w:cs="Arial" w:eastAsia="Arial" w:hAnsi="Arial"/>
          <w:sz w:val="22"/>
          <w:szCs w:val="22"/>
          <w:color w:val="auto"/>
        </w:rPr>
      </w:pPr>
      <w:r>
        <w:rPr>
          <w:rFonts w:ascii="Arial" w:cs="Arial" w:eastAsia="Arial" w:hAnsi="Arial"/>
          <w:sz w:val="22"/>
          <w:szCs w:val="2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535114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51145" cy="85725"/>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808355</wp:posOffset>
            </wp:positionV>
            <wp:extent cx="1547495" cy="330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7495" cy="330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3040"/>
        <w:spacing w:after="0"/>
        <w:rPr>
          <w:sz w:val="20"/>
          <w:szCs w:val="20"/>
          <w:color w:val="auto"/>
        </w:rPr>
      </w:pPr>
      <w:r>
        <w:rPr>
          <w:rFonts w:ascii="Arial" w:cs="Arial" w:eastAsia="Arial" w:hAnsi="Arial"/>
          <w:sz w:val="19"/>
          <w:szCs w:val="19"/>
          <w:color w:val="auto"/>
        </w:rPr>
        <w:t>[form_def14a2012001.jpg]</w:t>
      </w:r>
    </w:p>
    <w:p>
      <w:pPr>
        <w:spacing w:after="0" w:line="200" w:lineRule="exact"/>
        <w:rPr>
          <w:sz w:val="24"/>
          <w:szCs w:val="24"/>
          <w:color w:val="auto"/>
        </w:rPr>
      </w:pPr>
    </w:p>
    <w:p>
      <w:pPr>
        <w:spacing w:after="0" w:line="278"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CLEARONE COMMUNICATIONS, INC.</w:t>
      </w:r>
    </w:p>
    <w:p>
      <w:pPr>
        <w:spacing w:after="0" w:line="14"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155"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NOVEMBER 5, 2012</w:t>
      </w:r>
    </w:p>
    <w:p>
      <w:pPr>
        <w:spacing w:after="0" w:line="185" w:lineRule="exact"/>
        <w:rPr>
          <w:sz w:val="24"/>
          <w:szCs w:val="24"/>
          <w:color w:val="auto"/>
        </w:rPr>
      </w:pPr>
    </w:p>
    <w:p>
      <w:pPr>
        <w:jc w:val="both"/>
        <w:ind w:right="2579" w:firstLine="648"/>
        <w:spacing w:after="0" w:line="297" w:lineRule="auto"/>
        <w:rPr>
          <w:sz w:val="20"/>
          <w:szCs w:val="20"/>
          <w:color w:val="auto"/>
        </w:rPr>
      </w:pPr>
      <w:r>
        <w:rPr>
          <w:rFonts w:ascii="Arial" w:cs="Arial" w:eastAsia="Arial" w:hAnsi="Arial"/>
          <w:sz w:val="19"/>
          <w:szCs w:val="19"/>
          <w:color w:val="auto"/>
        </w:rPr>
        <w:t>The Annual Meeting of Shareholders of ClearOne Communications, Inc., a Utah corporation, will be held at 9:00 a.m., local time, on Monday, November 5, 2012, at our corporate offices, 5225 Wiley Post Way, Suite 500, Salt Lake City, Utah 84116.</w:t>
      </w:r>
    </w:p>
    <w:p>
      <w:pPr>
        <w:spacing w:after="0" w:line="107" w:lineRule="exact"/>
        <w:rPr>
          <w:sz w:val="24"/>
          <w:szCs w:val="24"/>
          <w:color w:val="auto"/>
        </w:rPr>
      </w:pPr>
    </w:p>
    <w:p>
      <w:pPr>
        <w:ind w:left="660"/>
        <w:spacing w:after="0"/>
        <w:rPr>
          <w:sz w:val="20"/>
          <w:szCs w:val="20"/>
          <w:color w:val="auto"/>
        </w:rPr>
      </w:pPr>
      <w:r>
        <w:rPr>
          <w:rFonts w:ascii="Arial" w:cs="Arial" w:eastAsia="Arial" w:hAnsi="Arial"/>
          <w:sz w:val="22"/>
          <w:szCs w:val="22"/>
          <w:color w:val="auto"/>
        </w:rPr>
        <w:t>The following describes the purpose of the Annual Meeting:</w:t>
      </w:r>
    </w:p>
    <w:p>
      <w:pPr>
        <w:sectPr>
          <w:pgSz w:w="11900" w:h="16838" w:orient="portrait"/>
          <w:cols w:equalWidth="0" w:num="1">
            <w:col w:w="10219"/>
          </w:cols>
          <w:pgMar w:left="240" w:top="220" w:right="1440" w:bottom="0" w:gutter="0" w:footer="0" w:header="0"/>
        </w:sectPr>
      </w:pPr>
    </w:p>
    <w:bookmarkStart w:id="1" w:name="page2"/>
    <w:bookmarkEnd w:id="1"/>
    <w:p>
      <w:pPr>
        <w:ind w:left="1280" w:hanging="624"/>
        <w:spacing w:after="0"/>
        <w:tabs>
          <w:tab w:leader="none" w:pos="1280" w:val="left"/>
        </w:tabs>
        <w:numPr>
          <w:ilvl w:val="0"/>
          <w:numId w:val="4"/>
        </w:numPr>
        <w:rPr>
          <w:rFonts w:ascii="Arial" w:cs="Arial" w:eastAsia="Arial" w:hAnsi="Arial"/>
          <w:sz w:val="20"/>
          <w:szCs w:val="20"/>
          <w:color w:val="auto"/>
        </w:rPr>
      </w:pPr>
      <w:r>
        <w:rPr>
          <w:rFonts w:ascii="Arial" w:cs="Arial" w:eastAsia="Arial" w:hAnsi="Arial"/>
          <w:sz w:val="22"/>
          <w:szCs w:val="22"/>
          <w:color w:val="auto"/>
        </w:rPr>
        <w:t>To elect five members of our Board of Directors;</w:t>
      </w:r>
    </w:p>
    <w:p>
      <w:pPr>
        <w:spacing w:after="0" w:line="179" w:lineRule="exact"/>
        <w:rPr>
          <w:rFonts w:ascii="Arial" w:cs="Arial" w:eastAsia="Arial" w:hAnsi="Arial"/>
          <w:sz w:val="20"/>
          <w:szCs w:val="20"/>
          <w:color w:val="auto"/>
        </w:rPr>
      </w:pPr>
    </w:p>
    <w:p>
      <w:pPr>
        <w:ind w:left="1280" w:hanging="624"/>
        <w:spacing w:after="0"/>
        <w:tabs>
          <w:tab w:leader="none" w:pos="1280" w:val="left"/>
        </w:tabs>
        <w:numPr>
          <w:ilvl w:val="0"/>
          <w:numId w:val="4"/>
        </w:numPr>
        <w:rPr>
          <w:rFonts w:ascii="Arial" w:cs="Arial" w:eastAsia="Arial" w:hAnsi="Arial"/>
          <w:sz w:val="19"/>
          <w:szCs w:val="19"/>
          <w:color w:val="auto"/>
        </w:rPr>
      </w:pPr>
      <w:r>
        <w:rPr>
          <w:rFonts w:ascii="Arial" w:cs="Arial" w:eastAsia="Arial" w:hAnsi="Arial"/>
          <w:sz w:val="21"/>
          <w:szCs w:val="21"/>
          <w:color w:val="auto"/>
        </w:rPr>
        <w:t>To ratify the appointment of the Company's independent public accountants;</w:t>
      </w:r>
    </w:p>
    <w:p>
      <w:pPr>
        <w:spacing w:after="0" w:line="190" w:lineRule="exact"/>
        <w:rPr>
          <w:rFonts w:ascii="Arial" w:cs="Arial" w:eastAsia="Arial" w:hAnsi="Arial"/>
          <w:sz w:val="19"/>
          <w:szCs w:val="19"/>
          <w:color w:val="auto"/>
        </w:rPr>
      </w:pPr>
    </w:p>
    <w:p>
      <w:pPr>
        <w:ind w:left="1300" w:right="1919" w:hanging="644"/>
        <w:spacing w:after="0" w:line="251" w:lineRule="auto"/>
        <w:tabs>
          <w:tab w:leader="none" w:pos="1273" w:val="left"/>
        </w:tabs>
        <w:numPr>
          <w:ilvl w:val="0"/>
          <w:numId w:val="4"/>
        </w:numPr>
        <w:rPr>
          <w:rFonts w:ascii="Arial" w:cs="Arial" w:eastAsia="Arial" w:hAnsi="Arial"/>
          <w:sz w:val="20"/>
          <w:szCs w:val="20"/>
          <w:color w:val="auto"/>
        </w:rPr>
      </w:pPr>
      <w:r>
        <w:rPr>
          <w:rFonts w:ascii="Arial" w:cs="Arial" w:eastAsia="Arial" w:hAnsi="Arial"/>
          <w:sz w:val="22"/>
          <w:szCs w:val="22"/>
          <w:color w:val="auto"/>
        </w:rPr>
        <w:t>To amend the Articles of Incorporation to change the name of the Company from ClearOne Communications, Inc. to ClearOne, Inc.</w:t>
      </w:r>
    </w:p>
    <w:p>
      <w:pPr>
        <w:spacing w:after="0" w:line="146" w:lineRule="exact"/>
        <w:rPr>
          <w:rFonts w:ascii="Arial" w:cs="Arial" w:eastAsia="Arial" w:hAnsi="Arial"/>
          <w:sz w:val="20"/>
          <w:szCs w:val="20"/>
          <w:color w:val="auto"/>
        </w:rPr>
      </w:pPr>
    </w:p>
    <w:p>
      <w:pPr>
        <w:ind w:left="1140" w:right="2179" w:hanging="484"/>
        <w:spacing w:after="0" w:line="251" w:lineRule="auto"/>
        <w:tabs>
          <w:tab w:leader="none" w:pos="1113" w:val="left"/>
        </w:tabs>
        <w:numPr>
          <w:ilvl w:val="0"/>
          <w:numId w:val="4"/>
        </w:numPr>
        <w:rPr>
          <w:rFonts w:ascii="Arial" w:cs="Arial" w:eastAsia="Arial" w:hAnsi="Arial"/>
          <w:sz w:val="22"/>
          <w:szCs w:val="22"/>
          <w:color w:val="auto"/>
        </w:rPr>
      </w:pPr>
      <w:r>
        <w:rPr>
          <w:rFonts w:ascii="Arial" w:cs="Arial" w:eastAsia="Arial" w:hAnsi="Arial"/>
          <w:sz w:val="22"/>
          <w:szCs w:val="22"/>
          <w:color w:val="auto"/>
        </w:rPr>
        <w:t>To transact such other business as may properly come before the meeting or any adjournment thereof.</w:t>
      </w:r>
    </w:p>
    <w:p>
      <w:pPr>
        <w:spacing w:after="0" w:line="146" w:lineRule="exact"/>
        <w:rPr>
          <w:sz w:val="20"/>
          <w:szCs w:val="20"/>
          <w:color w:val="auto"/>
        </w:rPr>
      </w:pPr>
    </w:p>
    <w:p>
      <w:pPr>
        <w:ind w:right="2659" w:firstLine="648"/>
        <w:spacing w:after="0" w:line="251" w:lineRule="auto"/>
        <w:rPr>
          <w:sz w:val="20"/>
          <w:szCs w:val="20"/>
          <w:color w:val="auto"/>
        </w:rPr>
      </w:pPr>
      <w:r>
        <w:rPr>
          <w:rFonts w:ascii="Arial" w:cs="Arial" w:eastAsia="Arial" w:hAnsi="Arial"/>
          <w:sz w:val="22"/>
          <w:szCs w:val="22"/>
          <w:color w:val="auto"/>
        </w:rPr>
        <w:t>The foregoing items of business are more fully described in the proxy statement accompanying this notice.</w:t>
      </w:r>
    </w:p>
    <w:p>
      <w:pPr>
        <w:spacing w:after="0" w:line="146" w:lineRule="exact"/>
        <w:rPr>
          <w:sz w:val="20"/>
          <w:szCs w:val="20"/>
          <w:color w:val="auto"/>
        </w:rPr>
      </w:pPr>
    </w:p>
    <w:p>
      <w:pPr>
        <w:ind w:right="2139" w:firstLine="648"/>
        <w:spacing w:after="0" w:line="251" w:lineRule="auto"/>
        <w:rPr>
          <w:sz w:val="20"/>
          <w:szCs w:val="20"/>
          <w:color w:val="auto"/>
        </w:rPr>
      </w:pPr>
      <w:r>
        <w:rPr>
          <w:rFonts w:ascii="Arial" w:cs="Arial" w:eastAsia="Arial" w:hAnsi="Arial"/>
          <w:sz w:val="22"/>
          <w:szCs w:val="22"/>
          <w:color w:val="auto"/>
        </w:rPr>
        <w:t>Only shareholders of record at the close of business on October 2, 2012 are entitled to notice of and to vote at the meeting.</w:t>
      </w:r>
    </w:p>
    <w:p>
      <w:pPr>
        <w:spacing w:after="0" w:line="146" w:lineRule="exact"/>
        <w:rPr>
          <w:sz w:val="20"/>
          <w:szCs w:val="20"/>
          <w:color w:val="auto"/>
        </w:rPr>
      </w:pPr>
    </w:p>
    <w:p>
      <w:pPr>
        <w:ind w:right="1839" w:firstLine="648"/>
        <w:spacing w:after="0" w:line="247" w:lineRule="auto"/>
        <w:rPr>
          <w:sz w:val="20"/>
          <w:szCs w:val="20"/>
          <w:color w:val="auto"/>
        </w:rPr>
      </w:pPr>
      <w:r>
        <w:rPr>
          <w:rFonts w:ascii="Arial" w:cs="Arial" w:eastAsia="Arial" w:hAnsi="Arial"/>
          <w:sz w:val="21"/>
          <w:szCs w:val="21"/>
          <w:color w:val="auto"/>
        </w:rPr>
        <w:t>All shareholders are cordially invited to attend the meeting and vote in person. However, to ensure your representation at the meeting, you are urged to vote as promptly as possible, whether via the Internet, by telephone, or, by marking, signing, dating, and returning the enclosed proxy in the postage-prepaid envelope enclosed for that purpose. Any shareholder attending the meeting may vote in person even if such shareholder has previously submitted a proxy. If you need to obtain directions on how to attend the Annual Meeting and vote in person, please contact our corporate offices at (801) 975-7200.</w:t>
      </w:r>
    </w:p>
    <w:p>
      <w:pPr>
        <w:spacing w:after="0" w:line="145" w:lineRule="exact"/>
        <w:rPr>
          <w:sz w:val="20"/>
          <w:szCs w:val="20"/>
          <w:color w:val="auto"/>
        </w:rPr>
      </w:pPr>
    </w:p>
    <w:p>
      <w:pPr>
        <w:ind w:right="1799" w:firstLine="648"/>
        <w:spacing w:after="0" w:line="248" w:lineRule="auto"/>
        <w:rPr>
          <w:sz w:val="20"/>
          <w:szCs w:val="20"/>
          <w:color w:val="auto"/>
        </w:rPr>
      </w:pPr>
      <w:r>
        <w:rPr>
          <w:rFonts w:ascii="Arial" w:cs="Arial" w:eastAsia="Arial" w:hAnsi="Arial"/>
          <w:sz w:val="21"/>
          <w:szCs w:val="21"/>
          <w:b w:val="1"/>
          <w:bCs w:val="1"/>
          <w:color w:val="auto"/>
        </w:rPr>
        <w:t xml:space="preserve">Important Notice Regarding the Availability of Proxy Materials for the 2012 Annual Meeting of Shareholders to be held on November 5, 2012. </w:t>
      </w:r>
      <w:r>
        <w:rPr>
          <w:rFonts w:ascii="Arial" w:cs="Arial" w:eastAsia="Arial" w:hAnsi="Arial"/>
          <w:sz w:val="21"/>
          <w:szCs w:val="21"/>
          <w:color w:val="auto"/>
        </w:rPr>
        <w:t>Because we have elected to utilize</w:t>
      </w:r>
      <w:r>
        <w:rPr>
          <w:rFonts w:ascii="Arial" w:cs="Arial" w:eastAsia="Arial" w:hAnsi="Arial"/>
          <w:sz w:val="21"/>
          <w:szCs w:val="21"/>
          <w:b w:val="1"/>
          <w:bCs w:val="1"/>
          <w:color w:val="auto"/>
        </w:rPr>
        <w:t xml:space="preserve"> </w:t>
      </w:r>
      <w:r>
        <w:rPr>
          <w:rFonts w:ascii="Arial" w:cs="Arial" w:eastAsia="Arial" w:hAnsi="Arial"/>
          <w:sz w:val="21"/>
          <w:szCs w:val="21"/>
          <w:color w:val="auto"/>
        </w:rPr>
        <w:t>the “full set delivery” option, we are delivering to all shareholders paper copies of all of our proxy materials, including a proxy card, as well as providing access to our proxy materials on a publicly accessible website. Our Proxy Statement and Annual Report for the fiscal year ended December 31, 2011 are available at our corporate website and may be accessed at www.clearone.com under “Investor Relations”.</w:t>
      </w:r>
    </w:p>
    <w:p>
      <w:pPr>
        <w:spacing w:after="0" w:line="15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w:t>
      </w:r>
    </w:p>
    <w:p>
      <w:pPr>
        <w:spacing w:after="0" w:line="179" w:lineRule="exact"/>
        <w:rPr>
          <w:sz w:val="20"/>
          <w:szCs w:val="20"/>
          <w:color w:val="auto"/>
        </w:rPr>
      </w:pPr>
    </w:p>
    <w:p>
      <w:pPr>
        <w:ind w:left="3900"/>
        <w:spacing w:after="0"/>
        <w:rPr>
          <w:sz w:val="20"/>
          <w:szCs w:val="20"/>
          <w:color w:val="auto"/>
        </w:rPr>
      </w:pPr>
      <w:r>
        <w:rPr>
          <w:sz w:val="1"/>
          <w:szCs w:val="1"/>
          <w:color w:val="auto"/>
        </w:rPr>
        <w:drawing>
          <wp:inline distT="0" distB="0" distL="0" distR="0">
            <wp:extent cx="137160" cy="1371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[form_def14a2012002.jpg]</w:t>
      </w:r>
    </w:p>
    <w:p>
      <w:pPr>
        <w:spacing w:after="0" w:line="169" w:lineRule="exact"/>
        <w:rPr>
          <w:sz w:val="20"/>
          <w:szCs w:val="20"/>
          <w:color w:val="auto"/>
        </w:rPr>
      </w:pPr>
    </w:p>
    <w:p>
      <w:pPr>
        <w:jc w:val="center"/>
        <w:ind w:right="959"/>
        <w:spacing w:after="0"/>
        <w:rPr>
          <w:sz w:val="20"/>
          <w:szCs w:val="20"/>
          <w:color w:val="auto"/>
        </w:rPr>
      </w:pPr>
      <w:r>
        <w:rPr>
          <w:rFonts w:ascii="Arial" w:cs="Arial" w:eastAsia="Arial" w:hAnsi="Arial"/>
          <w:sz w:val="22"/>
          <w:szCs w:val="22"/>
          <w:color w:val="auto"/>
        </w:rPr>
        <w:t>Narsi Narayanan</w:t>
      </w:r>
    </w:p>
    <w:p>
      <w:pPr>
        <w:spacing w:after="0" w:line="8" w:lineRule="exact"/>
        <w:rPr>
          <w:sz w:val="20"/>
          <w:szCs w:val="20"/>
          <w:color w:val="auto"/>
        </w:rPr>
      </w:pPr>
    </w:p>
    <w:p>
      <w:pPr>
        <w:jc w:val="center"/>
        <w:ind w:right="979"/>
        <w:spacing w:after="0"/>
        <w:rPr>
          <w:sz w:val="20"/>
          <w:szCs w:val="20"/>
          <w:color w:val="auto"/>
        </w:rPr>
      </w:pPr>
      <w:r>
        <w:rPr>
          <w:rFonts w:ascii="Arial" w:cs="Arial" w:eastAsia="Arial" w:hAnsi="Arial"/>
          <w:sz w:val="22"/>
          <w:szCs w:val="22"/>
          <w:i w:val="1"/>
          <w:iCs w:val="1"/>
          <w:color w:val="auto"/>
        </w:rPr>
        <w:t>Corporate Secretary</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Salt Lake City, Utah</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October 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956310</wp:posOffset>
            </wp:positionV>
            <wp:extent cx="5351145" cy="85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2" w:name="page3"/>
    <w:bookmarkEnd w:id="2"/>
    <w:p>
      <w:pPr>
        <w:jc w:val="center"/>
        <w:ind w:right="1779"/>
        <w:spacing w:after="0"/>
        <w:rPr>
          <w:sz w:val="20"/>
          <w:szCs w:val="20"/>
          <w:color w:val="auto"/>
        </w:rPr>
      </w:pPr>
      <w:r>
        <w:rPr>
          <w:rFonts w:ascii="Arial" w:cs="Arial" w:eastAsia="Arial" w:hAnsi="Arial"/>
          <w:sz w:val="22"/>
          <w:szCs w:val="22"/>
          <w:b w:val="1"/>
          <w:bCs w:val="1"/>
          <w:color w:val="auto"/>
        </w:rPr>
        <w:t>CLEARONE COMMUNICATIONS, INC.</w:t>
      </w:r>
    </w:p>
    <w:p>
      <w:pPr>
        <w:spacing w:after="0" w:line="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5225 Wiley Post Way, Suite 500</w:t>
      </w:r>
    </w:p>
    <w:p>
      <w:pPr>
        <w:jc w:val="center"/>
        <w:ind w:right="1779"/>
        <w:spacing w:after="0" w:line="230" w:lineRule="auto"/>
        <w:rPr>
          <w:sz w:val="20"/>
          <w:szCs w:val="20"/>
          <w:color w:val="auto"/>
        </w:rPr>
      </w:pPr>
      <w:r>
        <w:rPr>
          <w:rFonts w:ascii="Arial" w:cs="Arial" w:eastAsia="Arial" w:hAnsi="Arial"/>
          <w:sz w:val="22"/>
          <w:szCs w:val="22"/>
          <w:b w:val="1"/>
          <w:bCs w:val="1"/>
          <w:color w:val="auto"/>
        </w:rPr>
        <w:t>Salt Lake City, Utah 84116</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____________________</w:t>
      </w:r>
    </w:p>
    <w:p>
      <w:pPr>
        <w:spacing w:after="0" w:line="61"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PROXY STATEMENT</w:t>
      </w:r>
    </w:p>
    <w:p>
      <w:pPr>
        <w:spacing w:after="0" w:line="14"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____________________</w:t>
      </w:r>
    </w:p>
    <w:p>
      <w:pPr>
        <w:spacing w:after="0" w:line="61"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ANNUAL MEETING OF SHAREHOLDERS</w:t>
      </w:r>
    </w:p>
    <w:p>
      <w:pPr>
        <w:spacing w:after="0" w:line="85"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NOVEMBER 5, 2012</w:t>
      </w:r>
    </w:p>
    <w:p>
      <w:pPr>
        <w:spacing w:after="0" w:line="14"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____________________</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91" w:lineRule="exact"/>
        <w:rPr>
          <w:sz w:val="20"/>
          <w:szCs w:val="20"/>
          <w:color w:val="auto"/>
        </w:rPr>
      </w:pPr>
    </w:p>
    <w:p>
      <w:pPr>
        <w:ind w:right="1879" w:firstLine="648"/>
        <w:spacing w:after="0" w:line="235" w:lineRule="auto"/>
        <w:rPr>
          <w:sz w:val="20"/>
          <w:szCs w:val="20"/>
          <w:color w:val="auto"/>
        </w:rPr>
      </w:pPr>
      <w:r>
        <w:rPr>
          <w:rFonts w:ascii="Arial" w:cs="Arial" w:eastAsia="Arial" w:hAnsi="Arial"/>
          <w:sz w:val="22"/>
          <w:szCs w:val="22"/>
          <w:color w:val="auto"/>
        </w:rPr>
        <w:t>The accompanying proxy is solicited on behalf of ClearOne Communications, Inc., a Utah corporation (the “Company”), by the Board of Directors for use at our 2012 Annual Meeting of Shareholders to be held at the corporate offices of the company, 5225 Wiley Post Way, Suite 500, Salt Lake City, Utah on November 5, 2012 at 9:00 a.m., local time, or at any postponement or adjournment thereof, for the purposes set forth herein and in the accompanying notice.</w:t>
      </w:r>
    </w:p>
    <w:p>
      <w:pPr>
        <w:spacing w:after="0" w:line="67" w:lineRule="exact"/>
        <w:rPr>
          <w:sz w:val="20"/>
          <w:szCs w:val="20"/>
          <w:color w:val="auto"/>
        </w:rPr>
      </w:pPr>
    </w:p>
    <w:p>
      <w:pPr>
        <w:ind w:right="1919" w:firstLine="648"/>
        <w:spacing w:after="0" w:line="251" w:lineRule="auto"/>
        <w:rPr>
          <w:sz w:val="20"/>
          <w:szCs w:val="20"/>
          <w:color w:val="auto"/>
        </w:rPr>
      </w:pPr>
      <w:r>
        <w:rPr>
          <w:rFonts w:ascii="Arial" w:cs="Arial" w:eastAsia="Arial" w:hAnsi="Arial"/>
          <w:sz w:val="22"/>
          <w:szCs w:val="22"/>
          <w:color w:val="auto"/>
        </w:rPr>
        <w:t>These proxy solicitation materials will be distributed on or about October 15, 2012 to all shareholders entitled to vote at the meeting.</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Record Date and Shares Outstanding</w:t>
      </w:r>
    </w:p>
    <w:p>
      <w:pPr>
        <w:spacing w:after="0" w:line="91" w:lineRule="exact"/>
        <w:rPr>
          <w:sz w:val="20"/>
          <w:szCs w:val="20"/>
          <w:color w:val="auto"/>
        </w:rPr>
      </w:pPr>
    </w:p>
    <w:p>
      <w:pPr>
        <w:ind w:right="1999" w:firstLine="648"/>
        <w:spacing w:after="0"/>
        <w:rPr>
          <w:sz w:val="20"/>
          <w:szCs w:val="20"/>
          <w:color w:val="auto"/>
        </w:rPr>
      </w:pPr>
      <w:r>
        <w:rPr>
          <w:rFonts w:ascii="Arial" w:cs="Arial" w:eastAsia="Arial" w:hAnsi="Arial"/>
          <w:sz w:val="22"/>
          <w:szCs w:val="22"/>
          <w:color w:val="auto"/>
        </w:rPr>
        <w:t>Shareholders of record at the close of business on October 2, 2012 are entitled to notice of, and to vote at, the meeting. On the record date, 9,175,774 shares of common stock were issued and outstanding.</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of Proxies</w:t>
      </w:r>
    </w:p>
    <w:p>
      <w:pPr>
        <w:spacing w:after="0" w:line="91" w:lineRule="exact"/>
        <w:rPr>
          <w:sz w:val="20"/>
          <w:szCs w:val="20"/>
          <w:color w:val="auto"/>
        </w:rPr>
      </w:pPr>
    </w:p>
    <w:p>
      <w:pPr>
        <w:ind w:right="1899" w:firstLine="648"/>
        <w:spacing w:after="0" w:line="274" w:lineRule="auto"/>
        <w:rPr>
          <w:sz w:val="20"/>
          <w:szCs w:val="20"/>
          <w:color w:val="auto"/>
        </w:rPr>
      </w:pPr>
      <w:r>
        <w:rPr>
          <w:rFonts w:ascii="Arial" w:cs="Arial" w:eastAsia="Arial" w:hAnsi="Arial"/>
          <w:sz w:val="19"/>
          <w:szCs w:val="19"/>
          <w:color w:val="auto"/>
        </w:rPr>
        <w:t>By completing and submitting the proxy (whether over the internet, by telephone, or by signing, dating and mailing the accompanying proxy card), the shareholder authorizes Zeynep Hakimoglu, Chairman and Chief Executive Officer, and Narsi Narayanan, Corporate Secretary, as designated on the face of the proxy, to vote all shares for the shareholder. All proxies that are properly completed and submitted will be voted as the shareholder directs. If no direction is given, executed proxies will be voted FOR the election of each of the nominees set forth in this proxy statement, FOR the ratification of the appointment of the Company’s independent public accountants and FOR amendment of the Articles of Incorporation to change the name of the Company from ClearOne Communications, Inc. to ClearOne, Inc.</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 for Approval</w:t>
      </w:r>
    </w:p>
    <w:p>
      <w:pPr>
        <w:spacing w:after="0" w:line="91" w:lineRule="exact"/>
        <w:rPr>
          <w:sz w:val="20"/>
          <w:szCs w:val="20"/>
          <w:color w:val="auto"/>
        </w:rPr>
      </w:pPr>
    </w:p>
    <w:p>
      <w:pPr>
        <w:ind w:right="1819" w:firstLine="648"/>
        <w:spacing w:after="0" w:line="244" w:lineRule="auto"/>
        <w:rPr>
          <w:sz w:val="20"/>
          <w:szCs w:val="20"/>
          <w:color w:val="auto"/>
        </w:rPr>
      </w:pPr>
      <w:r>
        <w:rPr>
          <w:rFonts w:ascii="Arial" w:cs="Arial" w:eastAsia="Arial" w:hAnsi="Arial"/>
          <w:sz w:val="21"/>
          <w:szCs w:val="21"/>
          <w:color w:val="auto"/>
        </w:rPr>
        <w:t>A quorum must be present at the meeting in order for the shareholders to take official action. Under Utah law and our Articles of Incorporation and Bylaws, a quorum will exist if a majority of the total number of shares entitled to vote are present, in person or by proxy. Abstentions and broker non-votes, which are indications by a broker that it does not have discretionary authority to vote on a particular matter, will be counted as “represented” for the purpose of determining the presence or absence of a quorum. The election of directors and the amendment of Articles of Incorporation are non-routine matters on which brokers are not allowed to vote unless they have received voting instructions from their customers. Accordingly, it is particularly important that beneficial owners instruct their brokers how they wish to vote their shares. The ratification of the appointment of the Company’s independent public accountants is considered a routine matter for which brokerage firms may vote un-instructed shares.</w:t>
      </w:r>
    </w:p>
    <w:p>
      <w:pPr>
        <w:spacing w:after="0" w:line="66" w:lineRule="exact"/>
        <w:rPr>
          <w:sz w:val="20"/>
          <w:szCs w:val="20"/>
          <w:color w:val="auto"/>
        </w:rPr>
      </w:pPr>
    </w:p>
    <w:p>
      <w:pPr>
        <w:ind w:right="1779" w:firstLine="648"/>
        <w:spacing w:after="0" w:line="244" w:lineRule="auto"/>
        <w:rPr>
          <w:sz w:val="20"/>
          <w:szCs w:val="20"/>
          <w:color w:val="auto"/>
        </w:rPr>
      </w:pPr>
      <w:r>
        <w:rPr>
          <w:rFonts w:ascii="Arial" w:cs="Arial" w:eastAsia="Arial" w:hAnsi="Arial"/>
          <w:sz w:val="21"/>
          <w:szCs w:val="21"/>
          <w:color w:val="auto"/>
        </w:rPr>
        <w:t>Each holder of common stock will be entitled to one vote for each share of common stock held on the record date. In the election of directors, shareholders will not be allowed to cumulate their votes. Assuming that a quorum is present, the election of directors will be determined by plurality vote. The proposals to ratify the appointment of McGladrey LLP to serve as our independent public accountants for the year ending December 31, 2012 and to amend the Articles of Incorporation to change the name of the Company from ClearOne Communications, Inc. to ClearOne, Inc. requires that the votes cast in favor of the proposals must exceed the votes cast against the proposals. Abstentions and broker non-votes will not affect the outcome of the election of directors or the proposals to ratify the appointment of the Company’s independent public accountants and amend the Articles of Incorporation. Any other matter properly presented for approval by the shareholders at the Annual Meeting will generally be approved if the number of votes cast in favor of a matter exceeds the number of votes cast in opposition. With respect to any such matter, abstentions and broker non-votes are not likely to affect the outcome of</w:t>
      </w:r>
    </w:p>
    <w:p>
      <w:pPr>
        <w:sectPr>
          <w:pgSz w:w="11900" w:h="16838" w:orient="portrait"/>
          <w:cols w:equalWidth="0" w:num="1">
            <w:col w:w="10219"/>
          </w:cols>
          <w:pgMar w:left="240" w:top="355" w:right="1440" w:bottom="0" w:gutter="0" w:footer="0" w:header="0"/>
        </w:sectPr>
      </w:pPr>
    </w:p>
    <w:bookmarkStart w:id="3" w:name="page4"/>
    <w:bookmarkEnd w:id="3"/>
    <w:p>
      <w:pPr>
        <w:spacing w:after="0" w:line="24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5351145" cy="85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ind w:right="1899"/>
        <w:spacing w:after="0" w:line="239" w:lineRule="auto"/>
        <w:rPr>
          <w:sz w:val="20"/>
          <w:szCs w:val="20"/>
          <w:color w:val="auto"/>
        </w:rPr>
      </w:pPr>
      <w:r>
        <w:rPr>
          <w:rFonts w:ascii="Arial" w:cs="Arial" w:eastAsia="Arial" w:hAnsi="Arial"/>
          <w:sz w:val="22"/>
          <w:szCs w:val="22"/>
          <w:color w:val="auto"/>
        </w:rPr>
        <w:t>a vote on such matter. The Company is not currently aware of any other matters to be presented at the Annual Meeting.</w:t>
      </w:r>
    </w:p>
    <w:p>
      <w:pPr>
        <w:spacing w:after="0" w:line="1" w:lineRule="exact"/>
        <w:rPr>
          <w:sz w:val="20"/>
          <w:szCs w:val="20"/>
          <w:color w:val="auto"/>
        </w:rPr>
      </w:pPr>
    </w:p>
    <w:p>
      <w:pPr>
        <w:ind w:right="2099" w:firstLine="752"/>
        <w:spacing w:after="0" w:line="280" w:lineRule="auto"/>
        <w:rPr>
          <w:sz w:val="20"/>
          <w:szCs w:val="20"/>
          <w:color w:val="auto"/>
        </w:rPr>
      </w:pPr>
      <w:r>
        <w:rPr>
          <w:rFonts w:ascii="Arial" w:cs="Arial" w:eastAsia="Arial" w:hAnsi="Arial"/>
          <w:sz w:val="19"/>
          <w:szCs w:val="19"/>
          <w:color w:val="auto"/>
        </w:rPr>
        <w:t>The Board of Directors recommends that an affirmative vote be cast in favor of all nominees listed in this proxy statement, the ratification of the appointment of the Company’s independent public accountants and the amendment of the Articles of Incorporation to change the name of the Company from ClearOne Communications, Inc. to ClearOne, Inc.</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Revocability of Proxies</w:t>
      </w:r>
    </w:p>
    <w:p>
      <w:pPr>
        <w:spacing w:after="0" w:line="185" w:lineRule="exact"/>
        <w:rPr>
          <w:sz w:val="20"/>
          <w:szCs w:val="20"/>
          <w:color w:val="auto"/>
        </w:rPr>
      </w:pPr>
    </w:p>
    <w:p>
      <w:pPr>
        <w:jc w:val="both"/>
        <w:ind w:right="1999" w:firstLine="648"/>
        <w:spacing w:after="0" w:line="297" w:lineRule="auto"/>
        <w:rPr>
          <w:sz w:val="20"/>
          <w:szCs w:val="20"/>
          <w:color w:val="auto"/>
        </w:rPr>
      </w:pPr>
      <w:r>
        <w:rPr>
          <w:rFonts w:ascii="Arial" w:cs="Arial" w:eastAsia="Arial" w:hAnsi="Arial"/>
          <w:sz w:val="19"/>
          <w:szCs w:val="19"/>
          <w:color w:val="auto"/>
        </w:rPr>
        <w:t>Any proxy given pursuant to this solicitation may be revoked by the person giving it at any time prior to its use by delivering to our Corporate Secretary a written notice of revocation or a duly executed proxy bearing a later date, or by attending the meeting and voting in person.</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Solicitation</w:t>
      </w:r>
    </w:p>
    <w:p>
      <w:pPr>
        <w:spacing w:after="0" w:line="185" w:lineRule="exact"/>
        <w:rPr>
          <w:sz w:val="20"/>
          <w:szCs w:val="20"/>
          <w:color w:val="auto"/>
        </w:rPr>
      </w:pPr>
    </w:p>
    <w:p>
      <w:pPr>
        <w:ind w:right="1899" w:firstLine="648"/>
        <w:spacing w:after="0" w:line="236" w:lineRule="auto"/>
        <w:rPr>
          <w:sz w:val="20"/>
          <w:szCs w:val="20"/>
          <w:color w:val="auto"/>
        </w:rPr>
      </w:pPr>
      <w:r>
        <w:rPr>
          <w:rFonts w:ascii="Arial" w:cs="Arial" w:eastAsia="Arial" w:hAnsi="Arial"/>
          <w:sz w:val="22"/>
          <w:szCs w:val="22"/>
          <w:color w:val="auto"/>
        </w:rPr>
        <w:t>We will pay the cost of this solicitation. In addition, we may reimburse brokerage firms and other persons representing beneficial owners of shares for their expenses in forwarding solicitation material to such beneficial owners. Proxies may also be solicited by certain of our directors, officers, and employees, without additional compensation, personally or by telephone, facsimile, or e-mail.</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Report and Other Matters</w:t>
      </w:r>
    </w:p>
    <w:p>
      <w:pPr>
        <w:spacing w:after="0" w:line="185" w:lineRule="exact"/>
        <w:rPr>
          <w:sz w:val="20"/>
          <w:szCs w:val="20"/>
          <w:color w:val="auto"/>
        </w:rPr>
      </w:pPr>
    </w:p>
    <w:p>
      <w:pPr>
        <w:ind w:right="1859" w:firstLine="648"/>
        <w:spacing w:after="0" w:line="246" w:lineRule="auto"/>
        <w:rPr>
          <w:sz w:val="20"/>
          <w:szCs w:val="20"/>
          <w:color w:val="auto"/>
        </w:rPr>
      </w:pPr>
      <w:r>
        <w:rPr>
          <w:rFonts w:ascii="Arial" w:cs="Arial" w:eastAsia="Arial" w:hAnsi="Arial"/>
          <w:sz w:val="21"/>
          <w:szCs w:val="21"/>
          <w:color w:val="auto"/>
        </w:rPr>
        <w:t>Our 2011 Annual Report on Form 10-K, which was made available to shareholders with or preceding this proxy statement, contains financial and other information about our company, but is not incorporated into this proxy statement and is not to be considered a part of these proxy soliciting materials or subject to Regulations 14A or 14C or to the liabilities of Section 18 of the Securities Exchange Act of 1934, as amended. The information contained in the “Audit and Compliance Committee Report” shall not be deemed “filed” with the Securities and Exchange Commission or subject to Regulations 14A or 14C or to the liabilities of Section 18 of the Exchange Act.</w:t>
      </w:r>
    </w:p>
    <w:p>
      <w:pPr>
        <w:spacing w:after="0" w:line="148" w:lineRule="exact"/>
        <w:rPr>
          <w:sz w:val="20"/>
          <w:szCs w:val="20"/>
          <w:color w:val="auto"/>
        </w:rPr>
      </w:pPr>
    </w:p>
    <w:p>
      <w:pPr>
        <w:jc w:val="both"/>
        <w:ind w:right="1799" w:firstLine="648"/>
        <w:spacing w:after="0" w:line="289" w:lineRule="auto"/>
        <w:rPr>
          <w:sz w:val="20"/>
          <w:szCs w:val="20"/>
          <w:color w:val="auto"/>
        </w:rPr>
      </w:pPr>
      <w:r>
        <w:rPr>
          <w:rFonts w:ascii="Arial" w:cs="Arial" w:eastAsia="Arial" w:hAnsi="Arial"/>
          <w:sz w:val="19"/>
          <w:szCs w:val="19"/>
          <w:b w:val="1"/>
          <w:bCs w:val="1"/>
          <w:color w:val="auto"/>
        </w:rPr>
        <w:t>We will provide, without charge, a printed copy of our 2011 Annual Report on Form 10-K, as filed with the Securities and Exchange Commission, to each shareholder of record as of the record date that requests a copy in writing. Any such requests should be directed to our Corporate Secretary at our corporate offices set forth in this proxy statement.</w:t>
      </w:r>
    </w:p>
    <w:p>
      <w:pPr>
        <w:spacing w:after="0" w:line="352"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PROPOSAL ONE</w:t>
      </w:r>
    </w:p>
    <w:p>
      <w:pPr>
        <w:spacing w:after="0" w:line="179"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ELECTION OF DIRECTORS</w:t>
      </w:r>
    </w:p>
    <w:p>
      <w:pPr>
        <w:spacing w:after="0" w:line="185" w:lineRule="exact"/>
        <w:rPr>
          <w:sz w:val="20"/>
          <w:szCs w:val="20"/>
          <w:color w:val="auto"/>
        </w:rPr>
      </w:pPr>
    </w:p>
    <w:p>
      <w:pPr>
        <w:ind w:right="1839" w:firstLine="648"/>
        <w:spacing w:after="0" w:line="274" w:lineRule="auto"/>
        <w:rPr>
          <w:sz w:val="20"/>
          <w:szCs w:val="20"/>
          <w:color w:val="auto"/>
        </w:rPr>
      </w:pPr>
      <w:r>
        <w:rPr>
          <w:rFonts w:ascii="Arial" w:cs="Arial" w:eastAsia="Arial" w:hAnsi="Arial"/>
          <w:sz w:val="19"/>
          <w:szCs w:val="19"/>
          <w:color w:val="auto"/>
        </w:rPr>
        <w:t>Our articles of incorporation and bylaws provide that our Board of Directors shall consist of not less than three nor more than nine members as the Board of Directors or our shareholders shall determine from time to time. The Board of Directors has currently fixed the number of directors at five. The term of each of our directors expires at the 2012 Annual Meeting. We have nominated all five existing directors for election at the meeting to serve until the next Annual Meeting of Shareholders or until their respective successors are duly elected and qualified. In the event any nominee is unable to serve, the proxies will be voted for a substitute nominee, if any, to be designated by our Board of Directors. The Board of Directors has no reason to believe any nominee will be unable or will decline to serve as a director.</w:t>
      </w:r>
    </w:p>
    <w:p>
      <w:pPr>
        <w:spacing w:after="0" w:line="126" w:lineRule="exact"/>
        <w:rPr>
          <w:sz w:val="20"/>
          <w:szCs w:val="20"/>
          <w:color w:val="auto"/>
        </w:rPr>
      </w:pPr>
    </w:p>
    <w:p>
      <w:pPr>
        <w:ind w:right="2199"/>
        <w:spacing w:after="0" w:line="256" w:lineRule="auto"/>
        <w:rPr>
          <w:sz w:val="20"/>
          <w:szCs w:val="20"/>
          <w:color w:val="auto"/>
        </w:rPr>
      </w:pPr>
      <w:r>
        <w:rPr>
          <w:rFonts w:ascii="Arial" w:cs="Arial" w:eastAsia="Arial" w:hAnsi="Arial"/>
          <w:sz w:val="22"/>
          <w:szCs w:val="22"/>
          <w:b w:val="1"/>
          <w:bCs w:val="1"/>
          <w:color w:val="auto"/>
        </w:rPr>
        <w:t>The Board of Directors unanimously recommends a vote “for” election of the nominees named herein.</w:t>
      </w:r>
    </w:p>
    <w:p>
      <w:pPr>
        <w:sectPr>
          <w:pgSz w:w="11900" w:h="16838" w:orient="portrait"/>
          <w:cols w:equalWidth="0" w:num="1">
            <w:col w:w="10219"/>
          </w:cols>
          <w:pgMar w:left="24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472440</wp:posOffset>
            </wp:positionV>
            <wp:extent cx="5351145" cy="85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color w:val="auto"/>
        </w:rPr>
        <w:t>Nominees for Director</w:t>
      </w:r>
    </w:p>
    <w:p>
      <w:pPr>
        <w:spacing w:after="0" w:line="91" w:lineRule="exact"/>
        <w:rPr>
          <w:sz w:val="20"/>
          <w:szCs w:val="20"/>
          <w:color w:val="auto"/>
        </w:rPr>
      </w:pPr>
    </w:p>
    <w:p>
      <w:pPr>
        <w:ind w:right="1779" w:firstLine="648"/>
        <w:spacing w:after="0" w:line="251" w:lineRule="auto"/>
        <w:rPr>
          <w:sz w:val="20"/>
          <w:szCs w:val="20"/>
          <w:color w:val="auto"/>
        </w:rPr>
      </w:pPr>
      <w:r>
        <w:rPr>
          <w:rFonts w:ascii="Arial" w:cs="Arial" w:eastAsia="Arial" w:hAnsi="Arial"/>
          <w:sz w:val="22"/>
          <w:szCs w:val="22"/>
          <w:color w:val="auto"/>
        </w:rPr>
        <w:t>The following table set forth certain information regarding our directors and nominees for directors.</w:t>
      </w:r>
    </w:p>
    <w:p>
      <w:pPr>
        <w:spacing w:after="0" w:line="158" w:lineRule="exact"/>
        <w:rPr>
          <w:sz w:val="20"/>
          <w:szCs w:val="20"/>
          <w:color w:val="auto"/>
        </w:rPr>
      </w:pPr>
    </w:p>
    <w:tbl>
      <w:tblPr>
        <w:tblLayout w:type="fixed"/>
        <w:tblInd w:w="30" w:type="dxa"/>
        <w:tblCellMar>
          <w:top w:w="0" w:type="dxa"/>
          <w:left w:w="0" w:type="dxa"/>
          <w:bottom w:w="0" w:type="dxa"/>
          <w:right w:w="0" w:type="dxa"/>
        </w:tblCellMar>
      </w:tblPr>
      <w:tr>
        <w:trPr>
          <w:trHeight w:val="240"/>
        </w:trPr>
        <w:tc>
          <w:tcPr>
            <w:tcW w:w="2180" w:type="dxa"/>
            <w:vAlign w:val="bottom"/>
            <w:tcBorders>
              <w:top w:val="single" w:sz="8" w:color="808080"/>
              <w:left w:val="single" w:sz="8" w:color="808080"/>
            </w:tcBorders>
          </w:tcPr>
          <w:p>
            <w:pPr>
              <w:ind w:left="900"/>
              <w:spacing w:after="0"/>
              <w:rPr>
                <w:sz w:val="20"/>
                <w:szCs w:val="20"/>
                <w:color w:val="auto"/>
              </w:rPr>
            </w:pPr>
            <w:r>
              <w:rPr>
                <w:rFonts w:ascii="Arial" w:cs="Arial" w:eastAsia="Arial" w:hAnsi="Arial"/>
                <w:sz w:val="16"/>
                <w:szCs w:val="16"/>
                <w:b w:val="1"/>
                <w:bCs w:val="1"/>
                <w:color w:val="auto"/>
              </w:rPr>
              <w:t>Name</w:t>
            </w:r>
          </w:p>
        </w:tc>
        <w:tc>
          <w:tcPr>
            <w:tcW w:w="100" w:type="dxa"/>
            <w:vAlign w:val="bottom"/>
            <w:tcBorders>
              <w:top w:val="single" w:sz="8" w:color="808080"/>
            </w:tcBorders>
          </w:tcPr>
          <w:p>
            <w:pPr>
              <w:spacing w:after="0"/>
              <w:rPr>
                <w:sz w:val="20"/>
                <w:szCs w:val="20"/>
                <w:color w:val="auto"/>
              </w:rPr>
            </w:pPr>
          </w:p>
        </w:tc>
        <w:tc>
          <w:tcPr>
            <w:tcW w:w="800" w:type="dxa"/>
            <w:vAlign w:val="bottom"/>
            <w:tcBorders>
              <w:top w:val="single" w:sz="8" w:color="808080"/>
            </w:tcBorders>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Borders>
              <w:top w:val="single" w:sz="8" w:color="808080"/>
            </w:tcBorders>
          </w:tcPr>
          <w:p>
            <w:pPr>
              <w:spacing w:after="0"/>
              <w:rPr>
                <w:sz w:val="20"/>
                <w:szCs w:val="20"/>
                <w:color w:val="auto"/>
              </w:rPr>
            </w:pPr>
          </w:p>
        </w:tc>
        <w:tc>
          <w:tcPr>
            <w:tcW w:w="3840" w:type="dxa"/>
            <w:vAlign w:val="bottom"/>
            <w:tcBorders>
              <w:top w:val="single" w:sz="8" w:color="808080"/>
            </w:tcBorders>
          </w:tcPr>
          <w:p>
            <w:pPr>
              <w:ind w:left="1640"/>
              <w:spacing w:after="0"/>
              <w:rPr>
                <w:sz w:val="20"/>
                <w:szCs w:val="20"/>
                <w:color w:val="auto"/>
              </w:rPr>
            </w:pPr>
            <w:r>
              <w:rPr>
                <w:rFonts w:ascii="Arial" w:cs="Arial" w:eastAsia="Arial" w:hAnsi="Arial"/>
                <w:sz w:val="16"/>
                <w:szCs w:val="16"/>
                <w:b w:val="1"/>
                <w:bCs w:val="1"/>
                <w:color w:val="auto"/>
              </w:rPr>
              <w:t>Position</w:t>
            </w:r>
          </w:p>
        </w:tc>
        <w:tc>
          <w:tcPr>
            <w:tcW w:w="120" w:type="dxa"/>
            <w:vAlign w:val="bottom"/>
            <w:tcBorders>
              <w:top w:val="single" w:sz="8" w:color="808080"/>
            </w:tcBorders>
          </w:tcPr>
          <w:p>
            <w:pPr>
              <w:spacing w:after="0"/>
              <w:rPr>
                <w:sz w:val="20"/>
                <w:szCs w:val="20"/>
                <w:color w:val="auto"/>
              </w:rPr>
            </w:pPr>
          </w:p>
        </w:tc>
        <w:tc>
          <w:tcPr>
            <w:tcW w:w="1280" w:type="dxa"/>
            <w:vAlign w:val="bottom"/>
            <w:tcBorders>
              <w:top w:val="single" w:sz="8" w:color="808080"/>
              <w:right w:val="single" w:sz="8" w:color="808080"/>
            </w:tcBorders>
            <w:gridSpan w:val="2"/>
          </w:tcPr>
          <w:p>
            <w:pPr>
              <w:jc w:val="center"/>
              <w:ind w:right="60"/>
              <w:spacing w:after="0"/>
              <w:rPr>
                <w:sz w:val="20"/>
                <w:szCs w:val="20"/>
                <w:color w:val="auto"/>
              </w:rPr>
            </w:pPr>
            <w:r>
              <w:rPr>
                <w:rFonts w:ascii="Arial" w:cs="Arial" w:eastAsia="Arial" w:hAnsi="Arial"/>
                <w:sz w:val="16"/>
                <w:szCs w:val="16"/>
                <w:b w:val="1"/>
                <w:bCs w:val="1"/>
                <w:color w:val="auto"/>
                <w:w w:val="90"/>
              </w:rPr>
              <w:t>Director Since</w:t>
            </w:r>
          </w:p>
        </w:tc>
      </w:tr>
      <w:tr>
        <w:trPr>
          <w:trHeight w:val="216"/>
        </w:trPr>
        <w:tc>
          <w:tcPr>
            <w:tcW w:w="2180" w:type="dxa"/>
            <w:vAlign w:val="bottom"/>
            <w:tcBorders>
              <w:top w:val="single" w:sz="8" w:color="auto"/>
              <w:left w:val="single" w:sz="8" w:color="808080"/>
            </w:tcBorders>
            <w:shd w:val="clear" w:color="auto" w:fill="B6DDE8"/>
          </w:tcPr>
          <w:p>
            <w:pPr>
              <w:ind w:left="20"/>
              <w:spacing w:after="0"/>
              <w:rPr>
                <w:sz w:val="20"/>
                <w:szCs w:val="20"/>
                <w:color w:val="auto"/>
              </w:rPr>
            </w:pPr>
            <w:r>
              <w:rPr>
                <w:rFonts w:ascii="Arial" w:cs="Arial" w:eastAsia="Arial" w:hAnsi="Arial"/>
                <w:sz w:val="18"/>
                <w:szCs w:val="18"/>
                <w:color w:val="auto"/>
              </w:rPr>
              <w:t>Zeynep “Zee” Hakimoglu</w:t>
            </w:r>
          </w:p>
        </w:tc>
        <w:tc>
          <w:tcPr>
            <w:tcW w:w="100" w:type="dxa"/>
            <w:vAlign w:val="bottom"/>
            <w:shd w:val="clear" w:color="auto" w:fill="B6DDE8"/>
          </w:tcPr>
          <w:p>
            <w:pPr>
              <w:spacing w:after="0"/>
              <w:rPr>
                <w:sz w:val="18"/>
                <w:szCs w:val="18"/>
                <w:color w:val="auto"/>
              </w:rPr>
            </w:pPr>
          </w:p>
        </w:tc>
        <w:tc>
          <w:tcPr>
            <w:tcW w:w="800" w:type="dxa"/>
            <w:vAlign w:val="bottom"/>
            <w:tcBorders>
              <w:top w:val="single" w:sz="8" w:color="auto"/>
            </w:tcBorders>
            <w:shd w:val="clear" w:color="auto" w:fill="B6DDE8"/>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shd w:val="clear" w:color="auto" w:fill="B6DDE8"/>
          </w:tcPr>
          <w:p>
            <w:pPr>
              <w:spacing w:after="0"/>
              <w:rPr>
                <w:sz w:val="18"/>
                <w:szCs w:val="18"/>
                <w:color w:val="auto"/>
              </w:rPr>
            </w:pPr>
          </w:p>
        </w:tc>
        <w:tc>
          <w:tcPr>
            <w:tcW w:w="3840" w:type="dxa"/>
            <w:vAlign w:val="bottom"/>
            <w:tcBorders>
              <w:top w:val="single" w:sz="8" w:color="auto"/>
            </w:tcBorders>
            <w:shd w:val="clear" w:color="auto" w:fill="B6DDE8"/>
          </w:tcPr>
          <w:p>
            <w:pPr>
              <w:spacing w:after="0"/>
              <w:rPr>
                <w:sz w:val="20"/>
                <w:szCs w:val="20"/>
                <w:color w:val="auto"/>
              </w:rPr>
            </w:pPr>
            <w:r>
              <w:rPr>
                <w:rFonts w:ascii="Arial" w:cs="Arial" w:eastAsia="Arial" w:hAnsi="Arial"/>
                <w:sz w:val="18"/>
                <w:szCs w:val="18"/>
                <w:color w:val="auto"/>
                <w:w w:val="97"/>
              </w:rPr>
              <w:t>Chairman, Chief Executive Officer, and President</w:t>
            </w:r>
          </w:p>
        </w:tc>
        <w:tc>
          <w:tcPr>
            <w:tcW w:w="120" w:type="dxa"/>
            <w:vAlign w:val="bottom"/>
            <w:shd w:val="clear" w:color="auto" w:fill="B6DDE8"/>
          </w:tcPr>
          <w:p>
            <w:pPr>
              <w:spacing w:after="0"/>
              <w:rPr>
                <w:sz w:val="18"/>
                <w:szCs w:val="18"/>
                <w:color w:val="auto"/>
              </w:rPr>
            </w:pPr>
          </w:p>
        </w:tc>
        <w:tc>
          <w:tcPr>
            <w:tcW w:w="1240" w:type="dxa"/>
            <w:vAlign w:val="bottom"/>
            <w:tcBorders>
              <w:top w:val="single" w:sz="8" w:color="auto"/>
            </w:tcBorders>
            <w:shd w:val="clear" w:color="auto" w:fill="B6DDE8"/>
          </w:tcPr>
          <w:p>
            <w:pPr>
              <w:jc w:val="center"/>
              <w:spacing w:after="0"/>
              <w:rPr>
                <w:sz w:val="20"/>
                <w:szCs w:val="20"/>
                <w:color w:val="auto"/>
              </w:rPr>
            </w:pPr>
            <w:r>
              <w:rPr>
                <w:rFonts w:ascii="Arial" w:cs="Arial" w:eastAsia="Arial" w:hAnsi="Arial"/>
                <w:sz w:val="18"/>
                <w:szCs w:val="18"/>
                <w:color w:val="auto"/>
                <w:w w:val="89"/>
              </w:rPr>
              <w:t>2006</w:t>
            </w:r>
          </w:p>
        </w:tc>
        <w:tc>
          <w:tcPr>
            <w:tcW w:w="40" w:type="dxa"/>
            <w:vAlign w:val="bottom"/>
            <w:tcBorders>
              <w:right w:val="single" w:sz="8" w:color="808080"/>
            </w:tcBorders>
          </w:tcPr>
          <w:p>
            <w:pPr>
              <w:spacing w:after="0"/>
              <w:rPr>
                <w:sz w:val="18"/>
                <w:szCs w:val="18"/>
                <w:color w:val="auto"/>
              </w:rPr>
            </w:pPr>
          </w:p>
        </w:tc>
      </w:tr>
      <w:tr>
        <w:trPr>
          <w:trHeight w:val="257"/>
        </w:trPr>
        <w:tc>
          <w:tcPr>
            <w:tcW w:w="2180" w:type="dxa"/>
            <w:vAlign w:val="bottom"/>
            <w:tcBorders>
              <w:left w:val="single" w:sz="8" w:color="808080"/>
            </w:tcBorders>
          </w:tcPr>
          <w:p>
            <w:pPr>
              <w:ind w:left="20"/>
              <w:spacing w:after="0"/>
              <w:rPr>
                <w:sz w:val="20"/>
                <w:szCs w:val="20"/>
                <w:color w:val="auto"/>
              </w:rPr>
            </w:pPr>
            <w:r>
              <w:rPr>
                <w:rFonts w:ascii="Arial" w:cs="Arial" w:eastAsia="Arial" w:hAnsi="Arial"/>
                <w:sz w:val="18"/>
                <w:szCs w:val="18"/>
                <w:color w:val="auto"/>
              </w:rPr>
              <w:t>Brad R. Baldwin</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2"/>
                <w:szCs w:val="22"/>
                <w:color w:val="auto"/>
              </w:rPr>
            </w:pPr>
          </w:p>
        </w:tc>
        <w:tc>
          <w:tcPr>
            <w:tcW w:w="3840" w:type="dxa"/>
            <w:vAlign w:val="bottom"/>
          </w:tcPr>
          <w:p>
            <w:pPr>
              <w:spacing w:after="0" w:line="256" w:lineRule="exact"/>
              <w:rPr>
                <w:sz w:val="20"/>
                <w:szCs w:val="20"/>
                <w:color w:val="auto"/>
              </w:rPr>
            </w:pPr>
            <w:r>
              <w:rPr>
                <w:rFonts w:ascii="Arial" w:cs="Arial" w:eastAsia="Arial" w:hAnsi="Arial"/>
                <w:sz w:val="29"/>
                <w:szCs w:val="29"/>
                <w:color w:val="auto"/>
                <w:vertAlign w:val="subscript"/>
              </w:rPr>
              <w:t>Director</w:t>
            </w:r>
            <w:r>
              <w:rPr>
                <w:rFonts w:ascii="Arial" w:cs="Arial" w:eastAsia="Arial" w:hAnsi="Arial"/>
                <w:sz w:val="13"/>
                <w:szCs w:val="13"/>
                <w:color w:val="auto"/>
              </w:rPr>
              <w:t xml:space="preserve"> (1)(2)(3)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1988</w:t>
            </w:r>
          </w:p>
        </w:tc>
        <w:tc>
          <w:tcPr>
            <w:tcW w:w="40" w:type="dxa"/>
            <w:vAlign w:val="bottom"/>
            <w:tcBorders>
              <w:right w:val="single" w:sz="8" w:color="808080"/>
            </w:tcBorders>
          </w:tcPr>
          <w:p>
            <w:pPr>
              <w:spacing w:after="0"/>
              <w:rPr>
                <w:sz w:val="22"/>
                <w:szCs w:val="22"/>
                <w:color w:val="auto"/>
              </w:rPr>
            </w:pPr>
          </w:p>
        </w:tc>
      </w:tr>
      <w:tr>
        <w:trPr>
          <w:trHeight w:val="257"/>
        </w:trPr>
        <w:tc>
          <w:tcPr>
            <w:tcW w:w="218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8"/>
                <w:szCs w:val="18"/>
                <w:color w:val="auto"/>
              </w:rPr>
              <w:t>Larry R. Hendricks</w:t>
            </w:r>
          </w:p>
        </w:tc>
        <w:tc>
          <w:tcPr>
            <w:tcW w:w="900" w:type="dxa"/>
            <w:vAlign w:val="bottom"/>
            <w:gridSpan w:val="2"/>
            <w:shd w:val="clear" w:color="auto" w:fill="B6DDE8"/>
          </w:tcPr>
          <w:p>
            <w:pPr>
              <w:jc w:val="center"/>
              <w:spacing w:after="0"/>
              <w:rPr>
                <w:sz w:val="20"/>
                <w:szCs w:val="20"/>
                <w:color w:val="auto"/>
              </w:rPr>
            </w:pPr>
            <w:r>
              <w:rPr>
                <w:rFonts w:ascii="Arial" w:cs="Arial" w:eastAsia="Arial" w:hAnsi="Arial"/>
                <w:sz w:val="18"/>
                <w:szCs w:val="18"/>
                <w:color w:val="auto"/>
                <w:w w:val="89"/>
              </w:rPr>
              <w:t>69</w:t>
            </w:r>
          </w:p>
        </w:tc>
        <w:tc>
          <w:tcPr>
            <w:tcW w:w="100" w:type="dxa"/>
            <w:vAlign w:val="bottom"/>
            <w:shd w:val="clear" w:color="auto" w:fill="B6DDE8"/>
          </w:tcPr>
          <w:p>
            <w:pPr>
              <w:spacing w:after="0"/>
              <w:rPr>
                <w:sz w:val="22"/>
                <w:szCs w:val="22"/>
                <w:color w:val="auto"/>
              </w:rPr>
            </w:pPr>
          </w:p>
        </w:tc>
        <w:tc>
          <w:tcPr>
            <w:tcW w:w="3840" w:type="dxa"/>
            <w:vAlign w:val="bottom"/>
            <w:shd w:val="clear" w:color="auto" w:fill="B6DDE8"/>
          </w:tcPr>
          <w:p>
            <w:pPr>
              <w:spacing w:after="0" w:line="256" w:lineRule="exact"/>
              <w:rPr>
                <w:sz w:val="20"/>
                <w:szCs w:val="20"/>
                <w:color w:val="auto"/>
              </w:rPr>
            </w:pPr>
            <w:r>
              <w:rPr>
                <w:rFonts w:ascii="Arial" w:cs="Arial" w:eastAsia="Arial" w:hAnsi="Arial"/>
                <w:sz w:val="29"/>
                <w:szCs w:val="29"/>
                <w:color w:val="auto"/>
                <w:vertAlign w:val="subscript"/>
              </w:rPr>
              <w:t>Director</w:t>
            </w:r>
            <w:r>
              <w:rPr>
                <w:rFonts w:ascii="Arial" w:cs="Arial" w:eastAsia="Arial" w:hAnsi="Arial"/>
                <w:sz w:val="13"/>
                <w:szCs w:val="13"/>
                <w:color w:val="auto"/>
              </w:rPr>
              <w:t xml:space="preserve"> (1)(2)(3)</w:t>
            </w:r>
          </w:p>
        </w:tc>
        <w:tc>
          <w:tcPr>
            <w:tcW w:w="1360" w:type="dxa"/>
            <w:vAlign w:val="bottom"/>
            <w:gridSpan w:val="2"/>
            <w:shd w:val="clear" w:color="auto" w:fill="B6DDE8"/>
          </w:tcPr>
          <w:p>
            <w:pPr>
              <w:jc w:val="center"/>
              <w:ind w:left="30"/>
              <w:spacing w:after="0"/>
              <w:rPr>
                <w:sz w:val="20"/>
                <w:szCs w:val="20"/>
                <w:color w:val="auto"/>
              </w:rPr>
            </w:pPr>
            <w:r>
              <w:rPr>
                <w:rFonts w:ascii="Arial" w:cs="Arial" w:eastAsia="Arial" w:hAnsi="Arial"/>
                <w:sz w:val="18"/>
                <w:szCs w:val="18"/>
                <w:color w:val="auto"/>
                <w:w w:val="89"/>
              </w:rPr>
              <w:t>2003</w:t>
            </w:r>
          </w:p>
        </w:tc>
        <w:tc>
          <w:tcPr>
            <w:tcW w:w="40" w:type="dxa"/>
            <w:vAlign w:val="bottom"/>
            <w:tcBorders>
              <w:right w:val="single" w:sz="8" w:color="808080"/>
            </w:tcBorders>
          </w:tcPr>
          <w:p>
            <w:pPr>
              <w:spacing w:after="0"/>
              <w:rPr>
                <w:sz w:val="22"/>
                <w:szCs w:val="22"/>
                <w:color w:val="auto"/>
              </w:rPr>
            </w:pPr>
          </w:p>
        </w:tc>
      </w:tr>
      <w:tr>
        <w:trPr>
          <w:trHeight w:val="257"/>
        </w:trPr>
        <w:tc>
          <w:tcPr>
            <w:tcW w:w="2180" w:type="dxa"/>
            <w:vAlign w:val="bottom"/>
            <w:tcBorders>
              <w:left w:val="single" w:sz="8" w:color="808080"/>
            </w:tcBorders>
          </w:tcPr>
          <w:p>
            <w:pPr>
              <w:ind w:left="20"/>
              <w:spacing w:after="0"/>
              <w:rPr>
                <w:sz w:val="20"/>
                <w:szCs w:val="20"/>
                <w:color w:val="auto"/>
              </w:rPr>
            </w:pPr>
            <w:r>
              <w:rPr>
                <w:rFonts w:ascii="Arial" w:cs="Arial" w:eastAsia="Arial" w:hAnsi="Arial"/>
                <w:sz w:val="18"/>
                <w:szCs w:val="18"/>
                <w:color w:val="auto"/>
              </w:rPr>
              <w:t>Scott M. Huntsman</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22"/>
                <w:szCs w:val="22"/>
                <w:color w:val="auto"/>
              </w:rPr>
            </w:pPr>
          </w:p>
        </w:tc>
        <w:tc>
          <w:tcPr>
            <w:tcW w:w="3840" w:type="dxa"/>
            <w:vAlign w:val="bottom"/>
          </w:tcPr>
          <w:p>
            <w:pPr>
              <w:spacing w:after="0" w:line="256" w:lineRule="exact"/>
              <w:rPr>
                <w:sz w:val="20"/>
                <w:szCs w:val="20"/>
                <w:color w:val="auto"/>
              </w:rPr>
            </w:pPr>
            <w:r>
              <w:rPr>
                <w:rFonts w:ascii="Arial" w:cs="Arial" w:eastAsia="Arial" w:hAnsi="Arial"/>
                <w:sz w:val="29"/>
                <w:szCs w:val="29"/>
                <w:color w:val="auto"/>
                <w:vertAlign w:val="subscript"/>
              </w:rPr>
              <w:t>Director</w:t>
            </w:r>
            <w:r>
              <w:rPr>
                <w:rFonts w:ascii="Arial" w:cs="Arial" w:eastAsia="Arial" w:hAnsi="Arial"/>
                <w:sz w:val="13"/>
                <w:szCs w:val="13"/>
                <w:color w:val="auto"/>
              </w:rPr>
              <w:t xml:space="preserve"> (1)(2)(3)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2003</w:t>
            </w:r>
          </w:p>
        </w:tc>
        <w:tc>
          <w:tcPr>
            <w:tcW w:w="40" w:type="dxa"/>
            <w:vAlign w:val="bottom"/>
            <w:tcBorders>
              <w:right w:val="single" w:sz="8" w:color="808080"/>
            </w:tcBorders>
          </w:tcPr>
          <w:p>
            <w:pPr>
              <w:spacing w:after="0"/>
              <w:rPr>
                <w:sz w:val="22"/>
                <w:szCs w:val="22"/>
                <w:color w:val="auto"/>
              </w:rPr>
            </w:pPr>
          </w:p>
        </w:tc>
      </w:tr>
      <w:tr>
        <w:trPr>
          <w:trHeight w:val="216"/>
        </w:trPr>
        <w:tc>
          <w:tcPr>
            <w:tcW w:w="218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8"/>
                <w:szCs w:val="18"/>
                <w:color w:val="auto"/>
              </w:rPr>
              <w:t>E. Bryan Bagley</w:t>
            </w:r>
          </w:p>
        </w:tc>
        <w:tc>
          <w:tcPr>
            <w:tcW w:w="900" w:type="dxa"/>
            <w:vAlign w:val="bottom"/>
            <w:gridSpan w:val="2"/>
            <w:shd w:val="clear" w:color="auto" w:fill="B6DDE8"/>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shd w:val="clear" w:color="auto" w:fill="B6DDE8"/>
          </w:tcPr>
          <w:p>
            <w:pPr>
              <w:spacing w:after="0"/>
              <w:rPr>
                <w:sz w:val="18"/>
                <w:szCs w:val="18"/>
                <w:color w:val="auto"/>
              </w:rPr>
            </w:pPr>
          </w:p>
        </w:tc>
        <w:tc>
          <w:tcPr>
            <w:tcW w:w="3840" w:type="dxa"/>
            <w:vAlign w:val="bottom"/>
            <w:shd w:val="clear" w:color="auto" w:fill="B6DDE8"/>
          </w:tcPr>
          <w:p>
            <w:pPr>
              <w:spacing w:after="0"/>
              <w:rPr>
                <w:sz w:val="20"/>
                <w:szCs w:val="20"/>
                <w:color w:val="auto"/>
              </w:rPr>
            </w:pPr>
            <w:r>
              <w:rPr>
                <w:rFonts w:ascii="Arial" w:cs="Arial" w:eastAsia="Arial" w:hAnsi="Arial"/>
                <w:sz w:val="18"/>
                <w:szCs w:val="18"/>
                <w:color w:val="auto"/>
              </w:rPr>
              <w:t>Director</w:t>
            </w:r>
          </w:p>
        </w:tc>
        <w:tc>
          <w:tcPr>
            <w:tcW w:w="1360" w:type="dxa"/>
            <w:vAlign w:val="bottom"/>
            <w:gridSpan w:val="2"/>
            <w:shd w:val="clear" w:color="auto" w:fill="B6DDE8"/>
          </w:tcPr>
          <w:p>
            <w:pPr>
              <w:jc w:val="center"/>
              <w:ind w:left="30"/>
              <w:spacing w:after="0"/>
              <w:rPr>
                <w:sz w:val="20"/>
                <w:szCs w:val="20"/>
                <w:color w:val="auto"/>
              </w:rPr>
            </w:pPr>
            <w:r>
              <w:rPr>
                <w:rFonts w:ascii="Arial" w:cs="Arial" w:eastAsia="Arial" w:hAnsi="Arial"/>
                <w:sz w:val="18"/>
                <w:szCs w:val="18"/>
                <w:color w:val="auto"/>
                <w:w w:val="89"/>
              </w:rPr>
              <w:t>2009</w:t>
            </w:r>
          </w:p>
        </w:tc>
        <w:tc>
          <w:tcPr>
            <w:tcW w:w="40" w:type="dxa"/>
            <w:vAlign w:val="bottom"/>
            <w:tcBorders>
              <w:right w:val="single" w:sz="8" w:color="808080"/>
            </w:tcBorders>
          </w:tcPr>
          <w:p>
            <w:pPr>
              <w:spacing w:after="0"/>
              <w:rPr>
                <w:sz w:val="18"/>
                <w:szCs w:val="18"/>
                <w:color w:val="auto"/>
              </w:rPr>
            </w:pPr>
          </w:p>
        </w:tc>
      </w:tr>
      <w:tr>
        <w:trPr>
          <w:trHeight w:val="20"/>
        </w:trPr>
        <w:tc>
          <w:tcPr>
            <w:tcW w:w="2180" w:type="dxa"/>
            <w:vAlign w:val="bottom"/>
            <w:tcBorders>
              <w:left w:val="single" w:sz="8" w:color="808080"/>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3840" w:type="dxa"/>
            <w:vAlign w:val="bottom"/>
            <w:tcBorders>
              <w:bottom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124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-927735</wp:posOffset>
            </wp:positionV>
            <wp:extent cx="529971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99710" cy="14605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-644525</wp:posOffset>
            </wp:positionV>
            <wp:extent cx="529971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99710" cy="16319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-318770</wp:posOffset>
            </wp:positionV>
            <wp:extent cx="529971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99710" cy="1631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_______________________</w:t>
      </w:r>
    </w:p>
    <w:p>
      <w:pPr>
        <w:spacing w:after="0" w:line="88" w:lineRule="exact"/>
        <w:rPr>
          <w:sz w:val="20"/>
          <w:szCs w:val="20"/>
          <w:color w:val="auto"/>
        </w:rPr>
      </w:pPr>
    </w:p>
    <w:p>
      <w:pPr>
        <w:ind w:left="620" w:hanging="612"/>
        <w:spacing w:after="0"/>
        <w:tabs>
          <w:tab w:leader="none" w:pos="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Member of the Audit and Compliance Committee</w:t>
      </w:r>
    </w:p>
    <w:p>
      <w:pPr>
        <w:spacing w:after="0" w:line="84" w:lineRule="exact"/>
        <w:rPr>
          <w:rFonts w:ascii="Arial" w:cs="Arial" w:eastAsia="Arial" w:hAnsi="Arial"/>
          <w:sz w:val="22"/>
          <w:szCs w:val="22"/>
          <w:color w:val="auto"/>
        </w:rPr>
      </w:pPr>
    </w:p>
    <w:p>
      <w:pPr>
        <w:ind w:left="620" w:hanging="612"/>
        <w:spacing w:after="0"/>
        <w:tabs>
          <w:tab w:leader="none" w:pos="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Member of the Compensation Committee</w:t>
      </w:r>
    </w:p>
    <w:p>
      <w:pPr>
        <w:spacing w:after="0" w:line="84" w:lineRule="exact"/>
        <w:rPr>
          <w:rFonts w:ascii="Arial" w:cs="Arial" w:eastAsia="Arial" w:hAnsi="Arial"/>
          <w:sz w:val="22"/>
          <w:szCs w:val="22"/>
          <w:color w:val="auto"/>
        </w:rPr>
      </w:pPr>
    </w:p>
    <w:p>
      <w:pPr>
        <w:ind w:left="620" w:hanging="612"/>
        <w:spacing w:after="0"/>
        <w:tabs>
          <w:tab w:leader="none" w:pos="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Member of the Nominating Committee</w:t>
      </w:r>
    </w:p>
    <w:p>
      <w:pPr>
        <w:spacing w:after="0" w:line="173" w:lineRule="exact"/>
        <w:rPr>
          <w:sz w:val="20"/>
          <w:szCs w:val="20"/>
          <w:color w:val="auto"/>
        </w:rPr>
      </w:pPr>
    </w:p>
    <w:p>
      <w:pPr>
        <w:ind w:right="1779" w:firstLine="1297"/>
        <w:spacing w:after="0" w:line="270" w:lineRule="auto"/>
        <w:rPr>
          <w:sz w:val="20"/>
          <w:szCs w:val="20"/>
          <w:color w:val="auto"/>
        </w:rPr>
      </w:pPr>
      <w:r>
        <w:rPr>
          <w:rFonts w:ascii="Arial" w:cs="Arial" w:eastAsia="Arial" w:hAnsi="Arial"/>
          <w:sz w:val="19"/>
          <w:szCs w:val="19"/>
          <w:b w:val="1"/>
          <w:bCs w:val="1"/>
          <w:color w:val="auto"/>
        </w:rPr>
        <w:t xml:space="preserve">Zee Hakimoglu </w:t>
      </w:r>
      <w:r>
        <w:rPr>
          <w:rFonts w:ascii="Arial" w:cs="Arial" w:eastAsia="Arial" w:hAnsi="Arial"/>
          <w:sz w:val="19"/>
          <w:szCs w:val="19"/>
          <w:color w:val="auto"/>
        </w:rPr>
        <w:t>has served as a director of our company since April 2006. Ms.</w:t>
      </w:r>
      <w:r>
        <w:rPr>
          <w:rFonts w:ascii="Arial" w:cs="Arial" w:eastAsia="Arial" w:hAnsi="Arial"/>
          <w:sz w:val="19"/>
          <w:szCs w:val="19"/>
          <w:b w:val="1"/>
          <w:bCs w:val="1"/>
          <w:color w:val="auto"/>
        </w:rPr>
        <w:t xml:space="preserve"> </w:t>
      </w:r>
      <w:r>
        <w:rPr>
          <w:rFonts w:ascii="Arial" w:cs="Arial" w:eastAsia="Arial" w:hAnsi="Arial"/>
          <w:sz w:val="19"/>
          <w:szCs w:val="19"/>
          <w:color w:val="auto"/>
        </w:rPr>
        <w:t>Hakimoglu joined our company in December 2003 with more than 15 years of executive and senior-level, high-tech management experience and was appointed as President and Chief Executive Officer in July 2004 and Chairman of the Board in July 2007. She served in a variety of executive business development, product marketing, and engineering roles including Vice President of Product Line Management for ClearOne from December 2003 to July 2004. Prior to joining ClearOne, Ms. Hakimoglu served as Vice President of Product Line Management for Oplink Communications, a publicly traded developer of fiber optic subsystems and components from December 2001 to December 2002; President of OZ Optics USA, a manufacturer of fiber optic test equipment and components from August 2000 to November 2001; and various management positions including Vice President of Wireless Engineering and Vice President of the Wireless Business Unit for Aydin Corp., a telecommunications equipment company, formerly traded on the New York Stock Exchange from May 1982 until it was acquired in September 1996. She also was Vice President of Business Development for Kaifa Technology from October 1998 to August 2000 and was instrumental in its acquisition by E-Tek Dynamics, then again acquired by JDS Uniphase. Through these acquisitions, she held the role of Deputy General Manager of the Kaifa Technology business unit. Ms. Hakimoglu earned a Bachelor of Science Degree in Physics from California State College, Sonoma, and a Master’s Degree in Physics from Drexel University. In light of Ms. Hakimoglu’s rich experience in the high-tech industry and her unique and extensive understanding of ClearOne’s business, our Board has concluded that Ms. Hakimoglu should continue to serve as a director.</w:t>
      </w:r>
    </w:p>
    <w:p>
      <w:pPr>
        <w:spacing w:after="0" w:line="132" w:lineRule="exact"/>
        <w:rPr>
          <w:sz w:val="20"/>
          <w:szCs w:val="20"/>
          <w:color w:val="auto"/>
        </w:rPr>
      </w:pPr>
    </w:p>
    <w:p>
      <w:pPr>
        <w:ind w:right="1819" w:firstLine="1297"/>
        <w:spacing w:after="0" w:line="272" w:lineRule="auto"/>
        <w:rPr>
          <w:sz w:val="20"/>
          <w:szCs w:val="20"/>
          <w:color w:val="auto"/>
        </w:rPr>
      </w:pPr>
      <w:r>
        <w:rPr>
          <w:rFonts w:ascii="Arial" w:cs="Arial" w:eastAsia="Arial" w:hAnsi="Arial"/>
          <w:sz w:val="19"/>
          <w:szCs w:val="19"/>
          <w:b w:val="1"/>
          <w:bCs w:val="1"/>
          <w:color w:val="auto"/>
        </w:rPr>
        <w:t xml:space="preserve">Brad R. Baldwin </w:t>
      </w:r>
      <w:r>
        <w:rPr>
          <w:rFonts w:ascii="Arial" w:cs="Arial" w:eastAsia="Arial" w:hAnsi="Arial"/>
          <w:sz w:val="19"/>
          <w:szCs w:val="19"/>
          <w:color w:val="auto"/>
        </w:rPr>
        <w:t>has served as a director of our company since October 1988.</w:t>
      </w:r>
      <w:r>
        <w:rPr>
          <w:rFonts w:ascii="Arial" w:cs="Arial" w:eastAsia="Arial" w:hAnsi="Arial"/>
          <w:sz w:val="19"/>
          <w:szCs w:val="19"/>
          <w:b w:val="1"/>
          <w:bCs w:val="1"/>
          <w:color w:val="auto"/>
        </w:rPr>
        <w:t xml:space="preserve"> </w:t>
      </w:r>
      <w:r>
        <w:rPr>
          <w:rFonts w:ascii="Arial" w:cs="Arial" w:eastAsia="Arial" w:hAnsi="Arial"/>
          <w:sz w:val="19"/>
          <w:szCs w:val="19"/>
          <w:color w:val="auto"/>
        </w:rPr>
        <w:t>Mr. Baldwin is an attorney licensed to practice in Utah. Since April 2009, Mr. Baldwin has served as general counsel to the Wasatch Front Regional Multiple Listing Service (“WFRMLS “). The WFRMLS currently assists over 12,000 brokers, agents and appraisers with their MLS needs and services. From April 2001 to April 2009, he served as an attorney and investment real estate specialist with the commercial real estate business with Commerce CRG in Salt Lake City, Utah. From 1988 to 2000, he served as legal counsel and president of Bank One, Utah. He also practiced business, corporate and real estate law for ten years in Salt Lake City. He has a degree in finance from the University of Utah and a law degree from the University of Washington. He has served on the board of many community organizations, including the Salt Lake Area Chamber of Commerce, the Utah Bankers Association, and the Economic Development Corporation of Utah. In light of Mr. Baldwin’s legal background and unique understanding of our business due to his long service on our Board, the Board has concluded that Mr. Baldwin should continue to serve as a director.</w:t>
      </w:r>
    </w:p>
    <w:p>
      <w:pPr>
        <w:spacing w:after="0" w:line="373" w:lineRule="exact"/>
        <w:rPr>
          <w:sz w:val="20"/>
          <w:szCs w:val="20"/>
          <w:color w:val="auto"/>
        </w:rPr>
      </w:pPr>
    </w:p>
    <w:p>
      <w:pPr>
        <w:ind w:right="1839" w:firstLine="1297"/>
        <w:spacing w:after="0" w:line="273" w:lineRule="auto"/>
        <w:rPr>
          <w:sz w:val="20"/>
          <w:szCs w:val="20"/>
          <w:color w:val="auto"/>
        </w:rPr>
      </w:pPr>
      <w:r>
        <w:rPr>
          <w:rFonts w:ascii="Arial" w:cs="Arial" w:eastAsia="Arial" w:hAnsi="Arial"/>
          <w:sz w:val="19"/>
          <w:szCs w:val="19"/>
          <w:b w:val="1"/>
          <w:bCs w:val="1"/>
          <w:color w:val="auto"/>
        </w:rPr>
        <w:t xml:space="preserve">Larry R. Hendricks </w:t>
      </w:r>
      <w:r>
        <w:rPr>
          <w:rFonts w:ascii="Arial" w:cs="Arial" w:eastAsia="Arial" w:hAnsi="Arial"/>
          <w:sz w:val="19"/>
          <w:szCs w:val="19"/>
          <w:color w:val="auto"/>
        </w:rPr>
        <w:t>has served as a director of our company since June 2003.</w:t>
      </w:r>
      <w:r>
        <w:rPr>
          <w:rFonts w:ascii="Arial" w:cs="Arial" w:eastAsia="Arial" w:hAnsi="Arial"/>
          <w:sz w:val="19"/>
          <w:szCs w:val="19"/>
          <w:b w:val="1"/>
          <w:bCs w:val="1"/>
          <w:color w:val="auto"/>
        </w:rPr>
        <w:t xml:space="preserve"> </w:t>
      </w:r>
      <w:r>
        <w:rPr>
          <w:rFonts w:ascii="Arial" w:cs="Arial" w:eastAsia="Arial" w:hAnsi="Arial"/>
          <w:sz w:val="19"/>
          <w:szCs w:val="19"/>
          <w:color w:val="auto"/>
        </w:rPr>
        <w:t>Mr. Hendricks is a Certified Public Accountant who retired in December 2002 after serving as Vice President of Finance and General Manager of Daily Foods, Inc., a national meat processing company. During his 30-year career in accounting, he served as a self-employed CPA and worked for the international accounting firm Peat Marwick &amp; Mitchell. Mr. Hendricks has served on the boards of eight other organizations, including Tunex International, Habitat for Humanity, Daily Foods, and Skin Care International. He earned a Bachelor’s Degree in Accounting from Utah State University and a Master of Business Administration Degree from the University of Utah. In light of Mr. Hendricks’ background in finance and accounting and his deep understanding of our business after his service on our Board, the Board has concluded Mr. Hendricks should continue to serve as a director.</w:t>
      </w:r>
    </w:p>
    <w:p>
      <w:pPr>
        <w:sectPr>
          <w:pgSz w:w="11900" w:h="16838" w:orient="portrait"/>
          <w:cols w:equalWidth="0" w:num="1">
            <w:col w:w="10219"/>
          </w:cols>
          <w:pgMar w:left="240" w:top="355" w:right="1440" w:bottom="381" w:gutter="0" w:footer="0" w:header="0"/>
        </w:sectPr>
      </w:pPr>
    </w:p>
    <w:bookmarkStart w:id="6" w:name="page7"/>
    <w:bookmarkEnd w:id="6"/>
    <w:p>
      <w:pPr>
        <w:ind w:left="2960"/>
        <w:spacing w:after="0"/>
        <w:rPr>
          <w:sz w:val="20"/>
          <w:szCs w:val="20"/>
          <w:color w:val="auto"/>
        </w:rPr>
      </w:pPr>
      <w:r>
        <w:rPr>
          <w:rFonts w:ascii="Arial" w:cs="Arial" w:eastAsia="Arial" w:hAnsi="Arial"/>
          <w:sz w:val="14"/>
          <w:szCs w:val="14"/>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103505</wp:posOffset>
            </wp:positionV>
            <wp:extent cx="5351145" cy="85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9019"/>
          </w:cols>
          <w:pgMar w:left="1440" w:top="801" w:right="1440" w:bottom="1440" w:gutter="0" w:footer="0" w:header="0"/>
        </w:sectPr>
      </w:pPr>
    </w:p>
    <w:bookmarkStart w:id="7" w:name="page8"/>
    <w:bookmarkEnd w:id="7"/>
    <w:p>
      <w:pPr>
        <w:ind w:right="1879" w:firstLine="648"/>
        <w:spacing w:after="0" w:line="272" w:lineRule="auto"/>
        <w:rPr>
          <w:sz w:val="20"/>
          <w:szCs w:val="20"/>
          <w:color w:val="auto"/>
        </w:rPr>
      </w:pPr>
      <w:r>
        <w:rPr>
          <w:rFonts w:ascii="Arial" w:cs="Arial" w:eastAsia="Arial" w:hAnsi="Arial"/>
          <w:sz w:val="19"/>
          <w:szCs w:val="19"/>
          <w:b w:val="1"/>
          <w:bCs w:val="1"/>
          <w:color w:val="auto"/>
        </w:rPr>
        <w:t xml:space="preserve">Scott M. Huntsman </w:t>
      </w:r>
      <w:r>
        <w:rPr>
          <w:rFonts w:ascii="Arial" w:cs="Arial" w:eastAsia="Arial" w:hAnsi="Arial"/>
          <w:sz w:val="19"/>
          <w:szCs w:val="19"/>
          <w:color w:val="auto"/>
        </w:rPr>
        <w:t>has served as a director of our company since June 2003. Mr.</w:t>
      </w:r>
      <w:r>
        <w:rPr>
          <w:rFonts w:ascii="Arial" w:cs="Arial" w:eastAsia="Arial" w:hAnsi="Arial"/>
          <w:sz w:val="19"/>
          <w:szCs w:val="19"/>
          <w:b w:val="1"/>
          <w:bCs w:val="1"/>
          <w:color w:val="auto"/>
        </w:rPr>
        <w:t xml:space="preserve"> </w:t>
      </w:r>
      <w:r>
        <w:rPr>
          <w:rFonts w:ascii="Arial" w:cs="Arial" w:eastAsia="Arial" w:hAnsi="Arial"/>
          <w:sz w:val="19"/>
          <w:szCs w:val="19"/>
          <w:color w:val="auto"/>
        </w:rPr>
        <w:t>Huntsman has served as President of GlobalSim, a technology and simulation company, since February 2003, and as Chief Financial Officer from April 2002 to February 2003. Prior to joining GlobalSim, he spent 11 years on Wall Street as an investment banker, where he focused on mergers, acquisitions, and corporate finance transactions. Mr. Huntsman served at Donaldson, Lufkin and Jenrette Securities Corporation from August 1996 to 2000, when they merged with Credit Suisse First Boston where he served until October 2001. Mr. Huntsman earned a Bachelor’s Degree from Columbia University and a Master of Business Administration Degree from The Wharton School at the University of Pennsylvania. He also studied at the London School of Economics as a Kohn Fellowship recipient. In light of Mr. Huntsman’s background in finance and particularly in the areas of mergers and acquisitions and corporate finance, and in view of his experience as a leader of a technology company, the Board has concluded Mr. Huntsman should continue to serve as a director.</w:t>
      </w:r>
    </w:p>
    <w:p>
      <w:pPr>
        <w:spacing w:after="0" w:line="130" w:lineRule="exact"/>
        <w:rPr>
          <w:sz w:val="20"/>
          <w:szCs w:val="20"/>
          <w:color w:val="auto"/>
        </w:rPr>
      </w:pPr>
    </w:p>
    <w:p>
      <w:pPr>
        <w:ind w:right="1819" w:firstLine="1297"/>
        <w:spacing w:after="0" w:line="244" w:lineRule="auto"/>
        <w:rPr>
          <w:sz w:val="20"/>
          <w:szCs w:val="20"/>
          <w:color w:val="auto"/>
        </w:rPr>
      </w:pPr>
      <w:r>
        <w:rPr>
          <w:rFonts w:ascii="Arial" w:cs="Arial" w:eastAsia="Arial" w:hAnsi="Arial"/>
          <w:sz w:val="21"/>
          <w:szCs w:val="21"/>
          <w:b w:val="1"/>
          <w:bCs w:val="1"/>
          <w:color w:val="auto"/>
        </w:rPr>
        <w:t xml:space="preserve">E. Bryan Bagley </w:t>
      </w:r>
      <w:r>
        <w:rPr>
          <w:rFonts w:ascii="Arial" w:cs="Arial" w:eastAsia="Arial" w:hAnsi="Arial"/>
          <w:sz w:val="21"/>
          <w:szCs w:val="21"/>
          <w:color w:val="auto"/>
        </w:rPr>
        <w:t>has served as a director of our company since November 2009.</w:t>
      </w:r>
      <w:r>
        <w:rPr>
          <w:rFonts w:ascii="Arial" w:cs="Arial" w:eastAsia="Arial" w:hAnsi="Arial"/>
          <w:sz w:val="21"/>
          <w:szCs w:val="21"/>
          <w:b w:val="1"/>
          <w:bCs w:val="1"/>
          <w:color w:val="auto"/>
        </w:rPr>
        <w:t xml:space="preserve"> </w:t>
      </w:r>
      <w:r>
        <w:rPr>
          <w:rFonts w:ascii="Arial" w:cs="Arial" w:eastAsia="Arial" w:hAnsi="Arial"/>
          <w:sz w:val="21"/>
          <w:szCs w:val="21"/>
          <w:color w:val="auto"/>
        </w:rPr>
        <w:t>Mr. Bagley was a director of Nevada Chemicals from June 2000 until the company was sold in September 2008 and served as Chairman of the Board of Nevada Chemicals from December 2001 until September 2008. Since November 2002, Mr. Bagley has been a private investor managing accounts on his own behalf. From December 1991 to November 2002, Mr. Bagley served as a market maker for Wilson-Davis &amp; Company. Prior to that position, he served as a trader for Covey &amp; Co. and Bagley Securities. Mr. Bagley graduated from the University of Utah in 1987 with a Bachelor of Science degree in Economics. Mr. Bryan Bagley is the son of Edward D. Bagley, our former Chairman of the Board. Mr. Edward D. Bagley beneficially owns 23.3% of our issued and outstanding common stock. In light of Mr. Bagley’s prior experience as the chairman of a public company and the benefit that may accrue to our company from his leadership experience, the Board has concluded that Mr. Bagley should continue to serve as a director.</w:t>
      </w:r>
    </w:p>
    <w:p>
      <w:pPr>
        <w:spacing w:after="0" w:line="164" w:lineRule="exact"/>
        <w:rPr>
          <w:sz w:val="20"/>
          <w:szCs w:val="20"/>
          <w:color w:val="auto"/>
        </w:rPr>
      </w:pPr>
    </w:p>
    <w:p>
      <w:pPr>
        <w:ind w:right="1939" w:firstLine="648"/>
        <w:spacing w:after="0" w:line="277" w:lineRule="auto"/>
        <w:rPr>
          <w:sz w:val="20"/>
          <w:szCs w:val="20"/>
          <w:color w:val="auto"/>
        </w:rPr>
      </w:pPr>
      <w:r>
        <w:rPr>
          <w:rFonts w:ascii="Arial" w:cs="Arial" w:eastAsia="Arial" w:hAnsi="Arial"/>
          <w:sz w:val="19"/>
          <w:szCs w:val="19"/>
          <w:color w:val="auto"/>
        </w:rPr>
        <w:t>Security holders who would like to send communications to any director or the entire Board may do so by submitting such communications to ClearOne Communications, Inc., 5225 Wiley Post Way, Suite 500, Salt Lake City, Utah 84116, Attention: Investor Relations or investor_relations@clearone.com. The communications will then be forwarded to the appropriate director or the entire Board. The Board suggests, but does not require, that such submissions include the name and contact information of the security holder making the submission and a description of the matter that is the subject of the communication.</w:t>
      </w:r>
    </w:p>
    <w:p>
      <w:pPr>
        <w:spacing w:after="0" w:line="120" w:lineRule="exact"/>
        <w:rPr>
          <w:sz w:val="20"/>
          <w:szCs w:val="20"/>
          <w:color w:val="auto"/>
        </w:rPr>
      </w:pPr>
    </w:p>
    <w:p>
      <w:pPr>
        <w:ind w:left="2740"/>
        <w:spacing w:after="0"/>
        <w:rPr>
          <w:sz w:val="20"/>
          <w:szCs w:val="20"/>
          <w:color w:val="auto"/>
        </w:rPr>
      </w:pPr>
      <w:r>
        <w:rPr>
          <w:rFonts w:ascii="Arial" w:cs="Arial" w:eastAsia="Arial" w:hAnsi="Arial"/>
          <w:sz w:val="22"/>
          <w:szCs w:val="22"/>
          <w:b w:val="1"/>
          <w:bCs w:val="1"/>
          <w:color w:val="auto"/>
        </w:rPr>
        <w:t>CORPORATE GOVERNANCE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Relating to Corporate Governance and the Board of Directors</w:t>
      </w:r>
    </w:p>
    <w:p>
      <w:pPr>
        <w:spacing w:after="0" w:line="185" w:lineRule="exact"/>
        <w:rPr>
          <w:sz w:val="20"/>
          <w:szCs w:val="20"/>
          <w:color w:val="auto"/>
        </w:rPr>
      </w:pPr>
    </w:p>
    <w:p>
      <w:pPr>
        <w:ind w:right="2119" w:firstLine="648"/>
        <w:spacing w:after="0" w:line="287" w:lineRule="auto"/>
        <w:rPr>
          <w:sz w:val="20"/>
          <w:szCs w:val="20"/>
          <w:color w:val="auto"/>
        </w:rPr>
      </w:pPr>
      <w:r>
        <w:rPr>
          <w:rFonts w:ascii="Arial" w:cs="Arial" w:eastAsia="Arial" w:hAnsi="Arial"/>
          <w:sz w:val="19"/>
          <w:szCs w:val="19"/>
          <w:color w:val="auto"/>
        </w:rPr>
        <w:t>Our Board of Directors has determined, after considering all the relevant facts and circumstances, that Messrs. Baldwin, Hendricks, and Huntsman are independent directors, as “independence” is defined by the listing standards of NASDAQ, because they have no relationship with us that would interfere with their exercise of independent judgment.</w:t>
      </w:r>
    </w:p>
    <w:p>
      <w:pPr>
        <w:spacing w:after="0" w:line="116" w:lineRule="exact"/>
        <w:rPr>
          <w:sz w:val="20"/>
          <w:szCs w:val="20"/>
          <w:color w:val="auto"/>
        </w:rPr>
      </w:pPr>
    </w:p>
    <w:p>
      <w:pPr>
        <w:ind w:right="2219" w:firstLine="648"/>
        <w:spacing w:after="0" w:line="328" w:lineRule="auto"/>
        <w:rPr>
          <w:sz w:val="20"/>
          <w:szCs w:val="20"/>
          <w:color w:val="auto"/>
        </w:rPr>
      </w:pPr>
      <w:r>
        <w:rPr>
          <w:rFonts w:ascii="Arial" w:cs="Arial" w:eastAsia="Arial" w:hAnsi="Arial"/>
          <w:sz w:val="19"/>
          <w:szCs w:val="19"/>
          <w:color w:val="auto"/>
        </w:rPr>
        <w:t>Our Board of Directors has an Audit and Compliance Committee, a Compensation Committee, and a Nominating Committee, each consisting entirely of independent directors.</w:t>
      </w:r>
    </w:p>
    <w:p>
      <w:pPr>
        <w:spacing w:after="0" w:line="78" w:lineRule="exact"/>
        <w:rPr>
          <w:sz w:val="20"/>
          <w:szCs w:val="20"/>
          <w:color w:val="auto"/>
        </w:rPr>
      </w:pPr>
    </w:p>
    <w:p>
      <w:pPr>
        <w:ind w:right="1899" w:firstLine="648"/>
        <w:spacing w:after="0" w:line="275" w:lineRule="auto"/>
        <w:rPr>
          <w:sz w:val="20"/>
          <w:szCs w:val="20"/>
          <w:color w:val="auto"/>
        </w:rPr>
      </w:pPr>
      <w:r>
        <w:rPr>
          <w:rFonts w:ascii="Arial" w:cs="Arial" w:eastAsia="Arial" w:hAnsi="Arial"/>
          <w:sz w:val="19"/>
          <w:szCs w:val="19"/>
          <w:color w:val="auto"/>
        </w:rPr>
        <w:t xml:space="preserve">Our Board of Directors has adopted charters for the Audit and Compliance, Compensation and Nominating Committees describing the authority and responsibilities delegated to each committee by the Board. We post on our website at </w:t>
      </w:r>
      <w:r>
        <w:rPr>
          <w:rFonts w:ascii="Arial" w:cs="Arial" w:eastAsia="Arial" w:hAnsi="Arial"/>
          <w:sz w:val="19"/>
          <w:szCs w:val="19"/>
          <w:u w:val="single" w:color="auto"/>
          <w:color w:val="auto"/>
        </w:rPr>
        <w:t>www.clearone.com</w:t>
      </w:r>
      <w:r>
        <w:rPr>
          <w:rFonts w:ascii="Arial" w:cs="Arial" w:eastAsia="Arial" w:hAnsi="Arial"/>
          <w:sz w:val="19"/>
          <w:szCs w:val="19"/>
          <w:color w:val="auto"/>
        </w:rPr>
        <w:t xml:space="preserve"> the charters of our Audit and Compliance, Compensation and Nominating Committees, our Code of Ethics, and any amendments or waivers thereto and any other corporate governance materials contemplated by SEC or NASDAQ regulations. These documents are also available in print to any stockholder requesting a copy in writing from our Corporate Secretary at our corporate offices set forth in this proxy statement.</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Board Leadership Structure</w:t>
      </w:r>
    </w:p>
    <w:p>
      <w:pPr>
        <w:spacing w:after="0" w:line="185" w:lineRule="exact"/>
        <w:rPr>
          <w:sz w:val="20"/>
          <w:szCs w:val="20"/>
          <w:color w:val="auto"/>
        </w:rPr>
      </w:pPr>
    </w:p>
    <w:p>
      <w:pPr>
        <w:ind w:right="1839" w:firstLine="1297"/>
        <w:spacing w:after="0" w:line="235" w:lineRule="auto"/>
        <w:rPr>
          <w:sz w:val="20"/>
          <w:szCs w:val="20"/>
          <w:color w:val="auto"/>
        </w:rPr>
      </w:pPr>
      <w:r>
        <w:rPr>
          <w:rFonts w:ascii="Arial" w:cs="Arial" w:eastAsia="Arial" w:hAnsi="Arial"/>
          <w:sz w:val="22"/>
          <w:szCs w:val="22"/>
          <w:color w:val="auto"/>
        </w:rPr>
        <w:t>The Board has no formal policy on whether the role of the Chairman of the Board and Chief Executive Officer should be held by separate persons. We believe it is important to maintain flexibility to have either combined offices or a separate Chairman and Chief Executive Officer structure as circumstances dictate and to make that determination based on the strategic and operational position and direction of the company and the character of the membership of the Board.</w:t>
      </w:r>
    </w:p>
    <w:p>
      <w:pPr>
        <w:sectPr>
          <w:pgSz w:w="11900" w:h="16838" w:orient="portrait"/>
          <w:cols w:equalWidth="0" w:num="1">
            <w:col w:w="10219"/>
          </w:cols>
          <w:pgMar w:left="240" w:top="355" w:right="1440" w:bottom="570" w:gutter="0" w:footer="0" w:header="0"/>
        </w:sectPr>
      </w:pPr>
    </w:p>
    <w:bookmarkStart w:id="8" w:name="page9"/>
    <w:bookmarkEnd w:id="8"/>
    <w:p>
      <w:pPr>
        <w:ind w:left="2960"/>
        <w:spacing w:after="0"/>
        <w:rPr>
          <w:sz w:val="20"/>
          <w:szCs w:val="20"/>
          <w:color w:val="auto"/>
        </w:rPr>
      </w:pPr>
      <w:r>
        <w:rPr>
          <w:rFonts w:ascii="Arial" w:cs="Arial" w:eastAsia="Arial" w:hAnsi="Arial"/>
          <w:sz w:val="14"/>
          <w:szCs w:val="14"/>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258445</wp:posOffset>
            </wp:positionV>
            <wp:extent cx="5351145" cy="85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 w:name="page10"/>
    <w:bookmarkEnd w:id="9"/>
    <w:p>
      <w:pPr>
        <w:ind w:right="1819" w:firstLine="648"/>
        <w:spacing w:after="0" w:line="245" w:lineRule="auto"/>
        <w:rPr>
          <w:sz w:val="20"/>
          <w:szCs w:val="20"/>
          <w:color w:val="auto"/>
        </w:rPr>
      </w:pPr>
      <w:r>
        <w:rPr>
          <w:rFonts w:ascii="Arial" w:cs="Arial" w:eastAsia="Arial" w:hAnsi="Arial"/>
          <w:sz w:val="21"/>
          <w:szCs w:val="21"/>
          <w:color w:val="auto"/>
        </w:rPr>
        <w:t>The Board believes our current management structure, with Zeynep Hakimoglu serving as Chairman and Chief Executive Officer, is the optimal structure for us at this time. Ms. Hakimoglu possesses detailed and in-depth knowledge of the operational issues, opportunities and challenges facing the Company and its business, and also has a keen understanding of and ability to grasp our strategic position and opportunities. Given Ms. Hakimoglu’s particular skills and knowledge, as well as our size and stage of development, we believe Ms. Hakimoglu is best positioned to identify strategic priorities, develop agendas that the Board’s time and attention should be focused on as the most critical matters, and to lead the discussion and execution of strategy.</w:t>
      </w:r>
    </w:p>
    <w:p>
      <w:pPr>
        <w:spacing w:after="0" w:line="158" w:lineRule="exact"/>
        <w:rPr>
          <w:sz w:val="20"/>
          <w:szCs w:val="20"/>
          <w:color w:val="auto"/>
        </w:rPr>
      </w:pPr>
    </w:p>
    <w:p>
      <w:pPr>
        <w:ind w:right="1859" w:firstLine="648"/>
        <w:spacing w:after="0" w:line="272" w:lineRule="auto"/>
        <w:rPr>
          <w:sz w:val="20"/>
          <w:szCs w:val="20"/>
          <w:color w:val="auto"/>
        </w:rPr>
      </w:pPr>
      <w:r>
        <w:rPr>
          <w:rFonts w:ascii="Arial" w:cs="Arial" w:eastAsia="Arial" w:hAnsi="Arial"/>
          <w:sz w:val="19"/>
          <w:szCs w:val="19"/>
          <w:color w:val="auto"/>
        </w:rPr>
        <w:t>The Chief Executive Officer and the independent directors have different perspectives and roles in strategy development. The Chief Executive Officer brings Company-specific experience and expertise, while the Company’s independent directors bring experience, oversight, and expertise from outside the Company and its industry. The Board believes its independent directors provide effective oversight of management, and that the combined role of Chief Executive Officer and Chairman promotes the development and execution of strategy and facilitates the flow of information between management and the Board, which is essential to effective corporate governance. Given the Board’s confidence in the effectiveness of the current balance of positions and personalities, we have not appointed a lead independent director. The Board believes the combined role of Chief Executive Officer and Chairman, together with a Board whose majority of directors are independent, provides the appropriate balance between independent oversight of management and the development of strategy.</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Board Role in Risk Oversight</w:t>
      </w:r>
    </w:p>
    <w:p>
      <w:pPr>
        <w:spacing w:after="0" w:line="91" w:lineRule="exact"/>
        <w:rPr>
          <w:sz w:val="20"/>
          <w:szCs w:val="20"/>
          <w:color w:val="auto"/>
        </w:rPr>
      </w:pPr>
    </w:p>
    <w:p>
      <w:pPr>
        <w:ind w:right="1839" w:firstLine="648"/>
        <w:spacing w:after="0" w:line="272" w:lineRule="auto"/>
        <w:rPr>
          <w:sz w:val="20"/>
          <w:szCs w:val="20"/>
          <w:color w:val="auto"/>
        </w:rPr>
      </w:pPr>
      <w:r>
        <w:rPr>
          <w:rFonts w:ascii="Arial" w:cs="Arial" w:eastAsia="Arial" w:hAnsi="Arial"/>
          <w:sz w:val="19"/>
          <w:szCs w:val="19"/>
          <w:color w:val="auto"/>
        </w:rPr>
        <w:t>The Board of Directors is responsible for overseeing the management of the business and affairs of the Company, but delegates day-to-day management of the Company to the Chief Executive Officer and our executive management team. The Board of Directors is generally responsible for risk oversight, and the Audit and Compliance Committee assists the Board in fulfilling its responsibilities for general oversight of risk assessment and risk management. In addition, the other Board committees are also tasked with specific risk oversight functions pursuant to the terms of the committee charters or applicable NASDAQ rules. The Board as a whole and the various standing committees, in performing their respective risk oversight functions, have access to our company’s management team and external advisors, as necessary, and receive periodic presentations and reports from management, and incidental reports as matters arise, with respect to strategic, operational, financial, legal or other risks and the plans management has to control such risks.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Committees of the Board of Directors</w:t>
      </w:r>
    </w:p>
    <w:p>
      <w:pPr>
        <w:spacing w:after="0" w:line="85" w:lineRule="exact"/>
        <w:rPr>
          <w:sz w:val="20"/>
          <w:szCs w:val="20"/>
          <w:color w:val="auto"/>
        </w:rPr>
      </w:pPr>
    </w:p>
    <w:p>
      <w:pPr>
        <w:ind w:right="1819" w:firstLine="648"/>
        <w:spacing w:after="0" w:line="273" w:lineRule="auto"/>
        <w:rPr>
          <w:sz w:val="20"/>
          <w:szCs w:val="20"/>
          <w:color w:val="auto"/>
        </w:rPr>
      </w:pPr>
      <w:r>
        <w:rPr>
          <w:rFonts w:ascii="Arial" w:cs="Arial" w:eastAsia="Arial" w:hAnsi="Arial"/>
          <w:sz w:val="19"/>
          <w:szCs w:val="19"/>
          <w:b w:val="1"/>
          <w:bCs w:val="1"/>
          <w:color w:val="auto"/>
        </w:rPr>
        <w:t xml:space="preserve">Audit and Compliance Committee. </w:t>
      </w:r>
      <w:r>
        <w:rPr>
          <w:rFonts w:ascii="Arial" w:cs="Arial" w:eastAsia="Arial" w:hAnsi="Arial"/>
          <w:sz w:val="19"/>
          <w:szCs w:val="19"/>
          <w:color w:val="auto"/>
        </w:rPr>
        <w:t>The Audit and Compliance Committee meets to</w:t>
      </w:r>
      <w:r>
        <w:rPr>
          <w:rFonts w:ascii="Arial" w:cs="Arial" w:eastAsia="Arial" w:hAnsi="Arial"/>
          <w:sz w:val="19"/>
          <w:szCs w:val="19"/>
          <w:b w:val="1"/>
          <w:bCs w:val="1"/>
          <w:color w:val="auto"/>
        </w:rPr>
        <w:t xml:space="preserve"> </w:t>
      </w:r>
      <w:r>
        <w:rPr>
          <w:rFonts w:ascii="Arial" w:cs="Arial" w:eastAsia="Arial" w:hAnsi="Arial"/>
          <w:sz w:val="19"/>
          <w:szCs w:val="19"/>
          <w:color w:val="auto"/>
        </w:rPr>
        <w:t>review and discuss our accounting practices and procedures with management and independent public accountants and to review our quarterly and annual financial statements. The Audit and Compliance Committee assists the Board of Directors in fulfilling its responsibility for oversight of the quality and integrity of our accounting, auditing, and reporting practices. The Audit and Compliance Committee’s primary duties include reviewing the scope and adequacy of our internal accounting and financial controls; reviewing the independence of our independent registered public accounting firm; approving the scope of our independent registered public accounting firm’s audit activities; approving the fees of our independent registered public accounting firm; approving any non-audit related services; reviewing the audit results; reviewing the objectivity and effectiveness of our internal audit function; and reviewing our financial reporting activities and the application of accounting standards and principles.</w:t>
      </w:r>
    </w:p>
    <w:p>
      <w:pPr>
        <w:spacing w:after="0" w:line="35" w:lineRule="exact"/>
        <w:rPr>
          <w:sz w:val="20"/>
          <w:szCs w:val="20"/>
          <w:color w:val="auto"/>
        </w:rPr>
      </w:pPr>
    </w:p>
    <w:p>
      <w:pPr>
        <w:ind w:right="1839" w:firstLine="648"/>
        <w:spacing w:after="0" w:line="234" w:lineRule="auto"/>
        <w:rPr>
          <w:sz w:val="20"/>
          <w:szCs w:val="20"/>
          <w:color w:val="auto"/>
        </w:rPr>
      </w:pPr>
      <w:r>
        <w:rPr>
          <w:rFonts w:ascii="Arial" w:cs="Arial" w:eastAsia="Arial" w:hAnsi="Arial"/>
          <w:sz w:val="22"/>
          <w:szCs w:val="22"/>
          <w:color w:val="auto"/>
        </w:rPr>
        <w:t>The members of the Audit and Compliance Committee are Scott M. Huntsman (Chairman), Brad R. Baldwin, and Larry R. Hendricks. Each member of the audit committee, in addition to being independent under the standards of NASDAQ, is independent under the standards of the Securities and Exchange Commission’s rules and regulations pertaining to listed company audit committees. The Board of Directors has determined that Scott M. Huntsman is an “audit committee financial expert” in accordance with applicable rules and regulations of the SEC.</w:t>
      </w:r>
    </w:p>
    <w:p>
      <w:pPr>
        <w:spacing w:after="0" w:line="64" w:lineRule="exact"/>
        <w:rPr>
          <w:sz w:val="20"/>
          <w:szCs w:val="20"/>
          <w:color w:val="auto"/>
        </w:rPr>
      </w:pPr>
    </w:p>
    <w:p>
      <w:pPr>
        <w:ind w:right="2199" w:firstLine="648"/>
        <w:spacing w:after="0" w:line="247" w:lineRule="auto"/>
        <w:rPr>
          <w:sz w:val="20"/>
          <w:szCs w:val="20"/>
          <w:color w:val="auto"/>
        </w:rPr>
      </w:pPr>
      <w:r>
        <w:rPr>
          <w:rFonts w:ascii="Arial" w:cs="Arial" w:eastAsia="Arial" w:hAnsi="Arial"/>
          <w:sz w:val="21"/>
          <w:szCs w:val="21"/>
          <w:b w:val="1"/>
          <w:bCs w:val="1"/>
          <w:color w:val="auto"/>
        </w:rPr>
        <w:t xml:space="preserve">Compensation Committee. </w:t>
      </w:r>
      <w:r>
        <w:rPr>
          <w:rFonts w:ascii="Arial" w:cs="Arial" w:eastAsia="Arial" w:hAnsi="Arial"/>
          <w:sz w:val="21"/>
          <w:szCs w:val="21"/>
          <w:color w:val="auto"/>
        </w:rPr>
        <w:t>The Compensation Committee is responsible for</w:t>
      </w:r>
      <w:r>
        <w:rPr>
          <w:rFonts w:ascii="Arial" w:cs="Arial" w:eastAsia="Arial" w:hAnsi="Arial"/>
          <w:sz w:val="21"/>
          <w:szCs w:val="21"/>
          <w:b w:val="1"/>
          <w:bCs w:val="1"/>
          <w:color w:val="auto"/>
        </w:rPr>
        <w:t xml:space="preserve"> </w:t>
      </w:r>
      <w:r>
        <w:rPr>
          <w:rFonts w:ascii="Arial" w:cs="Arial" w:eastAsia="Arial" w:hAnsi="Arial"/>
          <w:sz w:val="21"/>
          <w:szCs w:val="21"/>
          <w:color w:val="auto"/>
        </w:rPr>
        <w:t>overseeing, reviewing, and approving our executive compensation and benefit programs and administers the Company’s equity incentive plans for employees. Under its charter, the Compensation Committee may delegate authority to subcommittees of the Compensation Committee or to executive officers of the Company, particularly the President and CEO with respect to compensation determinations for persons who are not executive officers of the Company. The members of the Compensation Committee are Brad R. Baldwin (Chairman), Larry R. Hendricks and Scott M. Huntsman.</w:t>
      </w:r>
    </w:p>
    <w:p>
      <w:pPr>
        <w:sectPr>
          <w:pgSz w:w="11900" w:h="16838" w:orient="portrait"/>
          <w:cols w:equalWidth="0" w:num="1">
            <w:col w:w="10219"/>
          </w:cols>
          <w:pgMar w:left="240" w:top="361" w:right="1440" w:bottom="0" w:gutter="0" w:footer="0" w:header="0"/>
        </w:sectPr>
      </w:pPr>
    </w:p>
    <w:bookmarkStart w:id="10" w:name="page11"/>
    <w:bookmarkEnd w:id="10"/>
    <w:p>
      <w:pPr>
        <w:ind w:left="2960"/>
        <w:spacing w:after="0"/>
        <w:rPr>
          <w:sz w:val="20"/>
          <w:szCs w:val="20"/>
          <w:color w:val="auto"/>
        </w:rPr>
      </w:pPr>
      <w:r>
        <w:rPr>
          <w:rFonts w:ascii="Arial" w:cs="Arial" w:eastAsia="Arial" w:hAnsi="Arial"/>
          <w:sz w:val="14"/>
          <w:szCs w:val="14"/>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103505</wp:posOffset>
            </wp:positionV>
            <wp:extent cx="5351145" cy="85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9019"/>
          </w:cols>
          <w:pgMar w:left="1440" w:top="1098" w:right="1440" w:bottom="1440" w:gutter="0" w:footer="0" w:header="0"/>
        </w:sectPr>
      </w:pPr>
    </w:p>
    <w:bookmarkStart w:id="11" w:name="page12"/>
    <w:bookmarkEnd w:id="11"/>
    <w:p>
      <w:pPr>
        <w:spacing w:after="0" w:line="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compensation objectives for executive officers are as follows:</w:t>
      </w:r>
    </w:p>
    <w:p>
      <w:pPr>
        <w:spacing w:after="0" w:line="8" w:lineRule="exact"/>
        <w:rPr>
          <w:sz w:val="20"/>
          <w:szCs w:val="20"/>
          <w:color w:val="auto"/>
        </w:rPr>
      </w:pPr>
    </w:p>
    <w:p>
      <w:pPr>
        <w:ind w:left="1300" w:right="2199" w:hanging="320"/>
        <w:spacing w:after="0" w:line="230" w:lineRule="auto"/>
        <w:tabs>
          <w:tab w:leader="none" w:pos="1273" w:val="left"/>
        </w:tabs>
        <w:numPr>
          <w:ilvl w:val="0"/>
          <w:numId w:val="6"/>
        </w:numPr>
        <w:rPr>
          <w:rFonts w:ascii="Arial" w:cs="Arial" w:eastAsia="Arial" w:hAnsi="Arial"/>
          <w:sz w:val="20"/>
          <w:szCs w:val="20"/>
          <w:color w:val="auto"/>
        </w:rPr>
      </w:pPr>
      <w:r>
        <w:rPr>
          <w:rFonts w:ascii="Arial" w:cs="Arial" w:eastAsia="Arial" w:hAnsi="Arial"/>
          <w:sz w:val="22"/>
          <w:szCs w:val="22"/>
          <w:color w:val="auto"/>
        </w:rPr>
        <w:t>to attract and retain highly qualified individuals capable of making significant contributions to the long-term success of our company;</w:t>
      </w:r>
    </w:p>
    <w:p>
      <w:pPr>
        <w:spacing w:after="0" w:line="1" w:lineRule="exact"/>
        <w:rPr>
          <w:rFonts w:ascii="Arial" w:cs="Arial" w:eastAsia="Arial" w:hAnsi="Arial"/>
          <w:sz w:val="20"/>
          <w:szCs w:val="20"/>
          <w:color w:val="auto"/>
        </w:rPr>
      </w:pPr>
    </w:p>
    <w:p>
      <w:pPr>
        <w:ind w:left="1280" w:hanging="300"/>
        <w:spacing w:after="0"/>
        <w:tabs>
          <w:tab w:leader="none" w:pos="1280" w:val="left"/>
        </w:tabs>
        <w:numPr>
          <w:ilvl w:val="0"/>
          <w:numId w:val="6"/>
        </w:numPr>
        <w:rPr>
          <w:rFonts w:ascii="Arial" w:cs="Arial" w:eastAsia="Arial" w:hAnsi="Arial"/>
          <w:sz w:val="19"/>
          <w:szCs w:val="19"/>
          <w:color w:val="auto"/>
        </w:rPr>
      </w:pPr>
      <w:r>
        <w:rPr>
          <w:rFonts w:ascii="Arial" w:cs="Arial" w:eastAsia="Arial" w:hAnsi="Arial"/>
          <w:sz w:val="21"/>
          <w:szCs w:val="21"/>
          <w:color w:val="auto"/>
        </w:rPr>
        <w:t>to use incentive compensation to reinforce strategic performance objectives;</w:t>
      </w:r>
    </w:p>
    <w:p>
      <w:pPr>
        <w:spacing w:after="0" w:line="1" w:lineRule="exact"/>
        <w:rPr>
          <w:rFonts w:ascii="Arial" w:cs="Arial" w:eastAsia="Arial" w:hAnsi="Arial"/>
          <w:sz w:val="19"/>
          <w:szCs w:val="19"/>
          <w:color w:val="auto"/>
        </w:rPr>
      </w:pPr>
    </w:p>
    <w:p>
      <w:pPr>
        <w:ind w:left="1300" w:right="2039" w:hanging="320"/>
        <w:spacing w:after="0" w:line="267" w:lineRule="auto"/>
        <w:tabs>
          <w:tab w:leader="none" w:pos="1273" w:val="left"/>
        </w:tabs>
        <w:numPr>
          <w:ilvl w:val="0"/>
          <w:numId w:val="6"/>
        </w:numPr>
        <w:rPr>
          <w:rFonts w:ascii="Arial" w:cs="Arial" w:eastAsia="Arial" w:hAnsi="Arial"/>
          <w:sz w:val="18"/>
          <w:szCs w:val="18"/>
          <w:color w:val="auto"/>
        </w:rPr>
      </w:pPr>
      <w:r>
        <w:rPr>
          <w:rFonts w:ascii="Arial" w:cs="Arial" w:eastAsia="Arial" w:hAnsi="Arial"/>
          <w:sz w:val="19"/>
          <w:szCs w:val="19"/>
          <w:color w:val="auto"/>
        </w:rPr>
        <w:t>to align the interest of our executives with the interests of our shareholders such that risks and rewards of strategic decisions are shared; and</w:t>
      </w:r>
    </w:p>
    <w:p>
      <w:pPr>
        <w:ind w:left="1300" w:right="2139" w:hanging="320"/>
        <w:spacing w:after="0" w:line="237" w:lineRule="auto"/>
        <w:tabs>
          <w:tab w:leader="none" w:pos="1273" w:val="left"/>
        </w:tabs>
        <w:numPr>
          <w:ilvl w:val="0"/>
          <w:numId w:val="6"/>
        </w:numPr>
        <w:rPr>
          <w:rFonts w:ascii="Arial" w:cs="Arial" w:eastAsia="Arial" w:hAnsi="Arial"/>
          <w:sz w:val="20"/>
          <w:szCs w:val="20"/>
          <w:color w:val="auto"/>
        </w:rPr>
      </w:pPr>
      <w:r>
        <w:rPr>
          <w:rFonts w:ascii="Arial" w:cs="Arial" w:eastAsia="Arial" w:hAnsi="Arial"/>
          <w:sz w:val="22"/>
          <w:szCs w:val="22"/>
          <w:color w:val="auto"/>
        </w:rPr>
        <w:t>to reflect the value of each officer’s position in the marketplace and within our company.</w:t>
      </w:r>
    </w:p>
    <w:p>
      <w:pPr>
        <w:spacing w:after="0" w:line="63" w:lineRule="exact"/>
        <w:rPr>
          <w:sz w:val="20"/>
          <w:szCs w:val="20"/>
          <w:color w:val="auto"/>
        </w:rPr>
      </w:pPr>
    </w:p>
    <w:p>
      <w:pPr>
        <w:ind w:right="1779" w:firstLine="648"/>
        <w:spacing w:after="0" w:line="270" w:lineRule="auto"/>
        <w:rPr>
          <w:sz w:val="20"/>
          <w:szCs w:val="20"/>
          <w:color w:val="auto"/>
        </w:rPr>
      </w:pPr>
      <w:r>
        <w:rPr>
          <w:rFonts w:ascii="Arial" w:cs="Arial" w:eastAsia="Arial" w:hAnsi="Arial"/>
          <w:sz w:val="19"/>
          <w:szCs w:val="19"/>
          <w:i w:val="1"/>
          <w:iCs w:val="1"/>
          <w:color w:val="auto"/>
        </w:rPr>
        <w:t>Policies and Practices Related to ClearOne’s Compensation Program</w:t>
      </w:r>
      <w:r>
        <w:rPr>
          <w:rFonts w:ascii="Arial" w:cs="Arial" w:eastAsia="Arial" w:hAnsi="Arial"/>
          <w:sz w:val="19"/>
          <w:szCs w:val="19"/>
          <w:color w:val="auto"/>
        </w:rPr>
        <w:t>. We strive to</w:t>
      </w:r>
      <w:r>
        <w:rPr>
          <w:rFonts w:ascii="Arial" w:cs="Arial" w:eastAsia="Arial" w:hAnsi="Arial"/>
          <w:sz w:val="19"/>
          <w:szCs w:val="19"/>
          <w:i w:val="1"/>
          <w:iCs w:val="1"/>
          <w:color w:val="auto"/>
        </w:rPr>
        <w:t xml:space="preserve"> </w:t>
      </w:r>
      <w:r>
        <w:rPr>
          <w:rFonts w:ascii="Arial" w:cs="Arial" w:eastAsia="Arial" w:hAnsi="Arial"/>
          <w:sz w:val="19"/>
          <w:szCs w:val="19"/>
          <w:color w:val="auto"/>
        </w:rPr>
        <w:t>create an overall compensation package for each executive officer that satisfies the aforementioned objectives, recognizing that certain elements of compensation are better suited to reflect different compensation objectives. For example, as base salaries are the only element of compensation that are fixed in amount in advance of the year in which the compensation will be earned, the Compensation Committee believes that it is most appropriate to determine base salaries with a focus on the market practices for similarly situated officers at comparable companies as adjusted to reflect the individual officer’s performance during the preceding year. In contrast, cash bonuses and long-term incentives are better able to reflect our company’s performance as measured by financial metrics and are well-suited to motivate officers to achieve specific performance goals that the Compensation Committee has determined are in the best interests of our company. Equity grants are also well-suited to drive long-term performance and align management’s interests with those of shareholders. The Compensation Committee believes that as an officer’s responsibility increases, so does his or her ability to influence the performance of our company and accordingly, the proportion of his or her compensation that consists of his or her salary and cash bonus should decrease while the proportion of equity incentives to total compensation should increase.</w:t>
      </w:r>
    </w:p>
    <w:p>
      <w:pPr>
        <w:spacing w:after="0" w:line="294" w:lineRule="exact"/>
        <w:rPr>
          <w:sz w:val="20"/>
          <w:szCs w:val="20"/>
          <w:color w:val="auto"/>
        </w:rPr>
      </w:pPr>
    </w:p>
    <w:p>
      <w:pPr>
        <w:ind w:right="1779" w:firstLine="648"/>
        <w:spacing w:after="0" w:line="245" w:lineRule="auto"/>
        <w:rPr>
          <w:sz w:val="20"/>
          <w:szCs w:val="20"/>
          <w:color w:val="auto"/>
        </w:rPr>
      </w:pPr>
      <w:r>
        <w:rPr>
          <w:rFonts w:ascii="Arial" w:cs="Arial" w:eastAsia="Arial" w:hAnsi="Arial"/>
          <w:sz w:val="21"/>
          <w:szCs w:val="21"/>
          <w:i w:val="1"/>
          <w:iCs w:val="1"/>
          <w:color w:val="auto"/>
        </w:rPr>
        <w:t>Comparable Companies</w:t>
      </w:r>
      <w:r>
        <w:rPr>
          <w:rFonts w:ascii="Arial" w:cs="Arial" w:eastAsia="Arial" w:hAnsi="Arial"/>
          <w:sz w:val="21"/>
          <w:szCs w:val="21"/>
          <w:color w:val="auto"/>
        </w:rPr>
        <w:t>. In making compensation decisions, including assessing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competitiveness of the total compensation structure for each named executive officer, the Compensation Committee considers compensation survey data from companies that the Compensation Committee has selected as comparable companies, namely comparable in terms of size and location. The Compensation Committee periodically reviews the companies that are included as comparable companies and makes revisions to the group as appropriate. During February 2010, the company obtained comparable compensation data from Equilar. The Compensation Committee reviewed the compensation data to ensure the company’s compensation of executives is reasonable.</w:t>
      </w:r>
    </w:p>
    <w:p>
      <w:pPr>
        <w:spacing w:after="0" w:line="158" w:lineRule="exact"/>
        <w:rPr>
          <w:sz w:val="20"/>
          <w:szCs w:val="20"/>
          <w:color w:val="auto"/>
        </w:rPr>
      </w:pPr>
    </w:p>
    <w:p>
      <w:pPr>
        <w:ind w:right="1919" w:firstLine="648"/>
        <w:spacing w:after="0" w:line="279" w:lineRule="auto"/>
        <w:rPr>
          <w:sz w:val="20"/>
          <w:szCs w:val="20"/>
          <w:color w:val="auto"/>
        </w:rPr>
      </w:pPr>
      <w:r>
        <w:rPr>
          <w:rFonts w:ascii="Arial" w:cs="Arial" w:eastAsia="Arial" w:hAnsi="Arial"/>
          <w:sz w:val="19"/>
          <w:szCs w:val="19"/>
          <w:i w:val="1"/>
          <w:iCs w:val="1"/>
          <w:color w:val="auto"/>
        </w:rPr>
        <w:t>Equity Grant Practices</w:t>
      </w:r>
      <w:r>
        <w:rPr>
          <w:rFonts w:ascii="Arial" w:cs="Arial" w:eastAsia="Arial" w:hAnsi="Arial"/>
          <w:sz w:val="19"/>
          <w:szCs w:val="19"/>
          <w:color w:val="auto"/>
        </w:rPr>
        <w:t>. The Compensation Committee recognizes the importance of</w:t>
      </w:r>
      <w:r>
        <w:rPr>
          <w:rFonts w:ascii="Arial" w:cs="Arial" w:eastAsia="Arial" w:hAnsi="Arial"/>
          <w:sz w:val="19"/>
          <w:szCs w:val="19"/>
          <w:i w:val="1"/>
          <w:iCs w:val="1"/>
          <w:color w:val="auto"/>
        </w:rPr>
        <w:t xml:space="preserve"> </w:t>
      </w:r>
      <w:r>
        <w:rPr>
          <w:rFonts w:ascii="Arial" w:cs="Arial" w:eastAsia="Arial" w:hAnsi="Arial"/>
          <w:sz w:val="19"/>
          <w:szCs w:val="19"/>
          <w:color w:val="auto"/>
        </w:rPr>
        <w:t>equity ownership in the alignment of shareholder and management interests. The exercise price of each stock option awarded to our executive officers under our incentive compensation programs is equal to the closing price of our common stock on the date of grant, which is the date when the Compensation Committee acts to approve equity awards for senior executives. Performance-based equity awards are also granted to our named executive officers at this time.</w:t>
      </w:r>
    </w:p>
    <w:p>
      <w:pPr>
        <w:spacing w:after="0" w:line="124" w:lineRule="exact"/>
        <w:rPr>
          <w:sz w:val="20"/>
          <w:szCs w:val="20"/>
          <w:color w:val="auto"/>
        </w:rPr>
      </w:pPr>
    </w:p>
    <w:p>
      <w:pPr>
        <w:ind w:right="1799" w:firstLine="648"/>
        <w:spacing w:after="0" w:line="272" w:lineRule="auto"/>
        <w:rPr>
          <w:sz w:val="20"/>
          <w:szCs w:val="20"/>
          <w:color w:val="auto"/>
        </w:rPr>
      </w:pPr>
      <w:r>
        <w:rPr>
          <w:rFonts w:ascii="Arial" w:cs="Arial" w:eastAsia="Arial" w:hAnsi="Arial"/>
          <w:sz w:val="19"/>
          <w:szCs w:val="19"/>
          <w:color w:val="auto"/>
        </w:rPr>
        <w:t>The Compensation Committee establishes the criteria, and directs the implementation, of all compensation program elements for the executive officers. Generally, the base salary for each named executive officer is set at the beginning of each fiscal year by our Board of Directors after review of the recommendation of the Compensation Committee. The Compensation Committee considers the Chief Executive Officer’s appraisal of other executive officers’ general performance and looks especially to performance against predetermined goals before making its recommendation to the Board of Directors. In the past, the Compensation Committee has authorized the Chief Executive Officer to recruit executive officers and offer initial base salaries. The Chief Executive Officer recommends for the Compensation Committee’s approval the stock option grants and compensation related to achievement of non-quantitative goals under non-equity based incentive plans for other executive officers. The Compensation Committee did not employ any compensation consultants during the year ended December 31, 2011.</w:t>
      </w:r>
    </w:p>
    <w:p>
      <w:pPr>
        <w:spacing w:after="0" w:line="129" w:lineRule="exact"/>
        <w:rPr>
          <w:sz w:val="20"/>
          <w:szCs w:val="20"/>
          <w:color w:val="auto"/>
        </w:rPr>
      </w:pPr>
    </w:p>
    <w:p>
      <w:pPr>
        <w:ind w:right="1899" w:firstLine="648"/>
        <w:spacing w:after="0" w:line="237" w:lineRule="auto"/>
        <w:rPr>
          <w:sz w:val="20"/>
          <w:szCs w:val="20"/>
          <w:color w:val="auto"/>
        </w:rPr>
      </w:pPr>
      <w:r>
        <w:rPr>
          <w:rFonts w:ascii="Arial" w:cs="Arial" w:eastAsia="Arial" w:hAnsi="Arial"/>
          <w:sz w:val="22"/>
          <w:szCs w:val="22"/>
          <w:b w:val="1"/>
          <w:bCs w:val="1"/>
          <w:color w:val="auto"/>
        </w:rPr>
        <w:t xml:space="preserve">Nominating Committee. </w:t>
      </w:r>
      <w:r>
        <w:rPr>
          <w:rFonts w:ascii="Arial" w:cs="Arial" w:eastAsia="Arial" w:hAnsi="Arial"/>
          <w:sz w:val="22"/>
          <w:szCs w:val="22"/>
          <w:color w:val="auto"/>
        </w:rPr>
        <w:t>The Nominating Committee is responsible for overseeing the</w:t>
      </w:r>
      <w:r>
        <w:rPr>
          <w:rFonts w:ascii="Arial" w:cs="Arial" w:eastAsia="Arial" w:hAnsi="Arial"/>
          <w:sz w:val="22"/>
          <w:szCs w:val="22"/>
          <w:b w:val="1"/>
          <w:bCs w:val="1"/>
          <w:color w:val="auto"/>
        </w:rPr>
        <w:t xml:space="preserve"> </w:t>
      </w:r>
      <w:r>
        <w:rPr>
          <w:rFonts w:ascii="Arial" w:cs="Arial" w:eastAsia="Arial" w:hAnsi="Arial"/>
          <w:sz w:val="22"/>
          <w:szCs w:val="22"/>
          <w:color w:val="auto"/>
        </w:rPr>
        <w:t>nomination of our directors. The Nominating Committee selects, evaluates, and recommends to the full Board of Directors qualified candidates for election to the Board of Directors. The members of the Nominating Committee are Larry R. Hendricks (Chairman), Brad R. Baldwin, and Scott M. Huntsman.</w:t>
      </w:r>
    </w:p>
    <w:p>
      <w:pPr>
        <w:spacing w:after="0" w:line="162" w:lineRule="exact"/>
        <w:rPr>
          <w:sz w:val="20"/>
          <w:szCs w:val="20"/>
          <w:color w:val="auto"/>
        </w:rPr>
      </w:pPr>
    </w:p>
    <w:p>
      <w:pPr>
        <w:ind w:right="1799" w:firstLine="648"/>
        <w:spacing w:after="0" w:line="279" w:lineRule="auto"/>
        <w:rPr>
          <w:sz w:val="20"/>
          <w:szCs w:val="20"/>
          <w:color w:val="auto"/>
        </w:rPr>
      </w:pPr>
      <w:r>
        <w:rPr>
          <w:rFonts w:ascii="Arial" w:cs="Arial" w:eastAsia="Arial" w:hAnsi="Arial"/>
          <w:sz w:val="19"/>
          <w:szCs w:val="19"/>
          <w:color w:val="auto"/>
        </w:rPr>
        <w:t>The Board of Directors will consider recommendations by shareholders for director nominees if the names of those nominees and relevant biographical information are submitted in writing to our company’s Secretary in the manner described for shareholder nominations below under the heading “Shareholder Proposals.” The Nominating Committee identifies and evaluates nominees for our Board of Directors, including nominees recommended by shareholders, based on numerous factors it considers appropriate, some of which may include strength of character,</w:t>
      </w:r>
    </w:p>
    <w:p>
      <w:pPr>
        <w:sectPr>
          <w:pgSz w:w="11900" w:h="16887" w:orient="portrait"/>
          <w:cols w:equalWidth="0" w:num="1">
            <w:col w:w="10219"/>
          </w:cols>
          <w:pgMar w:left="240" w:top="361" w:right="1440" w:bottom="0" w:gutter="0" w:footer="0" w:header="0"/>
        </w:sectPr>
      </w:pPr>
    </w:p>
    <w:bookmarkStart w:id="12" w:name="page13"/>
    <w:bookmarkEnd w:id="12"/>
    <w:p>
      <w:pPr>
        <w:ind w:left="2960"/>
        <w:spacing w:after="0"/>
        <w:rPr>
          <w:sz w:val="20"/>
          <w:szCs w:val="20"/>
          <w:color w:val="auto"/>
        </w:rPr>
      </w:pP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258445</wp:posOffset>
            </wp:positionV>
            <wp:extent cx="5351145" cy="85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9019"/>
          </w:cols>
          <w:pgMar w:left="1440" w:top="1260" w:right="1440" w:bottom="1440" w:gutter="0" w:footer="0" w:header="0"/>
        </w:sectPr>
      </w:pPr>
    </w:p>
    <w:bookmarkStart w:id="13" w:name="page14"/>
    <w:bookmarkEnd w:id="13"/>
    <w:p>
      <w:pPr>
        <w:ind w:right="2059" w:firstLine="54"/>
        <w:spacing w:after="0" w:line="273" w:lineRule="auto"/>
        <w:rPr>
          <w:sz w:val="20"/>
          <w:szCs w:val="20"/>
          <w:color w:val="auto"/>
        </w:rPr>
      </w:pPr>
      <w:r>
        <w:rPr>
          <w:rFonts w:ascii="Arial" w:cs="Arial" w:eastAsia="Arial" w:hAnsi="Arial"/>
          <w:sz w:val="19"/>
          <w:szCs w:val="19"/>
          <w:color w:val="auto"/>
        </w:rPr>
        <w:t>mature judgment, career specialization, relevant technical skills, diversity, and the extent to which the nominee would fill a present need on our Board of Directors. Although the Nominating Committee does not have a formal policy with regard to the consideration of diversity in identifying director nominees, the Nominating Committee strives to nominate directors with a variety of complementary skills so that, as a group, the Board will possess the appropriate talent, skills and expertise to oversee the Company’s business. All director nominations, whether submitted by a shareholder, the Nominating Committee, or the Board of Directors, will be evaluated in the same manner. The current nominees for director were recommended by the Nominating Committee and nominated by the Board of Directors, including the independent members thereof.</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and Committee Meetings</w:t>
      </w:r>
    </w:p>
    <w:p>
      <w:pPr>
        <w:spacing w:after="0" w:line="185" w:lineRule="exact"/>
        <w:rPr>
          <w:sz w:val="20"/>
          <w:szCs w:val="20"/>
          <w:color w:val="auto"/>
        </w:rPr>
      </w:pPr>
    </w:p>
    <w:p>
      <w:pPr>
        <w:ind w:right="1919" w:firstLine="648"/>
        <w:spacing w:after="0" w:line="274" w:lineRule="auto"/>
        <w:rPr>
          <w:sz w:val="20"/>
          <w:szCs w:val="20"/>
          <w:color w:val="auto"/>
        </w:rPr>
      </w:pPr>
      <w:r>
        <w:rPr>
          <w:rFonts w:ascii="Arial" w:cs="Arial" w:eastAsia="Arial" w:hAnsi="Arial"/>
          <w:sz w:val="19"/>
          <w:szCs w:val="19"/>
          <w:color w:val="auto"/>
        </w:rPr>
        <w:t>Our Board of Directors held a total of 10 meetings in 2011. No director attended fewer than 75% of the aggregate of (i) the total number of meetings of the Board of Directors; and (ii) the total number of meetings held by all committees of the Board of Directors on which such director was a member. Although we currently have no formal policy with respect to the attendance of members of the Board of Directors at the Annual Meetings of Shareholders, we encourage each of our directors to attend each annual meeting of shareholders. To that end, and to the extent reasonably practicable, we regularly schedule a meeting of the Board of Directors on the same day as our annual meeting of shareholders. All members of our Board of Directors attended the 2011 Annual Meeting of Shareholders.</w:t>
      </w:r>
    </w:p>
    <w:p>
      <w:pPr>
        <w:spacing w:after="0" w:line="132" w:lineRule="exact"/>
        <w:rPr>
          <w:sz w:val="20"/>
          <w:szCs w:val="20"/>
          <w:color w:val="auto"/>
        </w:rPr>
      </w:pPr>
    </w:p>
    <w:p>
      <w:pPr>
        <w:ind w:right="2419" w:firstLine="648"/>
        <w:spacing w:after="0" w:line="328" w:lineRule="auto"/>
        <w:rPr>
          <w:sz w:val="20"/>
          <w:szCs w:val="20"/>
          <w:color w:val="auto"/>
        </w:rPr>
      </w:pPr>
      <w:r>
        <w:rPr>
          <w:rFonts w:ascii="Arial" w:cs="Arial" w:eastAsia="Arial" w:hAnsi="Arial"/>
          <w:sz w:val="19"/>
          <w:szCs w:val="19"/>
          <w:color w:val="auto"/>
        </w:rPr>
        <w:t>In 2011, the Audit and Compliance Committee held 6 meetings, the Compensation Committee held 5 meetings, and the Nominating Committee held 2 meetings.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Ethics</w:t>
      </w:r>
    </w:p>
    <w:p>
      <w:pPr>
        <w:spacing w:after="0" w:line="185" w:lineRule="exact"/>
        <w:rPr>
          <w:sz w:val="20"/>
          <w:szCs w:val="20"/>
          <w:color w:val="auto"/>
        </w:rPr>
      </w:pPr>
    </w:p>
    <w:p>
      <w:pPr>
        <w:jc w:val="both"/>
        <w:ind w:right="2039" w:firstLine="648"/>
        <w:spacing w:after="0"/>
        <w:rPr>
          <w:sz w:val="20"/>
          <w:szCs w:val="20"/>
          <w:color w:val="auto"/>
        </w:rPr>
      </w:pPr>
      <w:r>
        <w:rPr>
          <w:rFonts w:ascii="Arial" w:cs="Arial" w:eastAsia="Arial" w:hAnsi="Arial"/>
          <w:sz w:val="22"/>
          <w:szCs w:val="22"/>
          <w:color w:val="auto"/>
        </w:rPr>
        <w:t xml:space="preserve">The Board of Directors adopted a code of ethics that applies to our Board of Directors, executive officers, and employees. The Company’s Code of Ethics is posted on our website at </w:t>
      </w:r>
      <w:r>
        <w:rPr>
          <w:rFonts w:ascii="Arial" w:cs="Arial" w:eastAsia="Arial" w:hAnsi="Arial"/>
          <w:sz w:val="22"/>
          <w:szCs w:val="22"/>
          <w:u w:val="single" w:color="auto"/>
          <w:color w:val="auto"/>
        </w:rPr>
        <w:t>www.clearone.com</w:t>
      </w:r>
      <w:r>
        <w:rPr>
          <w:rFonts w:ascii="Arial" w:cs="Arial" w:eastAsia="Arial" w:hAnsi="Arial"/>
          <w:sz w:val="22"/>
          <w:szCs w:val="2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185" w:lineRule="exact"/>
        <w:rPr>
          <w:sz w:val="20"/>
          <w:szCs w:val="20"/>
          <w:color w:val="auto"/>
        </w:rPr>
      </w:pPr>
    </w:p>
    <w:p>
      <w:pPr>
        <w:ind w:right="1839" w:firstLine="1297"/>
        <w:spacing w:after="0" w:line="273" w:lineRule="auto"/>
        <w:rPr>
          <w:sz w:val="20"/>
          <w:szCs w:val="20"/>
          <w:color w:val="auto"/>
        </w:rPr>
      </w:pPr>
      <w:r>
        <w:rPr>
          <w:rFonts w:ascii="Arial" w:cs="Arial" w:eastAsia="Arial" w:hAnsi="Arial"/>
          <w:sz w:val="19"/>
          <w:szCs w:val="19"/>
          <w:color w:val="auto"/>
        </w:rPr>
        <w:t>Section 16(a) of the Exchange Act,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and amendments to reports furnished to us for the year ended December 31, 2011, and written representations that no other reports were required, we believe that each person who, at any time during such fiscal year was a director, officer, or beneficial owner of more than 10% of our common stock, complied with all Section 16(a) filing requirements during such period , except that Edward Dallin Bagley, a beneficial owner of more than 10% of our common stock filed two Forms 4 late for one transaction each.</w:t>
      </w:r>
    </w:p>
    <w:p>
      <w:pPr>
        <w:spacing w:after="0" w:line="123"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EXECUTIVE OFFICERS</w:t>
      </w:r>
    </w:p>
    <w:p>
      <w:pPr>
        <w:spacing w:after="0" w:line="185" w:lineRule="exact"/>
        <w:rPr>
          <w:sz w:val="20"/>
          <w:szCs w:val="20"/>
          <w:color w:val="auto"/>
        </w:rPr>
      </w:pPr>
    </w:p>
    <w:p>
      <w:pPr>
        <w:jc w:val="center"/>
        <w:ind w:right="1779"/>
        <w:spacing w:after="0"/>
        <w:rPr>
          <w:sz w:val="20"/>
          <w:szCs w:val="20"/>
          <w:color w:val="auto"/>
        </w:rPr>
      </w:pPr>
      <w:r>
        <w:rPr>
          <w:rFonts w:ascii="Arial" w:cs="Arial" w:eastAsia="Arial" w:hAnsi="Arial"/>
          <w:sz w:val="22"/>
          <w:szCs w:val="22"/>
          <w:color w:val="auto"/>
        </w:rPr>
        <w:t>The following table sets forth certain information regarding our executive officers.</w:t>
      </w:r>
    </w:p>
    <w:p>
      <w:pPr>
        <w:spacing w:after="0" w:line="191" w:lineRule="exact"/>
        <w:rPr>
          <w:sz w:val="20"/>
          <w:szCs w:val="20"/>
          <w:color w:val="auto"/>
        </w:rPr>
      </w:pPr>
    </w:p>
    <w:tbl>
      <w:tblPr>
        <w:tblLayout w:type="fixed"/>
        <w:tblInd w:w="30" w:type="dxa"/>
        <w:tblCellMar>
          <w:top w:w="0" w:type="dxa"/>
          <w:left w:w="0" w:type="dxa"/>
          <w:bottom w:w="0" w:type="dxa"/>
          <w:right w:w="0" w:type="dxa"/>
        </w:tblCellMar>
      </w:tblPr>
      <w:tr>
        <w:trPr>
          <w:trHeight w:val="240"/>
        </w:trPr>
        <w:tc>
          <w:tcPr>
            <w:tcW w:w="1820" w:type="dxa"/>
            <w:vAlign w:val="bottom"/>
            <w:tcBorders>
              <w:top w:val="single" w:sz="8" w:color="808080"/>
              <w:left w:val="single" w:sz="8" w:color="808080"/>
            </w:tcBorders>
          </w:tcPr>
          <w:p>
            <w:pPr>
              <w:ind w:left="20"/>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top w:val="single" w:sz="8" w:color="808080"/>
            </w:tcBorders>
          </w:tcPr>
          <w:p>
            <w:pPr>
              <w:spacing w:after="0"/>
              <w:rPr>
                <w:sz w:val="20"/>
                <w:szCs w:val="20"/>
                <w:color w:val="auto"/>
              </w:rPr>
            </w:pPr>
          </w:p>
        </w:tc>
        <w:tc>
          <w:tcPr>
            <w:tcW w:w="700" w:type="dxa"/>
            <w:vAlign w:val="bottom"/>
            <w:tcBorders>
              <w:top w:val="single" w:sz="8" w:color="808080"/>
            </w:tcBorders>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Borders>
              <w:top w:val="single" w:sz="8" w:color="808080"/>
            </w:tcBorders>
          </w:tcPr>
          <w:p>
            <w:pPr>
              <w:spacing w:after="0"/>
              <w:rPr>
                <w:sz w:val="20"/>
                <w:szCs w:val="20"/>
                <w:color w:val="auto"/>
              </w:rPr>
            </w:pPr>
          </w:p>
        </w:tc>
        <w:tc>
          <w:tcPr>
            <w:tcW w:w="5800" w:type="dxa"/>
            <w:vAlign w:val="bottom"/>
            <w:tcBorders>
              <w:top w:val="single" w:sz="8" w:color="808080"/>
              <w:right w:val="single" w:sz="8" w:color="808080"/>
            </w:tcBorders>
            <w:gridSpan w:val="2"/>
          </w:tcPr>
          <w:p>
            <w:pPr>
              <w:ind w:left="2600"/>
              <w:spacing w:after="0"/>
              <w:rPr>
                <w:sz w:val="20"/>
                <w:szCs w:val="20"/>
                <w:color w:val="auto"/>
              </w:rPr>
            </w:pPr>
            <w:r>
              <w:rPr>
                <w:rFonts w:ascii="Arial" w:cs="Arial" w:eastAsia="Arial" w:hAnsi="Arial"/>
                <w:sz w:val="16"/>
                <w:szCs w:val="16"/>
                <w:b w:val="1"/>
                <w:bCs w:val="1"/>
                <w:color w:val="auto"/>
              </w:rPr>
              <w:t>Position</w:t>
            </w:r>
          </w:p>
        </w:tc>
      </w:tr>
      <w:tr>
        <w:trPr>
          <w:trHeight w:val="230"/>
        </w:trPr>
        <w:tc>
          <w:tcPr>
            <w:tcW w:w="1820" w:type="dxa"/>
            <w:vAlign w:val="bottom"/>
            <w:tcBorders>
              <w:top w:val="single" w:sz="8" w:color="auto"/>
              <w:left w:val="single" w:sz="8" w:color="808080"/>
            </w:tcBorders>
            <w:shd w:val="clear" w:color="auto" w:fill="B6DDE8"/>
          </w:tcPr>
          <w:p>
            <w:pPr>
              <w:ind w:left="20"/>
              <w:spacing w:after="0"/>
              <w:rPr>
                <w:sz w:val="20"/>
                <w:szCs w:val="20"/>
                <w:color w:val="auto"/>
              </w:rPr>
            </w:pPr>
            <w:r>
              <w:rPr>
                <w:rFonts w:ascii="Arial" w:cs="Arial" w:eastAsia="Arial" w:hAnsi="Arial"/>
                <w:sz w:val="18"/>
                <w:szCs w:val="18"/>
                <w:color w:val="auto"/>
              </w:rPr>
              <w:t>Zee Hakimoglu</w:t>
            </w:r>
          </w:p>
        </w:tc>
        <w:tc>
          <w:tcPr>
            <w:tcW w:w="120" w:type="dxa"/>
            <w:vAlign w:val="bottom"/>
            <w:shd w:val="clear" w:color="auto" w:fill="B6DDE8"/>
          </w:tcPr>
          <w:p>
            <w:pPr>
              <w:spacing w:after="0"/>
              <w:rPr>
                <w:sz w:val="19"/>
                <w:szCs w:val="19"/>
                <w:color w:val="auto"/>
              </w:rPr>
            </w:pPr>
          </w:p>
        </w:tc>
        <w:tc>
          <w:tcPr>
            <w:tcW w:w="700" w:type="dxa"/>
            <w:vAlign w:val="bottom"/>
            <w:tcBorders>
              <w:top w:val="single" w:sz="8" w:color="auto"/>
            </w:tcBorders>
            <w:shd w:val="clear" w:color="auto" w:fill="B6DDE8"/>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shd w:val="clear" w:color="auto" w:fill="B6DDE8"/>
          </w:tcPr>
          <w:p>
            <w:pPr>
              <w:spacing w:after="0"/>
              <w:rPr>
                <w:sz w:val="19"/>
                <w:szCs w:val="19"/>
                <w:color w:val="auto"/>
              </w:rPr>
            </w:pPr>
          </w:p>
        </w:tc>
        <w:tc>
          <w:tcPr>
            <w:tcW w:w="5760" w:type="dxa"/>
            <w:vAlign w:val="bottom"/>
            <w:tcBorders>
              <w:top w:val="single" w:sz="8" w:color="auto"/>
            </w:tcBorders>
            <w:shd w:val="clear" w:color="auto" w:fill="B6DDE8"/>
          </w:tcPr>
          <w:p>
            <w:pPr>
              <w:spacing w:after="0"/>
              <w:rPr>
                <w:sz w:val="20"/>
                <w:szCs w:val="20"/>
                <w:color w:val="auto"/>
              </w:rPr>
            </w:pPr>
            <w:r>
              <w:rPr>
                <w:rFonts w:ascii="Arial" w:cs="Arial" w:eastAsia="Arial" w:hAnsi="Arial"/>
                <w:sz w:val="18"/>
                <w:szCs w:val="18"/>
                <w:color w:val="auto"/>
                <w:w w:val="96"/>
              </w:rPr>
              <w:t>President, Chief Executive Officer, and Chairman of the Board of Directors</w:t>
            </w:r>
          </w:p>
        </w:tc>
        <w:tc>
          <w:tcPr>
            <w:tcW w:w="40" w:type="dxa"/>
            <w:vAlign w:val="bottom"/>
            <w:tcBorders>
              <w:right w:val="single" w:sz="8" w:color="808080"/>
            </w:tcBorders>
          </w:tcPr>
          <w:p>
            <w:pPr>
              <w:spacing w:after="0"/>
              <w:rPr>
                <w:sz w:val="19"/>
                <w:szCs w:val="19"/>
                <w:color w:val="auto"/>
              </w:rPr>
            </w:pPr>
          </w:p>
        </w:tc>
      </w:tr>
      <w:tr>
        <w:trPr>
          <w:trHeight w:val="230"/>
        </w:trPr>
        <w:tc>
          <w:tcPr>
            <w:tcW w:w="1820" w:type="dxa"/>
            <w:vAlign w:val="bottom"/>
            <w:tcBorders>
              <w:left w:val="single" w:sz="8" w:color="808080"/>
            </w:tcBorders>
          </w:tcPr>
          <w:p>
            <w:pPr>
              <w:ind w:left="20"/>
              <w:spacing w:after="0"/>
              <w:rPr>
                <w:sz w:val="20"/>
                <w:szCs w:val="20"/>
                <w:color w:val="auto"/>
              </w:rPr>
            </w:pPr>
            <w:r>
              <w:rPr>
                <w:rFonts w:ascii="Arial" w:cs="Arial" w:eastAsia="Arial" w:hAnsi="Arial"/>
                <w:sz w:val="18"/>
                <w:szCs w:val="18"/>
                <w:color w:val="auto"/>
              </w:rPr>
              <w:t>Narsi Narayanan</w:t>
            </w:r>
          </w:p>
        </w:tc>
        <w:tc>
          <w:tcPr>
            <w:tcW w:w="8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Vice President of Finance and Corporate Secretary</w:t>
            </w:r>
          </w:p>
        </w:tc>
        <w:tc>
          <w:tcPr>
            <w:tcW w:w="40" w:type="dxa"/>
            <w:vAlign w:val="bottom"/>
            <w:tcBorders>
              <w:right w:val="single" w:sz="8" w:color="808080"/>
            </w:tcBorders>
          </w:tcPr>
          <w:p>
            <w:pPr>
              <w:spacing w:after="0"/>
              <w:rPr>
                <w:sz w:val="19"/>
                <w:szCs w:val="19"/>
                <w:color w:val="auto"/>
              </w:rPr>
            </w:pPr>
          </w:p>
        </w:tc>
      </w:tr>
      <w:tr>
        <w:trPr>
          <w:trHeight w:val="230"/>
        </w:trPr>
        <w:tc>
          <w:tcPr>
            <w:tcW w:w="182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8"/>
                <w:szCs w:val="18"/>
                <w:color w:val="auto"/>
                <w:w w:val="99"/>
              </w:rPr>
              <w:t>Michael E. Braithwaite</w:t>
            </w:r>
          </w:p>
        </w:tc>
        <w:tc>
          <w:tcPr>
            <w:tcW w:w="820" w:type="dxa"/>
            <w:vAlign w:val="bottom"/>
            <w:gridSpan w:val="2"/>
            <w:shd w:val="clear" w:color="auto" w:fill="B6DDE8"/>
          </w:tcPr>
          <w:p>
            <w:pPr>
              <w:jc w:val="center"/>
              <w:ind w:left="30"/>
              <w:spacing w:after="0"/>
              <w:rPr>
                <w:sz w:val="20"/>
                <w:szCs w:val="20"/>
                <w:color w:val="auto"/>
              </w:rPr>
            </w:pPr>
            <w:r>
              <w:rPr>
                <w:rFonts w:ascii="Arial" w:cs="Arial" w:eastAsia="Arial" w:hAnsi="Arial"/>
                <w:sz w:val="18"/>
                <w:szCs w:val="18"/>
                <w:color w:val="auto"/>
                <w:w w:val="89"/>
              </w:rPr>
              <w:t>44</w:t>
            </w:r>
          </w:p>
        </w:tc>
        <w:tc>
          <w:tcPr>
            <w:tcW w:w="100" w:type="dxa"/>
            <w:vAlign w:val="bottom"/>
            <w:shd w:val="clear" w:color="auto" w:fill="B6DDE8"/>
          </w:tcPr>
          <w:p>
            <w:pPr>
              <w:spacing w:after="0"/>
              <w:rPr>
                <w:sz w:val="19"/>
                <w:szCs w:val="19"/>
                <w:color w:val="auto"/>
              </w:rPr>
            </w:pPr>
          </w:p>
        </w:tc>
        <w:tc>
          <w:tcPr>
            <w:tcW w:w="5760" w:type="dxa"/>
            <w:vAlign w:val="bottom"/>
            <w:shd w:val="clear" w:color="auto" w:fill="B6DDE8"/>
          </w:tcPr>
          <w:p>
            <w:pPr>
              <w:spacing w:after="0"/>
              <w:rPr>
                <w:sz w:val="20"/>
                <w:szCs w:val="20"/>
                <w:color w:val="auto"/>
              </w:rPr>
            </w:pPr>
            <w:r>
              <w:rPr>
                <w:rFonts w:ascii="Arial" w:cs="Arial" w:eastAsia="Arial" w:hAnsi="Arial"/>
                <w:sz w:val="18"/>
                <w:szCs w:val="18"/>
                <w:color w:val="auto"/>
              </w:rPr>
              <w:t>Chief Strategy Officer</w:t>
            </w:r>
          </w:p>
        </w:tc>
        <w:tc>
          <w:tcPr>
            <w:tcW w:w="40" w:type="dxa"/>
            <w:vAlign w:val="bottom"/>
            <w:tcBorders>
              <w:right w:val="single" w:sz="8" w:color="808080"/>
            </w:tcBorders>
          </w:tcPr>
          <w:p>
            <w:pPr>
              <w:spacing w:after="0"/>
              <w:rPr>
                <w:sz w:val="19"/>
                <w:szCs w:val="19"/>
                <w:color w:val="auto"/>
              </w:rPr>
            </w:pPr>
          </w:p>
        </w:tc>
      </w:tr>
      <w:tr>
        <w:trPr>
          <w:trHeight w:val="20"/>
        </w:trPr>
        <w:tc>
          <w:tcPr>
            <w:tcW w:w="1820" w:type="dxa"/>
            <w:vAlign w:val="bottom"/>
            <w:tcBorders>
              <w:left w:val="single" w:sz="8" w:color="808080"/>
              <w:bottom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70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576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-601980</wp:posOffset>
            </wp:positionV>
            <wp:extent cx="538543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85435" cy="14605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-309880</wp:posOffset>
            </wp:positionV>
            <wp:extent cx="538543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85435" cy="146050"/>
                    </a:xfrm>
                    <a:prstGeom prst="rect">
                      <a:avLst/>
                    </a:prstGeom>
                    <a:noFill/>
                  </pic:spPr>
                </pic:pic>
              </a:graphicData>
            </a:graphic>
          </wp:anchor>
        </w:drawing>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the biography of Ms. Hakimoglu, see “Nominees for Director.”</w:t>
      </w:r>
    </w:p>
    <w:p>
      <w:pPr>
        <w:spacing w:after="0" w:line="173" w:lineRule="exact"/>
        <w:rPr>
          <w:sz w:val="20"/>
          <w:szCs w:val="20"/>
          <w:color w:val="auto"/>
        </w:rPr>
      </w:pPr>
    </w:p>
    <w:p>
      <w:pPr>
        <w:ind w:right="1779" w:firstLine="648"/>
        <w:spacing w:after="0" w:line="235" w:lineRule="auto"/>
        <w:rPr>
          <w:sz w:val="20"/>
          <w:szCs w:val="20"/>
          <w:color w:val="auto"/>
        </w:rPr>
      </w:pPr>
      <w:r>
        <w:rPr>
          <w:rFonts w:ascii="Arial" w:cs="Arial" w:eastAsia="Arial" w:hAnsi="Arial"/>
          <w:sz w:val="22"/>
          <w:szCs w:val="22"/>
          <w:b w:val="1"/>
          <w:bCs w:val="1"/>
          <w:color w:val="auto"/>
        </w:rPr>
        <w:t xml:space="preserve">Narsi Narayanan </w:t>
      </w:r>
      <w:r>
        <w:rPr>
          <w:rFonts w:ascii="Arial" w:cs="Arial" w:eastAsia="Arial" w:hAnsi="Arial"/>
          <w:sz w:val="22"/>
          <w:szCs w:val="22"/>
          <w:color w:val="auto"/>
        </w:rPr>
        <w:t>has served as our Vice President of Finance since July 2009 and has</w:t>
      </w:r>
      <w:r>
        <w:rPr>
          <w:rFonts w:ascii="Arial" w:cs="Arial" w:eastAsia="Arial" w:hAnsi="Arial"/>
          <w:sz w:val="22"/>
          <w:szCs w:val="22"/>
          <w:b w:val="1"/>
          <w:bCs w:val="1"/>
          <w:color w:val="auto"/>
        </w:rPr>
        <w:t xml:space="preserve"> </w:t>
      </w:r>
      <w:r>
        <w:rPr>
          <w:rFonts w:ascii="Arial" w:cs="Arial" w:eastAsia="Arial" w:hAnsi="Arial"/>
          <w:sz w:val="22"/>
          <w:szCs w:val="22"/>
          <w:color w:val="auto"/>
        </w:rPr>
        <w:t>over 18 years of professional experience in the areas of accounting, finance and taxes. Prior to joining our company, he managed the SEC reporting, US GAAP accounting research, SOX compliance and other financial reporting functions from August 2007 through February 2009 at Solo Cup Company, a publicly reporting international consumer products company. Prior to that, Mr. Narayanan managed the accounting and finance functions, including SEC Reporting, SOX compliance and US GAAP accounting research, from June 2004 through August 2007 at eCollege.com,</w:t>
      </w:r>
    </w:p>
    <w:p>
      <w:pPr>
        <w:sectPr>
          <w:pgSz w:w="11900" w:h="16838" w:orient="portrait"/>
          <w:cols w:equalWidth="0" w:num="1">
            <w:col w:w="10219"/>
          </w:cols>
          <w:pgMar w:left="240" w:top="361" w:right="1440" w:bottom="702" w:gutter="0" w:footer="0" w:header="0"/>
        </w:sectPr>
      </w:pPr>
    </w:p>
    <w:bookmarkStart w:id="14" w:name="page15"/>
    <w:bookmarkEnd w:id="14"/>
    <w:p>
      <w:pPr>
        <w:ind w:left="2960"/>
        <w:spacing w:after="0"/>
        <w:rPr>
          <w:sz w:val="20"/>
          <w:szCs w:val="20"/>
          <w:color w:val="auto"/>
        </w:rPr>
      </w:pPr>
      <w:r>
        <w:rPr>
          <w:rFonts w:ascii="Arial" w:cs="Arial" w:eastAsia="Arial" w:hAnsi="Arial"/>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103505</wp:posOffset>
            </wp:positionV>
            <wp:extent cx="5351145"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5" w:name="page16"/>
    <w:bookmarkEnd w:id="15"/>
    <w:p>
      <w:pPr>
        <w:ind w:right="1859"/>
        <w:spacing w:after="0" w:line="282" w:lineRule="auto"/>
        <w:rPr>
          <w:sz w:val="20"/>
          <w:szCs w:val="20"/>
          <w:color w:val="auto"/>
        </w:rPr>
      </w:pPr>
      <w:r>
        <w:rPr>
          <w:rFonts w:ascii="Arial" w:cs="Arial" w:eastAsia="Arial" w:hAnsi="Arial"/>
          <w:sz w:val="19"/>
          <w:szCs w:val="19"/>
          <w:color w:val="auto"/>
        </w:rPr>
        <w:t>a leading technology company serving private educational institutions which was also a publicly reporting company before being acquired by Pearson Education group. In addition to being a Chartered Accountant, Mr. Narayanan has extensive experience working in public accounting and in various senior finance positions in India with large public companies. He is a Certified Public Accountant with graduate degrees in accounting (M. Acc.) and business (MBA-Finance).</w:t>
      </w:r>
    </w:p>
    <w:p>
      <w:pPr>
        <w:spacing w:after="0" w:line="115" w:lineRule="exact"/>
        <w:rPr>
          <w:sz w:val="20"/>
          <w:szCs w:val="20"/>
          <w:color w:val="auto"/>
        </w:rPr>
      </w:pPr>
    </w:p>
    <w:p>
      <w:pPr>
        <w:ind w:right="1879" w:firstLine="648"/>
        <w:spacing w:after="0" w:line="245" w:lineRule="auto"/>
        <w:rPr>
          <w:sz w:val="20"/>
          <w:szCs w:val="20"/>
          <w:color w:val="auto"/>
        </w:rPr>
      </w:pPr>
      <w:r>
        <w:rPr>
          <w:rFonts w:ascii="Arial" w:cs="Arial" w:eastAsia="Arial" w:hAnsi="Arial"/>
          <w:sz w:val="21"/>
          <w:szCs w:val="21"/>
          <w:b w:val="1"/>
          <w:bCs w:val="1"/>
          <w:color w:val="auto"/>
        </w:rPr>
        <w:t xml:space="preserve">Michael Braithwaite </w:t>
      </w:r>
      <w:r>
        <w:rPr>
          <w:rFonts w:ascii="Arial" w:cs="Arial" w:eastAsia="Arial" w:hAnsi="Arial"/>
          <w:sz w:val="21"/>
          <w:szCs w:val="21"/>
          <w:color w:val="auto"/>
        </w:rPr>
        <w:t>joined us in November 2009 through the acquisition of</w:t>
      </w:r>
      <w:r>
        <w:rPr>
          <w:rFonts w:ascii="Arial" w:cs="Arial" w:eastAsia="Arial" w:hAnsi="Arial"/>
          <w:sz w:val="21"/>
          <w:szCs w:val="21"/>
          <w:b w:val="1"/>
          <w:bCs w:val="1"/>
          <w:color w:val="auto"/>
        </w:rPr>
        <w:t xml:space="preserve"> </w:t>
      </w:r>
      <w:r>
        <w:rPr>
          <w:rFonts w:ascii="Arial" w:cs="Arial" w:eastAsia="Arial" w:hAnsi="Arial"/>
          <w:sz w:val="21"/>
          <w:szCs w:val="21"/>
          <w:color w:val="auto"/>
        </w:rPr>
        <w:t>NetStreams, Inc. where he was the co-founder and CTO since 2004. Mr. Braithwaite has led a distinguished twenty-plus-year career as a visionary, disruptive innovator, and proven leader in the professional audio and consumer electronics industries. He has authored more than twenty U.S. and International patents. Before NetStreams, Inc., Mr. Braithwaite was a product and market manager for Crestron Electronics where he worked on highly successful audio and video distribution products. He currently serves on the Consumer Electronics Association’s R10 working group technical committees and the AVnu (AVB) marketing and technical committees and is a very active member in technology standard efforts for the CEA and other standard-setting bodies.</w:t>
      </w:r>
    </w:p>
    <w:p>
      <w:pPr>
        <w:spacing w:after="0" w:line="200" w:lineRule="exact"/>
        <w:rPr>
          <w:sz w:val="20"/>
          <w:szCs w:val="20"/>
          <w:color w:val="auto"/>
        </w:rPr>
      </w:pPr>
    </w:p>
    <w:p>
      <w:pPr>
        <w:spacing w:after="0" w:line="320" w:lineRule="exact"/>
        <w:rPr>
          <w:sz w:val="20"/>
          <w:szCs w:val="20"/>
          <w:color w:val="auto"/>
        </w:rPr>
      </w:pPr>
    </w:p>
    <w:p>
      <w:pPr>
        <w:ind w:left="2660"/>
        <w:spacing w:after="0"/>
        <w:rPr>
          <w:sz w:val="20"/>
          <w:szCs w:val="20"/>
          <w:color w:val="auto"/>
        </w:rPr>
      </w:pPr>
      <w:r>
        <w:rPr>
          <w:rFonts w:ascii="Arial" w:cs="Arial" w:eastAsia="Arial" w:hAnsi="Arial"/>
          <w:sz w:val="22"/>
          <w:szCs w:val="22"/>
          <w:b w:val="1"/>
          <w:bCs w:val="1"/>
          <w:color w:val="auto"/>
        </w:rPr>
        <w:t>EXECUTIVE COMPENSATION</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Compensation</w:t>
      </w:r>
    </w:p>
    <w:p>
      <w:pPr>
        <w:spacing w:after="0" w:line="91" w:lineRule="exact"/>
        <w:rPr>
          <w:sz w:val="20"/>
          <w:szCs w:val="20"/>
          <w:color w:val="auto"/>
        </w:rPr>
      </w:pPr>
    </w:p>
    <w:p>
      <w:pPr>
        <w:ind w:right="1939" w:firstLine="648"/>
        <w:spacing w:after="0" w:line="328" w:lineRule="auto"/>
        <w:rPr>
          <w:sz w:val="20"/>
          <w:szCs w:val="20"/>
          <w:color w:val="auto"/>
        </w:rPr>
      </w:pPr>
      <w:r>
        <w:rPr>
          <w:rFonts w:ascii="Arial" w:cs="Arial" w:eastAsia="Arial" w:hAnsi="Arial"/>
          <w:sz w:val="19"/>
          <w:szCs w:val="19"/>
          <w:color w:val="auto"/>
        </w:rPr>
        <w:t>The following tables set forth for the periods indicated, the compensation paid or earned by each named executive officer for the years ended December 31, 2011 and 2010.</w:t>
      </w:r>
    </w:p>
    <w:tbl>
      <w:tblPr>
        <w:tblLayout w:type="fixed"/>
        <w:tblInd w:w="30" w:type="dxa"/>
        <w:tblCellMar>
          <w:top w:w="0" w:type="dxa"/>
          <w:left w:w="0" w:type="dxa"/>
          <w:bottom w:w="0" w:type="dxa"/>
          <w:right w:w="0" w:type="dxa"/>
        </w:tblCellMar>
      </w:tblPr>
      <w:tr>
        <w:trPr>
          <w:trHeight w:val="151"/>
        </w:trPr>
        <w:tc>
          <w:tcPr>
            <w:tcW w:w="3440" w:type="dxa"/>
            <w:vAlign w:val="bottom"/>
            <w:tcBorders>
              <w:top w:val="single" w:sz="8" w:color="808080"/>
              <w:left w:val="single" w:sz="8" w:color="808080"/>
            </w:tcBorders>
          </w:tcPr>
          <w:p>
            <w:pPr>
              <w:ind w:left="880"/>
              <w:spacing w:after="0" w:line="151" w:lineRule="exact"/>
              <w:rPr>
                <w:sz w:val="20"/>
                <w:szCs w:val="20"/>
                <w:color w:val="auto"/>
              </w:rPr>
            </w:pPr>
            <w:r>
              <w:rPr>
                <w:rFonts w:ascii="Arial" w:cs="Arial" w:eastAsia="Arial" w:hAnsi="Arial"/>
                <w:sz w:val="14"/>
                <w:szCs w:val="14"/>
                <w:b w:val="1"/>
                <w:bCs w:val="1"/>
                <w:color w:val="auto"/>
              </w:rPr>
              <w:t>Name and Principal Position</w:t>
            </w:r>
          </w:p>
        </w:tc>
        <w:tc>
          <w:tcPr>
            <w:tcW w:w="780" w:type="dxa"/>
            <w:vAlign w:val="bottom"/>
            <w:tcBorders>
              <w:top w:val="single" w:sz="8" w:color="808080"/>
            </w:tcBorders>
          </w:tcPr>
          <w:p>
            <w:pPr>
              <w:jc w:val="right"/>
              <w:ind w:right="20"/>
              <w:spacing w:after="0" w:line="151" w:lineRule="exact"/>
              <w:rPr>
                <w:sz w:val="20"/>
                <w:szCs w:val="20"/>
                <w:color w:val="auto"/>
              </w:rPr>
            </w:pPr>
            <w:r>
              <w:rPr>
                <w:rFonts w:ascii="Arial" w:cs="Arial" w:eastAsia="Arial" w:hAnsi="Arial"/>
                <w:sz w:val="14"/>
                <w:szCs w:val="14"/>
                <w:b w:val="1"/>
                <w:bCs w:val="1"/>
                <w:color w:val="auto"/>
              </w:rPr>
              <w:t>Salary</w:t>
            </w:r>
          </w:p>
        </w:tc>
        <w:tc>
          <w:tcPr>
            <w:tcW w:w="860" w:type="dxa"/>
            <w:vAlign w:val="bottom"/>
            <w:tcBorders>
              <w:top w:val="single" w:sz="8" w:color="808080"/>
            </w:tcBorders>
          </w:tcPr>
          <w:p>
            <w:pPr>
              <w:jc w:val="right"/>
              <w:ind w:right="81"/>
              <w:spacing w:after="0" w:line="151" w:lineRule="exact"/>
              <w:rPr>
                <w:sz w:val="20"/>
                <w:szCs w:val="20"/>
                <w:color w:val="auto"/>
              </w:rPr>
            </w:pPr>
            <w:r>
              <w:rPr>
                <w:rFonts w:ascii="Arial" w:cs="Arial" w:eastAsia="Arial" w:hAnsi="Arial"/>
                <w:sz w:val="14"/>
                <w:szCs w:val="14"/>
                <w:b w:val="1"/>
                <w:bCs w:val="1"/>
                <w:color w:val="auto"/>
              </w:rPr>
              <w:t>Option</w:t>
            </w:r>
          </w:p>
        </w:tc>
        <w:tc>
          <w:tcPr>
            <w:tcW w:w="1180" w:type="dxa"/>
            <w:vAlign w:val="bottom"/>
            <w:tcBorders>
              <w:top w:val="single" w:sz="8" w:color="808080"/>
            </w:tcBorders>
          </w:tcPr>
          <w:p>
            <w:pPr>
              <w:jc w:val="center"/>
              <w:spacing w:after="0" w:line="151" w:lineRule="exact"/>
              <w:rPr>
                <w:sz w:val="20"/>
                <w:szCs w:val="20"/>
                <w:color w:val="auto"/>
              </w:rPr>
            </w:pPr>
            <w:r>
              <w:rPr>
                <w:rFonts w:ascii="Arial" w:cs="Arial" w:eastAsia="Arial" w:hAnsi="Arial"/>
                <w:sz w:val="14"/>
                <w:szCs w:val="14"/>
                <w:b w:val="1"/>
                <w:bCs w:val="1"/>
                <w:color w:val="auto"/>
                <w:w w:val="96"/>
              </w:rPr>
              <w:t>Non-Equity</w:t>
            </w:r>
          </w:p>
        </w:tc>
        <w:tc>
          <w:tcPr>
            <w:tcW w:w="260" w:type="dxa"/>
            <w:vAlign w:val="bottom"/>
            <w:tcBorders>
              <w:top w:val="single" w:sz="8" w:color="808080"/>
            </w:tcBorders>
          </w:tcPr>
          <w:p>
            <w:pPr>
              <w:spacing w:after="0"/>
              <w:rPr>
                <w:sz w:val="13"/>
                <w:szCs w:val="13"/>
                <w:color w:val="auto"/>
              </w:rPr>
            </w:pPr>
          </w:p>
        </w:tc>
        <w:tc>
          <w:tcPr>
            <w:tcW w:w="700" w:type="dxa"/>
            <w:vAlign w:val="bottom"/>
            <w:tcBorders>
              <w:top w:val="single" w:sz="8" w:color="808080"/>
            </w:tcBorders>
          </w:tcPr>
          <w:p>
            <w:pPr>
              <w:jc w:val="right"/>
              <w:spacing w:after="0" w:line="151" w:lineRule="exact"/>
              <w:rPr>
                <w:sz w:val="20"/>
                <w:szCs w:val="20"/>
                <w:color w:val="auto"/>
              </w:rPr>
            </w:pPr>
            <w:r>
              <w:rPr>
                <w:rFonts w:ascii="Arial" w:cs="Arial" w:eastAsia="Arial" w:hAnsi="Arial"/>
                <w:sz w:val="14"/>
                <w:szCs w:val="14"/>
                <w:b w:val="1"/>
                <w:bCs w:val="1"/>
                <w:color w:val="auto"/>
              </w:rPr>
              <w:t>All Other</w:t>
            </w:r>
          </w:p>
        </w:tc>
        <w:tc>
          <w:tcPr>
            <w:tcW w:w="1140" w:type="dxa"/>
            <w:vAlign w:val="bottom"/>
            <w:tcBorders>
              <w:top w:val="single" w:sz="8" w:color="808080"/>
              <w:right w:val="single" w:sz="8" w:color="808080"/>
            </w:tcBorders>
            <w:gridSpan w:val="2"/>
          </w:tcPr>
          <w:p>
            <w:pPr>
              <w:ind w:left="520"/>
              <w:spacing w:after="0" w:line="151" w:lineRule="exact"/>
              <w:rPr>
                <w:sz w:val="20"/>
                <w:szCs w:val="20"/>
                <w:color w:val="auto"/>
              </w:rPr>
            </w:pPr>
            <w:r>
              <w:rPr>
                <w:rFonts w:ascii="Arial" w:cs="Arial" w:eastAsia="Arial" w:hAnsi="Arial"/>
                <w:sz w:val="14"/>
                <w:szCs w:val="14"/>
                <w:b w:val="1"/>
                <w:bCs w:val="1"/>
                <w:color w:val="auto"/>
              </w:rPr>
              <w:t>Total</w:t>
            </w:r>
          </w:p>
        </w:tc>
      </w:tr>
      <w:tr>
        <w:trPr>
          <w:trHeight w:val="144"/>
        </w:trPr>
        <w:tc>
          <w:tcPr>
            <w:tcW w:w="3440" w:type="dxa"/>
            <w:vAlign w:val="bottom"/>
            <w:tcBorders>
              <w:left w:val="single" w:sz="8" w:color="808080"/>
            </w:tcBorders>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Arial" w:cs="Arial" w:eastAsia="Arial" w:hAnsi="Arial"/>
                <w:sz w:val="15"/>
                <w:szCs w:val="15"/>
                <w:b w:val="1"/>
                <w:bCs w:val="1"/>
                <w:color w:val="auto"/>
              </w:rPr>
              <w:t>(1)</w:t>
            </w: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Incentive Plan</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jc w:val="right"/>
              <w:ind w:right="840"/>
              <w:spacing w:after="0" w:line="144" w:lineRule="exact"/>
              <w:rPr>
                <w:sz w:val="20"/>
                <w:szCs w:val="20"/>
                <w:color w:val="auto"/>
              </w:rPr>
            </w:pPr>
            <w:r>
              <w:rPr>
                <w:rFonts w:ascii="Arial" w:cs="Arial" w:eastAsia="Arial" w:hAnsi="Arial"/>
                <w:sz w:val="15"/>
                <w:szCs w:val="15"/>
                <w:b w:val="1"/>
                <w:bCs w:val="1"/>
                <w:color w:val="auto"/>
                <w:w w:val="87"/>
              </w:rPr>
              <w:t>(3)</w:t>
            </w:r>
          </w:p>
        </w:tc>
        <w:tc>
          <w:tcPr>
            <w:tcW w:w="40" w:type="dxa"/>
            <w:vAlign w:val="bottom"/>
            <w:tcBorders>
              <w:right w:val="single" w:sz="8" w:color="808080"/>
            </w:tcBorders>
          </w:tcPr>
          <w:p>
            <w:pPr>
              <w:spacing w:after="0"/>
              <w:rPr>
                <w:sz w:val="12"/>
                <w:szCs w:val="12"/>
                <w:color w:val="auto"/>
              </w:rPr>
            </w:pPr>
          </w:p>
        </w:tc>
      </w:tr>
      <w:tr>
        <w:trPr>
          <w:trHeight w:val="304"/>
        </w:trPr>
        <w:tc>
          <w:tcPr>
            <w:tcW w:w="3440" w:type="dxa"/>
            <w:vAlign w:val="bottom"/>
            <w:tcBorders>
              <w:left w:val="single" w:sz="8" w:color="808080"/>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Awards</w:t>
            </w:r>
          </w:p>
        </w:tc>
        <w:tc>
          <w:tcPr>
            <w:tcW w:w="1180" w:type="dxa"/>
            <w:vAlign w:val="bottom"/>
            <w:tcBorders>
              <w:bottom w:val="single" w:sz="8" w:color="auto"/>
            </w:tcBorders>
          </w:tcPr>
          <w:p>
            <w:pPr>
              <w:jc w:val="center"/>
              <w:spacing w:after="0" w:line="297" w:lineRule="exact"/>
              <w:rPr>
                <w:sz w:val="20"/>
                <w:szCs w:val="20"/>
                <w:color w:val="auto"/>
              </w:rPr>
            </w:pPr>
            <w:r>
              <w:rPr>
                <w:rFonts w:ascii="Arial" w:cs="Arial" w:eastAsia="Arial" w:hAnsi="Arial"/>
                <w:sz w:val="14"/>
                <w:szCs w:val="14"/>
                <w:b w:val="1"/>
                <w:bCs w:val="1"/>
                <w:color w:val="auto"/>
                <w:w w:val="88"/>
              </w:rPr>
              <w:t>Compensation</w:t>
            </w:r>
            <w:r>
              <w:rPr>
                <w:rFonts w:ascii="Arial" w:cs="Arial" w:eastAsia="Arial" w:hAnsi="Arial"/>
                <w:sz w:val="23"/>
                <w:szCs w:val="23"/>
                <w:b w:val="1"/>
                <w:bCs w:val="1"/>
                <w:color w:val="auto"/>
                <w:w w:val="88"/>
                <w:vertAlign w:val="superscript"/>
              </w:rPr>
              <w:t>(</w:t>
            </w:r>
            <w:r>
              <w:rPr>
                <w:rFonts w:ascii="Arial" w:cs="Arial" w:eastAsia="Arial" w:hAnsi="Arial"/>
                <w:sz w:val="30"/>
                <w:szCs w:val="30"/>
                <w:b w:val="1"/>
                <w:bCs w:val="1"/>
                <w:color w:val="auto"/>
                <w:w w:val="88"/>
                <w:vertAlign w:val="superscript"/>
              </w:rPr>
              <w:t>2)</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Compensation</w:t>
            </w:r>
          </w:p>
        </w:tc>
        <w:tc>
          <w:tcPr>
            <w:tcW w:w="1100" w:type="dxa"/>
            <w:vAlign w:val="bottom"/>
            <w:tcBorders>
              <w:bottom w:val="single" w:sz="8" w:color="auto"/>
            </w:tcBorders>
          </w:tcPr>
          <w:p>
            <w:pPr>
              <w:spacing w:after="0"/>
              <w:rPr>
                <w:sz w:val="24"/>
                <w:szCs w:val="24"/>
                <w:color w:val="auto"/>
              </w:rPr>
            </w:pPr>
          </w:p>
        </w:tc>
        <w:tc>
          <w:tcPr>
            <w:tcW w:w="40" w:type="dxa"/>
            <w:vAlign w:val="bottom"/>
            <w:tcBorders>
              <w:right w:val="single" w:sz="8" w:color="808080"/>
            </w:tcBorders>
          </w:tcPr>
          <w:p>
            <w:pPr>
              <w:spacing w:after="0"/>
              <w:rPr>
                <w:sz w:val="24"/>
                <w:szCs w:val="24"/>
                <w:color w:val="auto"/>
              </w:rPr>
            </w:pPr>
          </w:p>
        </w:tc>
      </w:tr>
      <w:tr>
        <w:trPr>
          <w:trHeight w:val="206"/>
        </w:trPr>
        <w:tc>
          <w:tcPr>
            <w:tcW w:w="344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b w:val="1"/>
                <w:bCs w:val="1"/>
                <w:color w:val="auto"/>
              </w:rPr>
              <w:t xml:space="preserve">Zee Hakimoglu </w:t>
            </w:r>
            <w:r>
              <w:rPr>
                <w:rFonts w:ascii="Arial" w:cs="Arial" w:eastAsia="Arial" w:hAnsi="Arial"/>
                <w:sz w:val="16"/>
                <w:szCs w:val="16"/>
                <w:color w:val="auto"/>
              </w:rPr>
              <w:t>- Chairman of the Board, Chief</w:t>
            </w:r>
          </w:p>
        </w:tc>
        <w:tc>
          <w:tcPr>
            <w:tcW w:w="780" w:type="dxa"/>
            <w:vAlign w:val="bottom"/>
            <w:shd w:val="clear" w:color="auto" w:fill="B6DDE8"/>
          </w:tcPr>
          <w:p>
            <w:pPr>
              <w:spacing w:after="0"/>
              <w:rPr>
                <w:sz w:val="17"/>
                <w:szCs w:val="17"/>
                <w:color w:val="auto"/>
              </w:rPr>
            </w:pPr>
          </w:p>
        </w:tc>
        <w:tc>
          <w:tcPr>
            <w:tcW w:w="860" w:type="dxa"/>
            <w:vAlign w:val="bottom"/>
            <w:shd w:val="clear" w:color="auto" w:fill="B6DDE8"/>
          </w:tcPr>
          <w:p>
            <w:pPr>
              <w:spacing w:after="0"/>
              <w:rPr>
                <w:sz w:val="17"/>
                <w:szCs w:val="17"/>
                <w:color w:val="auto"/>
              </w:rPr>
            </w:pPr>
          </w:p>
        </w:tc>
        <w:tc>
          <w:tcPr>
            <w:tcW w:w="1180" w:type="dxa"/>
            <w:vAlign w:val="bottom"/>
            <w:shd w:val="clear" w:color="auto" w:fill="B6DDE8"/>
          </w:tcPr>
          <w:p>
            <w:pPr>
              <w:spacing w:after="0"/>
              <w:rPr>
                <w:sz w:val="17"/>
                <w:szCs w:val="17"/>
                <w:color w:val="auto"/>
              </w:rPr>
            </w:pPr>
          </w:p>
        </w:tc>
        <w:tc>
          <w:tcPr>
            <w:tcW w:w="260" w:type="dxa"/>
            <w:vAlign w:val="bottom"/>
            <w:shd w:val="clear" w:color="auto" w:fill="B6DDE8"/>
          </w:tcPr>
          <w:p>
            <w:pPr>
              <w:spacing w:after="0"/>
              <w:rPr>
                <w:sz w:val="17"/>
                <w:szCs w:val="17"/>
                <w:color w:val="auto"/>
              </w:rPr>
            </w:pPr>
          </w:p>
        </w:tc>
        <w:tc>
          <w:tcPr>
            <w:tcW w:w="700" w:type="dxa"/>
            <w:vAlign w:val="bottom"/>
            <w:shd w:val="clear" w:color="auto" w:fill="B6DDE8"/>
          </w:tcPr>
          <w:p>
            <w:pPr>
              <w:spacing w:after="0"/>
              <w:rPr>
                <w:sz w:val="17"/>
                <w:szCs w:val="17"/>
                <w:color w:val="auto"/>
              </w:rPr>
            </w:pPr>
          </w:p>
        </w:tc>
        <w:tc>
          <w:tcPr>
            <w:tcW w:w="1100" w:type="dxa"/>
            <w:vAlign w:val="bottom"/>
            <w:shd w:val="clear" w:color="auto" w:fill="B6DDE8"/>
          </w:tcPr>
          <w:p>
            <w:pPr>
              <w:spacing w:after="0"/>
              <w:rPr>
                <w:sz w:val="17"/>
                <w:szCs w:val="17"/>
                <w:color w:val="auto"/>
              </w:rPr>
            </w:pPr>
          </w:p>
        </w:tc>
        <w:tc>
          <w:tcPr>
            <w:tcW w:w="40" w:type="dxa"/>
            <w:vAlign w:val="bottom"/>
            <w:tcBorders>
              <w:right w:val="single" w:sz="8" w:color="808080"/>
            </w:tcBorders>
          </w:tcPr>
          <w:p>
            <w:pPr>
              <w:spacing w:after="0"/>
              <w:rPr>
                <w:sz w:val="17"/>
                <w:szCs w:val="17"/>
                <w:color w:val="auto"/>
              </w:rPr>
            </w:pPr>
          </w:p>
        </w:tc>
      </w:tr>
      <w:tr>
        <w:trPr>
          <w:trHeight w:val="226"/>
        </w:trPr>
        <w:tc>
          <w:tcPr>
            <w:tcW w:w="344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Executive Officer and President</w:t>
            </w:r>
          </w:p>
        </w:tc>
        <w:tc>
          <w:tcPr>
            <w:tcW w:w="780" w:type="dxa"/>
            <w:vAlign w:val="bottom"/>
            <w:shd w:val="clear" w:color="auto" w:fill="B6DDE8"/>
          </w:tcPr>
          <w:p>
            <w:pPr>
              <w:spacing w:after="0"/>
              <w:rPr>
                <w:sz w:val="19"/>
                <w:szCs w:val="19"/>
                <w:color w:val="auto"/>
              </w:rPr>
            </w:pPr>
          </w:p>
        </w:tc>
        <w:tc>
          <w:tcPr>
            <w:tcW w:w="860" w:type="dxa"/>
            <w:vAlign w:val="bottom"/>
            <w:shd w:val="clear" w:color="auto" w:fill="B6DDE8"/>
          </w:tcPr>
          <w:p>
            <w:pPr>
              <w:spacing w:after="0"/>
              <w:rPr>
                <w:sz w:val="19"/>
                <w:szCs w:val="19"/>
                <w:color w:val="auto"/>
              </w:rPr>
            </w:pPr>
          </w:p>
        </w:tc>
        <w:tc>
          <w:tcPr>
            <w:tcW w:w="1180" w:type="dxa"/>
            <w:vAlign w:val="bottom"/>
            <w:shd w:val="clear" w:color="auto" w:fill="B6DDE8"/>
          </w:tcPr>
          <w:p>
            <w:pPr>
              <w:spacing w:after="0"/>
              <w:rPr>
                <w:sz w:val="19"/>
                <w:szCs w:val="19"/>
                <w:color w:val="auto"/>
              </w:rPr>
            </w:pPr>
          </w:p>
        </w:tc>
        <w:tc>
          <w:tcPr>
            <w:tcW w:w="260" w:type="dxa"/>
            <w:vAlign w:val="bottom"/>
            <w:shd w:val="clear" w:color="auto" w:fill="B6DDE8"/>
          </w:tcPr>
          <w:p>
            <w:pPr>
              <w:spacing w:after="0"/>
              <w:rPr>
                <w:sz w:val="19"/>
                <w:szCs w:val="19"/>
                <w:color w:val="auto"/>
              </w:rPr>
            </w:pPr>
          </w:p>
        </w:tc>
        <w:tc>
          <w:tcPr>
            <w:tcW w:w="700" w:type="dxa"/>
            <w:vAlign w:val="bottom"/>
            <w:shd w:val="clear" w:color="auto" w:fill="B6DDE8"/>
          </w:tcPr>
          <w:p>
            <w:pPr>
              <w:spacing w:after="0"/>
              <w:rPr>
                <w:sz w:val="19"/>
                <w:szCs w:val="19"/>
                <w:color w:val="auto"/>
              </w:rPr>
            </w:pPr>
          </w:p>
        </w:tc>
        <w:tc>
          <w:tcPr>
            <w:tcW w:w="1100" w:type="dxa"/>
            <w:vAlign w:val="bottom"/>
            <w:shd w:val="clear" w:color="auto" w:fill="B6DDE8"/>
          </w:tcPr>
          <w:p>
            <w:pPr>
              <w:spacing w:after="0"/>
              <w:rPr>
                <w:sz w:val="19"/>
                <w:szCs w:val="19"/>
                <w:color w:val="auto"/>
              </w:rPr>
            </w:pPr>
          </w:p>
        </w:tc>
        <w:tc>
          <w:tcPr>
            <w:tcW w:w="40" w:type="dxa"/>
            <w:vAlign w:val="bottom"/>
            <w:tcBorders>
              <w:right w:val="single" w:sz="8" w:color="808080"/>
            </w:tcBorders>
          </w:tcPr>
          <w:p>
            <w:pPr>
              <w:spacing w:after="0"/>
              <w:rPr>
                <w:sz w:val="19"/>
                <w:szCs w:val="19"/>
                <w:color w:val="auto"/>
              </w:rPr>
            </w:pPr>
          </w:p>
        </w:tc>
      </w:tr>
      <w:tr>
        <w:trPr>
          <w:trHeight w:val="227"/>
        </w:trPr>
        <w:tc>
          <w:tcPr>
            <w:tcW w:w="3440" w:type="dxa"/>
            <w:vAlign w:val="bottom"/>
            <w:tcBorders>
              <w:left w:val="single" w:sz="8" w:color="808080"/>
            </w:tcBorders>
          </w:tcPr>
          <w:p>
            <w:pPr>
              <w:ind w:left="20"/>
              <w:spacing w:after="0"/>
              <w:rPr>
                <w:sz w:val="20"/>
                <w:szCs w:val="20"/>
                <w:color w:val="auto"/>
              </w:rPr>
            </w:pPr>
            <w:r>
              <w:rPr>
                <w:rFonts w:ascii="Arial" w:cs="Arial" w:eastAsia="Arial" w:hAnsi="Arial"/>
                <w:sz w:val="16"/>
                <w:szCs w:val="16"/>
                <w:color w:val="auto"/>
              </w:rPr>
              <w:t>Year ended December 31, 2011</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w w:val="98"/>
              </w:rPr>
              <w:t>$230,000</w:t>
            </w:r>
          </w:p>
        </w:tc>
        <w:tc>
          <w:tcPr>
            <w:tcW w:w="860" w:type="dxa"/>
            <w:vAlign w:val="bottom"/>
          </w:tcPr>
          <w:p>
            <w:pPr>
              <w:jc w:val="right"/>
              <w:ind w:right="141"/>
              <w:spacing w:after="0"/>
              <w:rPr>
                <w:sz w:val="20"/>
                <w:szCs w:val="20"/>
                <w:color w:val="auto"/>
              </w:rPr>
            </w:pPr>
            <w:r>
              <w:rPr>
                <w:rFonts w:ascii="Arial" w:cs="Arial" w:eastAsia="Arial" w:hAnsi="Arial"/>
                <w:sz w:val="16"/>
                <w:szCs w:val="16"/>
                <w:color w:val="auto"/>
                <w:w w:val="99"/>
              </w:rPr>
              <w:t>$ 29,436</w:t>
            </w:r>
          </w:p>
        </w:tc>
        <w:tc>
          <w:tcPr>
            <w:tcW w:w="1180" w:type="dxa"/>
            <w:vAlign w:val="bottom"/>
          </w:tcPr>
          <w:p>
            <w:pPr>
              <w:jc w:val="right"/>
              <w:ind w:right="321"/>
              <w:spacing w:after="0"/>
              <w:rPr>
                <w:sz w:val="20"/>
                <w:szCs w:val="20"/>
                <w:color w:val="auto"/>
              </w:rPr>
            </w:pPr>
            <w:r>
              <w:rPr>
                <w:rFonts w:ascii="Arial" w:cs="Arial" w:eastAsia="Arial" w:hAnsi="Arial"/>
                <w:sz w:val="16"/>
                <w:szCs w:val="16"/>
                <w:color w:val="auto"/>
              </w:rPr>
              <w:t>$  93,953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60"/>
              <w:spacing w:after="0"/>
              <w:rPr>
                <w:sz w:val="20"/>
                <w:szCs w:val="20"/>
                <w:color w:val="auto"/>
              </w:rPr>
            </w:pPr>
            <w:r>
              <w:rPr>
                <w:rFonts w:ascii="Arial" w:cs="Arial" w:eastAsia="Arial" w:hAnsi="Arial"/>
                <w:sz w:val="16"/>
                <w:szCs w:val="16"/>
                <w:color w:val="auto"/>
              </w:rPr>
              <w:t>$353,389</w:t>
            </w:r>
          </w:p>
        </w:tc>
        <w:tc>
          <w:tcPr>
            <w:tcW w:w="40" w:type="dxa"/>
            <w:vAlign w:val="bottom"/>
            <w:tcBorders>
              <w:right w:val="single" w:sz="8" w:color="808080"/>
            </w:tcBorders>
          </w:tcPr>
          <w:p>
            <w:pPr>
              <w:spacing w:after="0"/>
              <w:rPr>
                <w:sz w:val="19"/>
                <w:szCs w:val="19"/>
                <w:color w:val="auto"/>
              </w:rPr>
            </w:pPr>
          </w:p>
        </w:tc>
      </w:tr>
      <w:tr>
        <w:trPr>
          <w:trHeight w:val="226"/>
        </w:trPr>
        <w:tc>
          <w:tcPr>
            <w:tcW w:w="3440" w:type="dxa"/>
            <w:vAlign w:val="bottom"/>
            <w:tcBorders>
              <w:left w:val="single" w:sz="8" w:color="808080"/>
              <w:bottom w:val="single" w:sz="8" w:color="auto"/>
            </w:tcBorders>
            <w:shd w:val="clear" w:color="auto" w:fill="B6DDE8"/>
          </w:tcPr>
          <w:p>
            <w:pPr>
              <w:ind w:left="20"/>
              <w:spacing w:after="0"/>
              <w:rPr>
                <w:sz w:val="20"/>
                <w:szCs w:val="20"/>
                <w:color w:val="auto"/>
              </w:rPr>
            </w:pPr>
            <w:r>
              <w:rPr>
                <w:rFonts w:ascii="Arial" w:cs="Arial" w:eastAsia="Arial" w:hAnsi="Arial"/>
                <w:sz w:val="16"/>
                <w:szCs w:val="16"/>
                <w:color w:val="auto"/>
              </w:rPr>
              <w:t>Year ended December 31, 2010</w:t>
            </w:r>
          </w:p>
        </w:tc>
        <w:tc>
          <w:tcPr>
            <w:tcW w:w="780" w:type="dxa"/>
            <w:vAlign w:val="bottom"/>
            <w:tcBorders>
              <w:bottom w:val="single" w:sz="8" w:color="auto"/>
            </w:tcBorders>
            <w:shd w:val="clear" w:color="auto" w:fill="B6DDE8"/>
          </w:tcPr>
          <w:p>
            <w:pPr>
              <w:jc w:val="right"/>
              <w:ind w:right="20"/>
              <w:spacing w:after="0"/>
              <w:rPr>
                <w:sz w:val="20"/>
                <w:szCs w:val="20"/>
                <w:color w:val="auto"/>
              </w:rPr>
            </w:pPr>
            <w:r>
              <w:rPr>
                <w:rFonts w:ascii="Arial" w:cs="Arial" w:eastAsia="Arial" w:hAnsi="Arial"/>
                <w:sz w:val="16"/>
                <w:szCs w:val="16"/>
                <w:color w:val="auto"/>
              </w:rPr>
              <w:t>225,000</w:t>
            </w:r>
          </w:p>
        </w:tc>
        <w:tc>
          <w:tcPr>
            <w:tcW w:w="860" w:type="dxa"/>
            <w:vAlign w:val="bottom"/>
            <w:tcBorders>
              <w:bottom w:val="single" w:sz="8" w:color="auto"/>
            </w:tcBorders>
            <w:shd w:val="clear" w:color="auto" w:fill="B6DDE8"/>
          </w:tcPr>
          <w:p>
            <w:pPr>
              <w:jc w:val="right"/>
              <w:ind w:right="141"/>
              <w:spacing w:after="0"/>
              <w:rPr>
                <w:sz w:val="20"/>
                <w:szCs w:val="20"/>
                <w:color w:val="auto"/>
              </w:rPr>
            </w:pPr>
            <w:r>
              <w:rPr>
                <w:rFonts w:ascii="Arial" w:cs="Arial" w:eastAsia="Arial" w:hAnsi="Arial"/>
                <w:sz w:val="16"/>
                <w:szCs w:val="16"/>
                <w:color w:val="auto"/>
              </w:rPr>
              <w:t>12,400</w:t>
            </w:r>
          </w:p>
        </w:tc>
        <w:tc>
          <w:tcPr>
            <w:tcW w:w="1180" w:type="dxa"/>
            <w:vAlign w:val="bottom"/>
            <w:tcBorders>
              <w:bottom w:val="single" w:sz="8" w:color="auto"/>
            </w:tcBorders>
            <w:shd w:val="clear" w:color="auto" w:fill="B6DDE8"/>
          </w:tcPr>
          <w:p>
            <w:pPr>
              <w:jc w:val="right"/>
              <w:ind w:right="321"/>
              <w:spacing w:after="0"/>
              <w:rPr>
                <w:sz w:val="20"/>
                <w:szCs w:val="20"/>
                <w:color w:val="auto"/>
              </w:rPr>
            </w:pPr>
            <w:r>
              <w:rPr>
                <w:rFonts w:ascii="Arial" w:cs="Arial" w:eastAsia="Arial" w:hAnsi="Arial"/>
                <w:sz w:val="16"/>
                <w:szCs w:val="16"/>
                <w:color w:val="auto"/>
              </w:rPr>
              <w:t>73,523</w:t>
            </w:r>
          </w:p>
        </w:tc>
        <w:tc>
          <w:tcPr>
            <w:tcW w:w="260" w:type="dxa"/>
            <w:vAlign w:val="bottom"/>
            <w:tcBorders>
              <w:bottom w:val="single" w:sz="8" w:color="auto"/>
            </w:tcBorders>
            <w:shd w:val="clear" w:color="auto" w:fill="B6DDE8"/>
          </w:tcPr>
          <w:p>
            <w:pPr>
              <w:spacing w:after="0"/>
              <w:rPr>
                <w:sz w:val="19"/>
                <w:szCs w:val="19"/>
                <w:color w:val="auto"/>
              </w:rPr>
            </w:pPr>
          </w:p>
        </w:tc>
        <w:tc>
          <w:tcPr>
            <w:tcW w:w="700" w:type="dxa"/>
            <w:vAlign w:val="bottom"/>
            <w:tcBorders>
              <w:bottom w:val="single" w:sz="8" w:color="auto"/>
            </w:tcBorders>
            <w:shd w:val="clear" w:color="auto" w:fill="B6DDE8"/>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B6DDE8"/>
          </w:tcPr>
          <w:p>
            <w:pPr>
              <w:jc w:val="right"/>
              <w:ind w:right="160"/>
              <w:spacing w:after="0"/>
              <w:rPr>
                <w:sz w:val="20"/>
                <w:szCs w:val="20"/>
                <w:color w:val="auto"/>
              </w:rPr>
            </w:pPr>
            <w:r>
              <w:rPr>
                <w:rFonts w:ascii="Arial" w:cs="Arial" w:eastAsia="Arial" w:hAnsi="Arial"/>
                <w:sz w:val="16"/>
                <w:szCs w:val="16"/>
                <w:color w:val="auto"/>
              </w:rPr>
              <w:t>310,923</w:t>
            </w:r>
          </w:p>
        </w:tc>
        <w:tc>
          <w:tcPr>
            <w:tcW w:w="40" w:type="dxa"/>
            <w:vAlign w:val="bottom"/>
            <w:tcBorders>
              <w:right w:val="single" w:sz="8" w:color="808080"/>
            </w:tcBorders>
          </w:tcPr>
          <w:p>
            <w:pPr>
              <w:spacing w:after="0"/>
              <w:rPr>
                <w:sz w:val="19"/>
                <w:szCs w:val="19"/>
                <w:color w:val="auto"/>
              </w:rPr>
            </w:pPr>
          </w:p>
        </w:tc>
      </w:tr>
      <w:tr>
        <w:trPr>
          <w:trHeight w:val="220"/>
        </w:trPr>
        <w:tc>
          <w:tcPr>
            <w:tcW w:w="3440" w:type="dxa"/>
            <w:vAlign w:val="bottom"/>
            <w:tcBorders>
              <w:left w:val="single" w:sz="8" w:color="808080"/>
            </w:tcBorders>
          </w:tcPr>
          <w:p>
            <w:pPr>
              <w:ind w:left="20"/>
              <w:spacing w:after="0"/>
              <w:rPr>
                <w:sz w:val="20"/>
                <w:szCs w:val="20"/>
                <w:color w:val="auto"/>
              </w:rPr>
            </w:pPr>
            <w:r>
              <w:rPr>
                <w:rFonts w:ascii="Arial" w:cs="Arial" w:eastAsia="Arial" w:hAnsi="Arial"/>
                <w:sz w:val="16"/>
                <w:szCs w:val="16"/>
                <w:b w:val="1"/>
                <w:bCs w:val="1"/>
                <w:color w:val="auto"/>
              </w:rPr>
              <w:t xml:space="preserve">Tracy A. Bathurst </w:t>
            </w:r>
            <w:r>
              <w:rPr>
                <w:rFonts w:ascii="Arial" w:cs="Arial" w:eastAsia="Arial" w:hAnsi="Arial"/>
                <w:sz w:val="16"/>
                <w:szCs w:val="16"/>
                <w:color w:val="auto"/>
              </w:rPr>
              <w:t>(4) - Chief Strategy Officer</w:t>
            </w: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Borders>
              <w:right w:val="single" w:sz="8" w:color="808080"/>
            </w:tcBorders>
          </w:tcPr>
          <w:p>
            <w:pPr>
              <w:spacing w:after="0"/>
              <w:rPr>
                <w:sz w:val="19"/>
                <w:szCs w:val="19"/>
                <w:color w:val="auto"/>
              </w:rPr>
            </w:pPr>
          </w:p>
        </w:tc>
      </w:tr>
      <w:tr>
        <w:trPr>
          <w:trHeight w:val="239"/>
        </w:trPr>
        <w:tc>
          <w:tcPr>
            <w:tcW w:w="344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Year ended December 31, 2011</w:t>
            </w:r>
          </w:p>
        </w:tc>
        <w:tc>
          <w:tcPr>
            <w:tcW w:w="780" w:type="dxa"/>
            <w:vAlign w:val="bottom"/>
            <w:shd w:val="clear" w:color="auto" w:fill="B6DDE8"/>
          </w:tcPr>
          <w:p>
            <w:pPr>
              <w:jc w:val="right"/>
              <w:ind w:right="20"/>
              <w:spacing w:after="0"/>
              <w:rPr>
                <w:sz w:val="20"/>
                <w:szCs w:val="20"/>
                <w:color w:val="auto"/>
              </w:rPr>
            </w:pPr>
            <w:r>
              <w:rPr>
                <w:rFonts w:ascii="Arial" w:cs="Arial" w:eastAsia="Arial" w:hAnsi="Arial"/>
                <w:sz w:val="16"/>
                <w:szCs w:val="16"/>
                <w:color w:val="auto"/>
              </w:rPr>
              <w:t>35,769</w:t>
            </w:r>
          </w:p>
        </w:tc>
        <w:tc>
          <w:tcPr>
            <w:tcW w:w="860" w:type="dxa"/>
            <w:vAlign w:val="bottom"/>
            <w:shd w:val="clear" w:color="auto" w:fill="B6DDE8"/>
          </w:tcPr>
          <w:p>
            <w:pPr>
              <w:jc w:val="right"/>
              <w:ind w:right="141"/>
              <w:spacing w:after="0"/>
              <w:rPr>
                <w:sz w:val="20"/>
                <w:szCs w:val="20"/>
                <w:color w:val="auto"/>
              </w:rPr>
            </w:pPr>
            <w:r>
              <w:rPr>
                <w:rFonts w:ascii="Arial" w:cs="Arial" w:eastAsia="Arial" w:hAnsi="Arial"/>
                <w:sz w:val="16"/>
                <w:szCs w:val="16"/>
                <w:color w:val="auto"/>
              </w:rPr>
              <w:t>-</w:t>
            </w:r>
          </w:p>
        </w:tc>
        <w:tc>
          <w:tcPr>
            <w:tcW w:w="1180" w:type="dxa"/>
            <w:vAlign w:val="bottom"/>
            <w:shd w:val="clear" w:color="auto" w:fill="B6DDE8"/>
          </w:tcPr>
          <w:p>
            <w:pPr>
              <w:jc w:val="right"/>
              <w:ind w:right="321"/>
              <w:spacing w:after="0"/>
              <w:rPr>
                <w:sz w:val="20"/>
                <w:szCs w:val="20"/>
                <w:color w:val="auto"/>
              </w:rPr>
            </w:pPr>
            <w:r>
              <w:rPr>
                <w:rFonts w:ascii="Arial" w:cs="Arial" w:eastAsia="Arial" w:hAnsi="Arial"/>
                <w:sz w:val="16"/>
                <w:szCs w:val="16"/>
                <w:color w:val="auto"/>
              </w:rPr>
              <w:t>22,900</w:t>
            </w:r>
          </w:p>
        </w:tc>
        <w:tc>
          <w:tcPr>
            <w:tcW w:w="260" w:type="dxa"/>
            <w:vAlign w:val="bottom"/>
            <w:shd w:val="clear" w:color="auto" w:fill="B6DDE8"/>
          </w:tcPr>
          <w:p>
            <w:pPr>
              <w:spacing w:after="0"/>
              <w:rPr>
                <w:sz w:val="20"/>
                <w:szCs w:val="20"/>
                <w:color w:val="auto"/>
              </w:rPr>
            </w:pPr>
          </w:p>
        </w:tc>
        <w:tc>
          <w:tcPr>
            <w:tcW w:w="700" w:type="dxa"/>
            <w:vAlign w:val="bottom"/>
            <w:shd w:val="clear" w:color="auto" w:fill="B6DDE8"/>
          </w:tcPr>
          <w:p>
            <w:pPr>
              <w:jc w:val="right"/>
              <w:ind w:right="100"/>
              <w:spacing w:after="0"/>
              <w:rPr>
                <w:sz w:val="20"/>
                <w:szCs w:val="20"/>
                <w:color w:val="auto"/>
              </w:rPr>
            </w:pPr>
            <w:r>
              <w:rPr>
                <w:rFonts w:ascii="Arial" w:cs="Arial" w:eastAsia="Arial" w:hAnsi="Arial"/>
                <w:sz w:val="16"/>
                <w:szCs w:val="16"/>
                <w:color w:val="auto"/>
              </w:rPr>
              <w:t>300</w:t>
            </w:r>
          </w:p>
        </w:tc>
        <w:tc>
          <w:tcPr>
            <w:tcW w:w="1100" w:type="dxa"/>
            <w:vAlign w:val="bottom"/>
            <w:shd w:val="clear" w:color="auto" w:fill="B6DDE8"/>
          </w:tcPr>
          <w:p>
            <w:pPr>
              <w:jc w:val="right"/>
              <w:ind w:right="160"/>
              <w:spacing w:after="0"/>
              <w:rPr>
                <w:sz w:val="20"/>
                <w:szCs w:val="20"/>
                <w:color w:val="auto"/>
              </w:rPr>
            </w:pPr>
            <w:r>
              <w:rPr>
                <w:rFonts w:ascii="Arial" w:cs="Arial" w:eastAsia="Arial" w:hAnsi="Arial"/>
                <w:sz w:val="16"/>
                <w:szCs w:val="16"/>
                <w:color w:val="auto"/>
              </w:rPr>
              <w:t>58,969</w:t>
            </w:r>
          </w:p>
        </w:tc>
        <w:tc>
          <w:tcPr>
            <w:tcW w:w="40" w:type="dxa"/>
            <w:vAlign w:val="bottom"/>
            <w:tcBorders>
              <w:right w:val="single" w:sz="8" w:color="808080"/>
            </w:tcBorders>
          </w:tcPr>
          <w:p>
            <w:pPr>
              <w:spacing w:after="0"/>
              <w:rPr>
                <w:sz w:val="20"/>
                <w:szCs w:val="20"/>
                <w:color w:val="auto"/>
              </w:rPr>
            </w:pPr>
          </w:p>
        </w:tc>
      </w:tr>
      <w:tr>
        <w:trPr>
          <w:trHeight w:val="223"/>
        </w:trPr>
        <w:tc>
          <w:tcPr>
            <w:tcW w:w="3440" w:type="dxa"/>
            <w:vAlign w:val="bottom"/>
            <w:tcBorders>
              <w:left w:val="single" w:sz="8" w:color="808080"/>
              <w:bottom w:val="single" w:sz="8" w:color="auto"/>
            </w:tcBorders>
          </w:tcPr>
          <w:p>
            <w:pPr>
              <w:ind w:left="20"/>
              <w:spacing w:after="0"/>
              <w:rPr>
                <w:sz w:val="20"/>
                <w:szCs w:val="20"/>
                <w:color w:val="auto"/>
              </w:rPr>
            </w:pPr>
            <w:r>
              <w:rPr>
                <w:rFonts w:ascii="Arial" w:cs="Arial" w:eastAsia="Arial" w:hAnsi="Arial"/>
                <w:sz w:val="16"/>
                <w:szCs w:val="16"/>
                <w:color w:val="auto"/>
              </w:rPr>
              <w:t>Year ended December 31, 2010</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150,000</w:t>
            </w:r>
          </w:p>
        </w:tc>
        <w:tc>
          <w:tcPr>
            <w:tcW w:w="8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12,400</w:t>
            </w: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47,862</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2,425</w:t>
            </w:r>
          </w:p>
        </w:tc>
        <w:tc>
          <w:tcPr>
            <w:tcW w:w="11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212,687</w:t>
            </w:r>
          </w:p>
        </w:tc>
        <w:tc>
          <w:tcPr>
            <w:tcW w:w="40" w:type="dxa"/>
            <w:vAlign w:val="bottom"/>
            <w:tcBorders>
              <w:right w:val="single" w:sz="8" w:color="808080"/>
            </w:tcBorders>
          </w:tcPr>
          <w:p>
            <w:pPr>
              <w:spacing w:after="0"/>
              <w:rPr>
                <w:sz w:val="19"/>
                <w:szCs w:val="19"/>
                <w:color w:val="auto"/>
              </w:rPr>
            </w:pPr>
          </w:p>
        </w:tc>
      </w:tr>
      <w:tr>
        <w:trPr>
          <w:trHeight w:val="206"/>
        </w:trPr>
        <w:tc>
          <w:tcPr>
            <w:tcW w:w="344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b w:val="1"/>
                <w:bCs w:val="1"/>
                <w:color w:val="auto"/>
                <w:w w:val="95"/>
              </w:rPr>
              <w:t xml:space="preserve">Narsi Narayanan </w:t>
            </w:r>
            <w:r>
              <w:rPr>
                <w:rFonts w:ascii="Arial" w:cs="Arial" w:eastAsia="Arial" w:hAnsi="Arial"/>
                <w:sz w:val="16"/>
                <w:szCs w:val="16"/>
                <w:color w:val="auto"/>
                <w:w w:val="95"/>
              </w:rPr>
              <w:t>– Vice President of Finance and</w:t>
            </w:r>
          </w:p>
        </w:tc>
        <w:tc>
          <w:tcPr>
            <w:tcW w:w="780" w:type="dxa"/>
            <w:vAlign w:val="bottom"/>
            <w:shd w:val="clear" w:color="auto" w:fill="B6DDE8"/>
          </w:tcPr>
          <w:p>
            <w:pPr>
              <w:spacing w:after="0"/>
              <w:rPr>
                <w:sz w:val="17"/>
                <w:szCs w:val="17"/>
                <w:color w:val="auto"/>
              </w:rPr>
            </w:pPr>
          </w:p>
        </w:tc>
        <w:tc>
          <w:tcPr>
            <w:tcW w:w="860" w:type="dxa"/>
            <w:vAlign w:val="bottom"/>
            <w:shd w:val="clear" w:color="auto" w:fill="B6DDE8"/>
          </w:tcPr>
          <w:p>
            <w:pPr>
              <w:spacing w:after="0"/>
              <w:rPr>
                <w:sz w:val="17"/>
                <w:szCs w:val="17"/>
                <w:color w:val="auto"/>
              </w:rPr>
            </w:pPr>
          </w:p>
        </w:tc>
        <w:tc>
          <w:tcPr>
            <w:tcW w:w="1180" w:type="dxa"/>
            <w:vAlign w:val="bottom"/>
            <w:shd w:val="clear" w:color="auto" w:fill="B6DDE8"/>
          </w:tcPr>
          <w:p>
            <w:pPr>
              <w:spacing w:after="0"/>
              <w:rPr>
                <w:sz w:val="17"/>
                <w:szCs w:val="17"/>
                <w:color w:val="auto"/>
              </w:rPr>
            </w:pPr>
          </w:p>
        </w:tc>
        <w:tc>
          <w:tcPr>
            <w:tcW w:w="260" w:type="dxa"/>
            <w:vAlign w:val="bottom"/>
            <w:shd w:val="clear" w:color="auto" w:fill="B6DDE8"/>
          </w:tcPr>
          <w:p>
            <w:pPr>
              <w:spacing w:after="0"/>
              <w:rPr>
                <w:sz w:val="17"/>
                <w:szCs w:val="17"/>
                <w:color w:val="auto"/>
              </w:rPr>
            </w:pPr>
          </w:p>
        </w:tc>
        <w:tc>
          <w:tcPr>
            <w:tcW w:w="700" w:type="dxa"/>
            <w:vAlign w:val="bottom"/>
            <w:shd w:val="clear" w:color="auto" w:fill="B6DDE8"/>
          </w:tcPr>
          <w:p>
            <w:pPr>
              <w:spacing w:after="0"/>
              <w:rPr>
                <w:sz w:val="17"/>
                <w:szCs w:val="17"/>
                <w:color w:val="auto"/>
              </w:rPr>
            </w:pPr>
          </w:p>
        </w:tc>
        <w:tc>
          <w:tcPr>
            <w:tcW w:w="1100" w:type="dxa"/>
            <w:vAlign w:val="bottom"/>
            <w:shd w:val="clear" w:color="auto" w:fill="B6DDE8"/>
          </w:tcPr>
          <w:p>
            <w:pPr>
              <w:spacing w:after="0"/>
              <w:rPr>
                <w:sz w:val="17"/>
                <w:szCs w:val="17"/>
                <w:color w:val="auto"/>
              </w:rPr>
            </w:pPr>
          </w:p>
        </w:tc>
        <w:tc>
          <w:tcPr>
            <w:tcW w:w="40" w:type="dxa"/>
            <w:vAlign w:val="bottom"/>
            <w:tcBorders>
              <w:right w:val="single" w:sz="8" w:color="808080"/>
            </w:tcBorders>
          </w:tcPr>
          <w:p>
            <w:pPr>
              <w:spacing w:after="0"/>
              <w:rPr>
                <w:sz w:val="17"/>
                <w:szCs w:val="17"/>
                <w:color w:val="auto"/>
              </w:rPr>
            </w:pPr>
          </w:p>
        </w:tc>
      </w:tr>
      <w:tr>
        <w:trPr>
          <w:trHeight w:val="226"/>
        </w:trPr>
        <w:tc>
          <w:tcPr>
            <w:tcW w:w="344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Corporate Secretary</w:t>
            </w:r>
          </w:p>
        </w:tc>
        <w:tc>
          <w:tcPr>
            <w:tcW w:w="780" w:type="dxa"/>
            <w:vAlign w:val="bottom"/>
            <w:shd w:val="clear" w:color="auto" w:fill="B6DDE8"/>
          </w:tcPr>
          <w:p>
            <w:pPr>
              <w:spacing w:after="0"/>
              <w:rPr>
                <w:sz w:val="19"/>
                <w:szCs w:val="19"/>
                <w:color w:val="auto"/>
              </w:rPr>
            </w:pPr>
          </w:p>
        </w:tc>
        <w:tc>
          <w:tcPr>
            <w:tcW w:w="860" w:type="dxa"/>
            <w:vAlign w:val="bottom"/>
            <w:shd w:val="clear" w:color="auto" w:fill="B6DDE8"/>
          </w:tcPr>
          <w:p>
            <w:pPr>
              <w:spacing w:after="0"/>
              <w:rPr>
                <w:sz w:val="19"/>
                <w:szCs w:val="19"/>
                <w:color w:val="auto"/>
              </w:rPr>
            </w:pPr>
          </w:p>
        </w:tc>
        <w:tc>
          <w:tcPr>
            <w:tcW w:w="1180" w:type="dxa"/>
            <w:vAlign w:val="bottom"/>
            <w:shd w:val="clear" w:color="auto" w:fill="B6DDE8"/>
          </w:tcPr>
          <w:p>
            <w:pPr>
              <w:spacing w:after="0"/>
              <w:rPr>
                <w:sz w:val="19"/>
                <w:szCs w:val="19"/>
                <w:color w:val="auto"/>
              </w:rPr>
            </w:pPr>
          </w:p>
        </w:tc>
        <w:tc>
          <w:tcPr>
            <w:tcW w:w="260" w:type="dxa"/>
            <w:vAlign w:val="bottom"/>
            <w:shd w:val="clear" w:color="auto" w:fill="B6DDE8"/>
          </w:tcPr>
          <w:p>
            <w:pPr>
              <w:spacing w:after="0"/>
              <w:rPr>
                <w:sz w:val="19"/>
                <w:szCs w:val="19"/>
                <w:color w:val="auto"/>
              </w:rPr>
            </w:pPr>
          </w:p>
        </w:tc>
        <w:tc>
          <w:tcPr>
            <w:tcW w:w="700" w:type="dxa"/>
            <w:vAlign w:val="bottom"/>
            <w:shd w:val="clear" w:color="auto" w:fill="B6DDE8"/>
          </w:tcPr>
          <w:p>
            <w:pPr>
              <w:spacing w:after="0"/>
              <w:rPr>
                <w:sz w:val="19"/>
                <w:szCs w:val="19"/>
                <w:color w:val="auto"/>
              </w:rPr>
            </w:pPr>
          </w:p>
        </w:tc>
        <w:tc>
          <w:tcPr>
            <w:tcW w:w="1100" w:type="dxa"/>
            <w:vAlign w:val="bottom"/>
            <w:shd w:val="clear" w:color="auto" w:fill="B6DDE8"/>
          </w:tcPr>
          <w:p>
            <w:pPr>
              <w:spacing w:after="0"/>
              <w:rPr>
                <w:sz w:val="19"/>
                <w:szCs w:val="19"/>
                <w:color w:val="auto"/>
              </w:rPr>
            </w:pPr>
          </w:p>
        </w:tc>
        <w:tc>
          <w:tcPr>
            <w:tcW w:w="40" w:type="dxa"/>
            <w:vAlign w:val="bottom"/>
            <w:tcBorders>
              <w:right w:val="single" w:sz="8" w:color="808080"/>
            </w:tcBorders>
          </w:tcPr>
          <w:p>
            <w:pPr>
              <w:spacing w:after="0"/>
              <w:rPr>
                <w:sz w:val="19"/>
                <w:szCs w:val="19"/>
                <w:color w:val="auto"/>
              </w:rPr>
            </w:pPr>
          </w:p>
        </w:tc>
      </w:tr>
      <w:tr>
        <w:trPr>
          <w:trHeight w:val="227"/>
        </w:trPr>
        <w:tc>
          <w:tcPr>
            <w:tcW w:w="3440" w:type="dxa"/>
            <w:vAlign w:val="bottom"/>
            <w:tcBorders>
              <w:left w:val="single" w:sz="8" w:color="808080"/>
            </w:tcBorders>
          </w:tcPr>
          <w:p>
            <w:pPr>
              <w:ind w:left="20"/>
              <w:spacing w:after="0"/>
              <w:rPr>
                <w:sz w:val="20"/>
                <w:szCs w:val="20"/>
                <w:color w:val="auto"/>
              </w:rPr>
            </w:pPr>
            <w:r>
              <w:rPr>
                <w:rFonts w:ascii="Arial" w:cs="Arial" w:eastAsia="Arial" w:hAnsi="Arial"/>
                <w:sz w:val="16"/>
                <w:szCs w:val="16"/>
                <w:color w:val="auto"/>
              </w:rPr>
              <w:t>Year ended December 31, 2011</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135,000</w:t>
            </w:r>
          </w:p>
        </w:tc>
        <w:tc>
          <w:tcPr>
            <w:tcW w:w="860" w:type="dxa"/>
            <w:vAlign w:val="bottom"/>
          </w:tcPr>
          <w:p>
            <w:pPr>
              <w:jc w:val="right"/>
              <w:ind w:right="141"/>
              <w:spacing w:after="0"/>
              <w:rPr>
                <w:sz w:val="20"/>
                <w:szCs w:val="20"/>
                <w:color w:val="auto"/>
              </w:rPr>
            </w:pPr>
            <w:r>
              <w:rPr>
                <w:rFonts w:ascii="Arial" w:cs="Arial" w:eastAsia="Arial" w:hAnsi="Arial"/>
                <w:sz w:val="16"/>
                <w:szCs w:val="16"/>
                <w:color w:val="auto"/>
              </w:rPr>
              <w:t>29,436</w:t>
            </w:r>
          </w:p>
        </w:tc>
        <w:tc>
          <w:tcPr>
            <w:tcW w:w="1180" w:type="dxa"/>
            <w:vAlign w:val="bottom"/>
          </w:tcPr>
          <w:p>
            <w:pPr>
              <w:jc w:val="right"/>
              <w:ind w:right="321"/>
              <w:spacing w:after="0"/>
              <w:rPr>
                <w:sz w:val="20"/>
                <w:szCs w:val="20"/>
                <w:color w:val="auto"/>
              </w:rPr>
            </w:pPr>
            <w:r>
              <w:rPr>
                <w:rFonts w:ascii="Arial" w:cs="Arial" w:eastAsia="Arial" w:hAnsi="Arial"/>
                <w:sz w:val="16"/>
                <w:szCs w:val="16"/>
                <w:color w:val="auto"/>
              </w:rPr>
              <w:t>52,090</w:t>
            </w:r>
          </w:p>
        </w:tc>
        <w:tc>
          <w:tcPr>
            <w:tcW w:w="260" w:type="dxa"/>
            <w:vAlign w:val="bottom"/>
          </w:tcPr>
          <w:p>
            <w:pPr>
              <w:spacing w:after="0"/>
              <w:rPr>
                <w:sz w:val="19"/>
                <w:szCs w:val="19"/>
                <w:color w:val="auto"/>
              </w:rPr>
            </w:pPr>
          </w:p>
        </w:tc>
        <w:tc>
          <w:tcPr>
            <w:tcW w:w="7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60"/>
              <w:spacing w:after="0"/>
              <w:rPr>
                <w:sz w:val="20"/>
                <w:szCs w:val="20"/>
                <w:color w:val="auto"/>
              </w:rPr>
            </w:pPr>
            <w:r>
              <w:rPr>
                <w:rFonts w:ascii="Arial" w:cs="Arial" w:eastAsia="Arial" w:hAnsi="Arial"/>
                <w:sz w:val="16"/>
                <w:szCs w:val="16"/>
                <w:color w:val="auto"/>
              </w:rPr>
              <w:t>216,526</w:t>
            </w:r>
          </w:p>
        </w:tc>
        <w:tc>
          <w:tcPr>
            <w:tcW w:w="40" w:type="dxa"/>
            <w:vAlign w:val="bottom"/>
            <w:tcBorders>
              <w:right w:val="single" w:sz="8" w:color="808080"/>
            </w:tcBorders>
          </w:tcPr>
          <w:p>
            <w:pPr>
              <w:spacing w:after="0"/>
              <w:rPr>
                <w:sz w:val="19"/>
                <w:szCs w:val="19"/>
                <w:color w:val="auto"/>
              </w:rPr>
            </w:pPr>
          </w:p>
        </w:tc>
      </w:tr>
      <w:tr>
        <w:trPr>
          <w:trHeight w:val="226"/>
        </w:trPr>
        <w:tc>
          <w:tcPr>
            <w:tcW w:w="3440" w:type="dxa"/>
            <w:vAlign w:val="bottom"/>
            <w:tcBorders>
              <w:left w:val="single" w:sz="8" w:color="808080"/>
              <w:bottom w:val="single" w:sz="8" w:color="auto"/>
            </w:tcBorders>
            <w:shd w:val="clear" w:color="auto" w:fill="B6DDE8"/>
          </w:tcPr>
          <w:p>
            <w:pPr>
              <w:ind w:left="20"/>
              <w:spacing w:after="0"/>
              <w:rPr>
                <w:sz w:val="20"/>
                <w:szCs w:val="20"/>
                <w:color w:val="auto"/>
              </w:rPr>
            </w:pPr>
            <w:r>
              <w:rPr>
                <w:rFonts w:ascii="Arial" w:cs="Arial" w:eastAsia="Arial" w:hAnsi="Arial"/>
                <w:sz w:val="16"/>
                <w:szCs w:val="16"/>
                <w:color w:val="auto"/>
              </w:rPr>
              <w:t>Year ended December 31, 2010</w:t>
            </w:r>
          </w:p>
        </w:tc>
        <w:tc>
          <w:tcPr>
            <w:tcW w:w="780" w:type="dxa"/>
            <w:vAlign w:val="bottom"/>
            <w:tcBorders>
              <w:bottom w:val="single" w:sz="8" w:color="auto"/>
            </w:tcBorders>
            <w:shd w:val="clear" w:color="auto" w:fill="B6DDE8"/>
          </w:tcPr>
          <w:p>
            <w:pPr>
              <w:jc w:val="right"/>
              <w:ind w:right="20"/>
              <w:spacing w:after="0"/>
              <w:rPr>
                <w:sz w:val="20"/>
                <w:szCs w:val="20"/>
                <w:color w:val="auto"/>
              </w:rPr>
            </w:pPr>
            <w:r>
              <w:rPr>
                <w:rFonts w:ascii="Arial" w:cs="Arial" w:eastAsia="Arial" w:hAnsi="Arial"/>
                <w:sz w:val="16"/>
                <w:szCs w:val="16"/>
                <w:color w:val="auto"/>
              </w:rPr>
              <w:t>122,500</w:t>
            </w:r>
          </w:p>
        </w:tc>
        <w:tc>
          <w:tcPr>
            <w:tcW w:w="860" w:type="dxa"/>
            <w:vAlign w:val="bottom"/>
            <w:tcBorders>
              <w:bottom w:val="single" w:sz="8" w:color="auto"/>
            </w:tcBorders>
            <w:shd w:val="clear" w:color="auto" w:fill="B6DDE8"/>
          </w:tcPr>
          <w:p>
            <w:pPr>
              <w:jc w:val="right"/>
              <w:ind w:right="141"/>
              <w:spacing w:after="0"/>
              <w:rPr>
                <w:sz w:val="20"/>
                <w:szCs w:val="20"/>
                <w:color w:val="auto"/>
              </w:rPr>
            </w:pPr>
            <w:r>
              <w:rPr>
                <w:rFonts w:ascii="Arial" w:cs="Arial" w:eastAsia="Arial" w:hAnsi="Arial"/>
                <w:sz w:val="16"/>
                <w:szCs w:val="16"/>
                <w:color w:val="auto"/>
              </w:rPr>
              <w:t>12,400</w:t>
            </w:r>
          </w:p>
        </w:tc>
        <w:tc>
          <w:tcPr>
            <w:tcW w:w="1180" w:type="dxa"/>
            <w:vAlign w:val="bottom"/>
            <w:tcBorders>
              <w:bottom w:val="single" w:sz="8" w:color="auto"/>
            </w:tcBorders>
            <w:shd w:val="clear" w:color="auto" w:fill="B6DDE8"/>
          </w:tcPr>
          <w:p>
            <w:pPr>
              <w:jc w:val="right"/>
              <w:ind w:right="321"/>
              <w:spacing w:after="0"/>
              <w:rPr>
                <w:sz w:val="20"/>
                <w:szCs w:val="20"/>
                <w:color w:val="auto"/>
              </w:rPr>
            </w:pPr>
            <w:r>
              <w:rPr>
                <w:rFonts w:ascii="Arial" w:cs="Arial" w:eastAsia="Arial" w:hAnsi="Arial"/>
                <w:sz w:val="16"/>
                <w:szCs w:val="16"/>
                <w:color w:val="auto"/>
              </w:rPr>
              <w:t>43,728</w:t>
            </w:r>
          </w:p>
        </w:tc>
        <w:tc>
          <w:tcPr>
            <w:tcW w:w="260" w:type="dxa"/>
            <w:vAlign w:val="bottom"/>
            <w:tcBorders>
              <w:bottom w:val="single" w:sz="8" w:color="auto"/>
            </w:tcBorders>
            <w:shd w:val="clear" w:color="auto" w:fill="B6DDE8"/>
          </w:tcPr>
          <w:p>
            <w:pPr>
              <w:spacing w:after="0"/>
              <w:rPr>
                <w:sz w:val="19"/>
                <w:szCs w:val="19"/>
                <w:color w:val="auto"/>
              </w:rPr>
            </w:pPr>
          </w:p>
        </w:tc>
        <w:tc>
          <w:tcPr>
            <w:tcW w:w="700" w:type="dxa"/>
            <w:vAlign w:val="bottom"/>
            <w:tcBorders>
              <w:bottom w:val="single" w:sz="8" w:color="auto"/>
            </w:tcBorders>
            <w:shd w:val="clear" w:color="auto" w:fill="B6DDE8"/>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B6DDE8"/>
          </w:tcPr>
          <w:p>
            <w:pPr>
              <w:jc w:val="right"/>
              <w:ind w:right="160"/>
              <w:spacing w:after="0"/>
              <w:rPr>
                <w:sz w:val="20"/>
                <w:szCs w:val="20"/>
                <w:color w:val="auto"/>
              </w:rPr>
            </w:pPr>
            <w:r>
              <w:rPr>
                <w:rFonts w:ascii="Arial" w:cs="Arial" w:eastAsia="Arial" w:hAnsi="Arial"/>
                <w:sz w:val="16"/>
                <w:szCs w:val="16"/>
                <w:color w:val="auto"/>
              </w:rPr>
              <w:t>178,628</w:t>
            </w:r>
          </w:p>
        </w:tc>
        <w:tc>
          <w:tcPr>
            <w:tcW w:w="40" w:type="dxa"/>
            <w:vAlign w:val="bottom"/>
            <w:tcBorders>
              <w:right w:val="single" w:sz="8" w:color="808080"/>
            </w:tcBorders>
          </w:tcPr>
          <w:p>
            <w:pPr>
              <w:spacing w:after="0"/>
              <w:rPr>
                <w:sz w:val="19"/>
                <w:szCs w:val="19"/>
                <w:color w:val="auto"/>
              </w:rPr>
            </w:pPr>
          </w:p>
        </w:tc>
      </w:tr>
      <w:tr>
        <w:trPr>
          <w:trHeight w:val="220"/>
        </w:trPr>
        <w:tc>
          <w:tcPr>
            <w:tcW w:w="3440" w:type="dxa"/>
            <w:vAlign w:val="bottom"/>
            <w:tcBorders>
              <w:left w:val="single" w:sz="8" w:color="808080"/>
            </w:tcBorders>
          </w:tcPr>
          <w:p>
            <w:pPr>
              <w:ind w:left="20"/>
              <w:spacing w:after="0"/>
              <w:rPr>
                <w:sz w:val="20"/>
                <w:szCs w:val="20"/>
                <w:color w:val="auto"/>
              </w:rPr>
            </w:pPr>
            <w:r>
              <w:rPr>
                <w:rFonts w:ascii="Arial" w:cs="Arial" w:eastAsia="Arial" w:hAnsi="Arial"/>
                <w:sz w:val="16"/>
                <w:szCs w:val="16"/>
                <w:b w:val="1"/>
                <w:bCs w:val="1"/>
                <w:color w:val="auto"/>
              </w:rPr>
              <w:t xml:space="preserve">Michael Braithwaite </w:t>
            </w:r>
            <w:r>
              <w:rPr>
                <w:rFonts w:ascii="Arial" w:cs="Arial" w:eastAsia="Arial" w:hAnsi="Arial"/>
                <w:sz w:val="16"/>
                <w:szCs w:val="16"/>
                <w:color w:val="auto"/>
              </w:rPr>
              <w:t>– Chief Strategy Officer</w:t>
            </w: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Borders>
              <w:right w:val="single" w:sz="8" w:color="808080"/>
            </w:tcBorders>
          </w:tcPr>
          <w:p>
            <w:pPr>
              <w:spacing w:after="0"/>
              <w:rPr>
                <w:sz w:val="19"/>
                <w:szCs w:val="19"/>
                <w:color w:val="auto"/>
              </w:rPr>
            </w:pPr>
          </w:p>
        </w:tc>
      </w:tr>
      <w:tr>
        <w:trPr>
          <w:trHeight w:val="239"/>
        </w:trPr>
        <w:tc>
          <w:tcPr>
            <w:tcW w:w="344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Year ended December 31, 2011</w:t>
            </w:r>
          </w:p>
        </w:tc>
        <w:tc>
          <w:tcPr>
            <w:tcW w:w="780" w:type="dxa"/>
            <w:vAlign w:val="bottom"/>
            <w:shd w:val="clear" w:color="auto" w:fill="B6DDE8"/>
          </w:tcPr>
          <w:p>
            <w:pPr>
              <w:jc w:val="right"/>
              <w:ind w:right="20"/>
              <w:spacing w:after="0"/>
              <w:rPr>
                <w:sz w:val="20"/>
                <w:szCs w:val="20"/>
                <w:color w:val="auto"/>
              </w:rPr>
            </w:pPr>
            <w:r>
              <w:rPr>
                <w:rFonts w:ascii="Arial" w:cs="Arial" w:eastAsia="Arial" w:hAnsi="Arial"/>
                <w:sz w:val="16"/>
                <w:szCs w:val="16"/>
                <w:color w:val="auto"/>
              </w:rPr>
              <w:t>155,000</w:t>
            </w:r>
          </w:p>
        </w:tc>
        <w:tc>
          <w:tcPr>
            <w:tcW w:w="860" w:type="dxa"/>
            <w:vAlign w:val="bottom"/>
            <w:shd w:val="clear" w:color="auto" w:fill="B6DDE8"/>
          </w:tcPr>
          <w:p>
            <w:pPr>
              <w:jc w:val="right"/>
              <w:ind w:right="141"/>
              <w:spacing w:after="0"/>
              <w:rPr>
                <w:sz w:val="20"/>
                <w:szCs w:val="20"/>
                <w:color w:val="auto"/>
              </w:rPr>
            </w:pPr>
            <w:r>
              <w:rPr>
                <w:rFonts w:ascii="Arial" w:cs="Arial" w:eastAsia="Arial" w:hAnsi="Arial"/>
                <w:sz w:val="16"/>
                <w:szCs w:val="16"/>
                <w:color w:val="auto"/>
              </w:rPr>
              <w:t>29,436</w:t>
            </w:r>
          </w:p>
        </w:tc>
        <w:tc>
          <w:tcPr>
            <w:tcW w:w="1180" w:type="dxa"/>
            <w:vAlign w:val="bottom"/>
            <w:shd w:val="clear" w:color="auto" w:fill="B6DDE8"/>
          </w:tcPr>
          <w:p>
            <w:pPr>
              <w:jc w:val="right"/>
              <w:ind w:right="321"/>
              <w:spacing w:after="0"/>
              <w:rPr>
                <w:sz w:val="20"/>
                <w:szCs w:val="20"/>
                <w:color w:val="auto"/>
              </w:rPr>
            </w:pPr>
            <w:r>
              <w:rPr>
                <w:rFonts w:ascii="Arial" w:cs="Arial" w:eastAsia="Arial" w:hAnsi="Arial"/>
                <w:sz w:val="16"/>
                <w:szCs w:val="16"/>
                <w:color w:val="auto"/>
              </w:rPr>
              <w:t>59,539</w:t>
            </w:r>
          </w:p>
        </w:tc>
        <w:tc>
          <w:tcPr>
            <w:tcW w:w="260" w:type="dxa"/>
            <w:vAlign w:val="bottom"/>
            <w:shd w:val="clear" w:color="auto" w:fill="B6DDE8"/>
          </w:tcPr>
          <w:p>
            <w:pPr>
              <w:spacing w:after="0"/>
              <w:rPr>
                <w:sz w:val="20"/>
                <w:szCs w:val="20"/>
                <w:color w:val="auto"/>
              </w:rPr>
            </w:pPr>
          </w:p>
        </w:tc>
        <w:tc>
          <w:tcPr>
            <w:tcW w:w="700" w:type="dxa"/>
            <w:vAlign w:val="bottom"/>
            <w:shd w:val="clear" w:color="auto" w:fill="B6DDE8"/>
          </w:tcPr>
          <w:p>
            <w:pPr>
              <w:jc w:val="right"/>
              <w:ind w:right="100"/>
              <w:spacing w:after="0"/>
              <w:rPr>
                <w:sz w:val="20"/>
                <w:szCs w:val="20"/>
                <w:color w:val="auto"/>
              </w:rPr>
            </w:pPr>
            <w:r>
              <w:rPr>
                <w:rFonts w:ascii="Arial" w:cs="Arial" w:eastAsia="Arial" w:hAnsi="Arial"/>
                <w:sz w:val="16"/>
                <w:szCs w:val="16"/>
                <w:color w:val="auto"/>
              </w:rPr>
              <w:t>2,200</w:t>
            </w:r>
          </w:p>
        </w:tc>
        <w:tc>
          <w:tcPr>
            <w:tcW w:w="1100" w:type="dxa"/>
            <w:vAlign w:val="bottom"/>
            <w:shd w:val="clear" w:color="auto" w:fill="B6DDE8"/>
          </w:tcPr>
          <w:p>
            <w:pPr>
              <w:jc w:val="right"/>
              <w:ind w:right="160"/>
              <w:spacing w:after="0"/>
              <w:rPr>
                <w:sz w:val="20"/>
                <w:szCs w:val="20"/>
                <w:color w:val="auto"/>
              </w:rPr>
            </w:pPr>
            <w:r>
              <w:rPr>
                <w:rFonts w:ascii="Arial" w:cs="Arial" w:eastAsia="Arial" w:hAnsi="Arial"/>
                <w:sz w:val="16"/>
                <w:szCs w:val="16"/>
                <w:color w:val="auto"/>
              </w:rPr>
              <w:t>246,175</w:t>
            </w:r>
          </w:p>
        </w:tc>
        <w:tc>
          <w:tcPr>
            <w:tcW w:w="40" w:type="dxa"/>
            <w:vAlign w:val="bottom"/>
            <w:tcBorders>
              <w:right w:val="single" w:sz="8" w:color="808080"/>
            </w:tcBorders>
          </w:tcPr>
          <w:p>
            <w:pPr>
              <w:spacing w:after="0"/>
              <w:rPr>
                <w:sz w:val="20"/>
                <w:szCs w:val="20"/>
                <w:color w:val="auto"/>
              </w:rPr>
            </w:pPr>
          </w:p>
        </w:tc>
      </w:tr>
      <w:tr>
        <w:trPr>
          <w:trHeight w:val="223"/>
        </w:trPr>
        <w:tc>
          <w:tcPr>
            <w:tcW w:w="3440" w:type="dxa"/>
            <w:vAlign w:val="bottom"/>
            <w:tcBorders>
              <w:left w:val="single" w:sz="8" w:color="808080"/>
              <w:bottom w:val="single" w:sz="8" w:color="auto"/>
            </w:tcBorders>
          </w:tcPr>
          <w:p>
            <w:pPr>
              <w:ind w:left="20"/>
              <w:spacing w:after="0"/>
              <w:rPr>
                <w:sz w:val="20"/>
                <w:szCs w:val="20"/>
                <w:color w:val="auto"/>
              </w:rPr>
            </w:pPr>
            <w:r>
              <w:rPr>
                <w:rFonts w:ascii="Arial" w:cs="Arial" w:eastAsia="Arial" w:hAnsi="Arial"/>
                <w:sz w:val="16"/>
                <w:szCs w:val="16"/>
                <w:color w:val="auto"/>
              </w:rPr>
              <w:t>Year ended December 31, 2010</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152,500</w:t>
            </w:r>
          </w:p>
        </w:tc>
        <w:tc>
          <w:tcPr>
            <w:tcW w:w="8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12,400</w:t>
            </w: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49,548</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9,275</w:t>
            </w:r>
          </w:p>
        </w:tc>
        <w:tc>
          <w:tcPr>
            <w:tcW w:w="11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223,723</w:t>
            </w:r>
          </w:p>
        </w:tc>
        <w:tc>
          <w:tcPr>
            <w:tcW w:w="40" w:type="dxa"/>
            <w:vAlign w:val="bottom"/>
            <w:tcBorders>
              <w:right w:val="single" w:sz="8" w:color="808080"/>
            </w:tcBorders>
          </w:tcPr>
          <w:p>
            <w:pPr>
              <w:spacing w:after="0"/>
              <w:rPr>
                <w:sz w:val="19"/>
                <w:szCs w:val="19"/>
                <w:color w:val="auto"/>
              </w:rPr>
            </w:pPr>
          </w:p>
        </w:tc>
      </w:tr>
      <w:tr>
        <w:trPr>
          <w:trHeight w:val="20"/>
        </w:trPr>
        <w:tc>
          <w:tcPr>
            <w:tcW w:w="3440" w:type="dxa"/>
            <w:vAlign w:val="bottom"/>
            <w:tcBorders>
              <w:left w:val="single" w:sz="8" w:color="808080"/>
              <w:bottom w:val="single" w:sz="8" w:color="808080"/>
            </w:tcBorders>
          </w:tcPr>
          <w:p>
            <w:pPr>
              <w:spacing w:after="0" w:line="20" w:lineRule="exact"/>
              <w:rPr>
                <w:sz w:val="1"/>
                <w:szCs w:val="1"/>
                <w:color w:val="auto"/>
              </w:rPr>
            </w:pPr>
          </w:p>
        </w:tc>
        <w:tc>
          <w:tcPr>
            <w:tcW w:w="780" w:type="dxa"/>
            <w:vAlign w:val="bottom"/>
            <w:tcBorders>
              <w:bottom w:val="single" w:sz="8" w:color="808080"/>
            </w:tcBorders>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c>
          <w:tcPr>
            <w:tcW w:w="1180" w:type="dxa"/>
            <w:vAlign w:val="bottom"/>
            <w:tcBorders>
              <w:bottom w:val="single" w:sz="8" w:color="808080"/>
            </w:tcBorders>
          </w:tcPr>
          <w:p>
            <w:pPr>
              <w:spacing w:after="0" w:line="20" w:lineRule="exact"/>
              <w:rPr>
                <w:sz w:val="1"/>
                <w:szCs w:val="1"/>
                <w:color w:val="auto"/>
              </w:rPr>
            </w:pPr>
          </w:p>
        </w:tc>
        <w:tc>
          <w:tcPr>
            <w:tcW w:w="260" w:type="dxa"/>
            <w:vAlign w:val="bottom"/>
            <w:tcBorders>
              <w:bottom w:val="single" w:sz="8" w:color="808080"/>
            </w:tcBorders>
          </w:tcPr>
          <w:p>
            <w:pPr>
              <w:spacing w:after="0" w:line="20" w:lineRule="exact"/>
              <w:rPr>
                <w:sz w:val="1"/>
                <w:szCs w:val="1"/>
                <w:color w:val="auto"/>
              </w:rPr>
            </w:pPr>
          </w:p>
        </w:tc>
        <w:tc>
          <w:tcPr>
            <w:tcW w:w="700" w:type="dxa"/>
            <w:vAlign w:val="bottom"/>
            <w:tcBorders>
              <w:bottom w:val="single" w:sz="8" w:color="808080"/>
            </w:tcBorders>
          </w:tcPr>
          <w:p>
            <w:pPr>
              <w:spacing w:after="0" w:line="20" w:lineRule="exact"/>
              <w:rPr>
                <w:sz w:val="1"/>
                <w:szCs w:val="1"/>
                <w:color w:val="auto"/>
              </w:rPr>
            </w:pPr>
          </w:p>
        </w:tc>
        <w:tc>
          <w:tcPr>
            <w:tcW w:w="110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r>
    </w:tbl>
    <w:p>
      <w:pPr>
        <w:spacing w:after="0" w:line="164" w:lineRule="exact"/>
        <w:rPr>
          <w:sz w:val="20"/>
          <w:szCs w:val="20"/>
          <w:color w:val="auto"/>
        </w:rPr>
      </w:pPr>
    </w:p>
    <w:p>
      <w:pPr>
        <w:ind w:left="660" w:right="1839" w:hanging="598"/>
        <w:spacing w:after="0" w:line="247" w:lineRule="auto"/>
        <w:tabs>
          <w:tab w:leader="none" w:pos="633" w:val="left"/>
        </w:tabs>
        <w:numPr>
          <w:ilvl w:val="1"/>
          <w:numId w:val="7"/>
        </w:numPr>
        <w:rPr>
          <w:rFonts w:ascii="Arial" w:cs="Arial" w:eastAsia="Arial" w:hAnsi="Arial"/>
          <w:sz w:val="21"/>
          <w:szCs w:val="21"/>
          <w:color w:val="auto"/>
        </w:rPr>
      </w:pPr>
      <w:r>
        <w:rPr>
          <w:rFonts w:ascii="Arial" w:cs="Arial" w:eastAsia="Arial" w:hAnsi="Arial"/>
          <w:sz w:val="21"/>
          <w:szCs w:val="21"/>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21"/>
          <w:szCs w:val="21"/>
          <w:i w:val="1"/>
          <w:iCs w:val="1"/>
          <w:color w:val="auto"/>
        </w:rPr>
        <w:t xml:space="preserve">Compensation - Stock Compensation. </w:t>
      </w:r>
      <w:r>
        <w:rPr>
          <w:rFonts w:ascii="Arial" w:cs="Arial" w:eastAsia="Arial" w:hAnsi="Arial"/>
          <w:sz w:val="21"/>
          <w:szCs w:val="21"/>
          <w:color w:val="auto"/>
        </w:rPr>
        <w:t>The assumptions made in the valuation of our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option awards are disclosed in </w:t>
      </w:r>
      <w:r>
        <w:rPr>
          <w:rFonts w:ascii="Arial" w:cs="Arial" w:eastAsia="Arial" w:hAnsi="Arial"/>
          <w:sz w:val="21"/>
          <w:szCs w:val="21"/>
          <w:u w:val="single" w:color="auto"/>
          <w:color w:val="0000FF"/>
        </w:rPr>
        <w:t>Note 9 - Share Based Payments</w:t>
      </w:r>
      <w:r>
        <w:rPr>
          <w:rFonts w:ascii="Arial" w:cs="Arial" w:eastAsia="Arial" w:hAnsi="Arial"/>
          <w:sz w:val="21"/>
          <w:szCs w:val="21"/>
          <w:color w:val="auto"/>
        </w:rPr>
        <w:t xml:space="preserve"> in our Notes to Consolidated Financial Statements contained in our annual report on Form 10-K for the year ended December 31, 2011.</w:t>
      </w:r>
    </w:p>
    <w:p>
      <w:pPr>
        <w:spacing w:after="0" w:line="56" w:lineRule="exact"/>
        <w:rPr>
          <w:rFonts w:ascii="Arial" w:cs="Arial" w:eastAsia="Arial" w:hAnsi="Arial"/>
          <w:sz w:val="21"/>
          <w:szCs w:val="21"/>
          <w:color w:val="auto"/>
        </w:rPr>
      </w:pPr>
    </w:p>
    <w:p>
      <w:pPr>
        <w:ind w:left="660" w:right="1819" w:hanging="652"/>
        <w:spacing w:after="0" w:line="273" w:lineRule="auto"/>
        <w:tabs>
          <w:tab w:leader="none" w:pos="633" w:val="left"/>
        </w:tabs>
        <w:numPr>
          <w:ilvl w:val="0"/>
          <w:numId w:val="8"/>
        </w:numPr>
        <w:rPr>
          <w:rFonts w:ascii="Arial" w:cs="Arial" w:eastAsia="Arial" w:hAnsi="Arial"/>
          <w:sz w:val="19"/>
          <w:szCs w:val="19"/>
          <w:color w:val="auto"/>
        </w:rPr>
      </w:pPr>
      <w:r>
        <w:rPr>
          <w:rFonts w:ascii="Arial" w:cs="Arial" w:eastAsia="Arial" w:hAnsi="Arial"/>
          <w:sz w:val="19"/>
          <w:szCs w:val="19"/>
          <w:color w:val="auto"/>
        </w:rPr>
        <w:t>Non-Equity Incentive Plan Compensation is based upon the achievement of pre-determined quarterly goals, namely, quantitative financial goals comprising of revenue, gross margin and operating income, and non-quantitative performance goals. While quantitative financial goals are similar for all the executive officers, non-quantitative goals vary for each officer. Examples of non-quantitative goals include introduction of a new product, identification of a new distribution opportunity, implementing internal controls, and improving product quality. The Chief Executive Officer recommends to the Compensation Committee the compensation for achievement or partial achievement of any such predetermined goal. Compensation under the non-equity incentive plan is calculated by assigning 70% weight to quantitative financial goals (with revenue, gross margin and operating income having equal share) and 30% to non-quantitative goals.</w:t>
      </w:r>
    </w:p>
    <w:p>
      <w:pPr>
        <w:sectPr>
          <w:pgSz w:w="11900" w:h="16838" w:orient="portrait"/>
          <w:cols w:equalWidth="0" w:num="1">
            <w:col w:w="10219"/>
          </w:cols>
          <w:pgMar w:left="240" w:top="361" w:right="1440" w:bottom="2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8</w:t>
      </w:r>
    </w:p>
    <w:p>
      <w:pPr>
        <w:sectPr>
          <w:pgSz w:w="11900" w:h="16838" w:orient="portrait"/>
          <w:cols w:equalWidth="0" w:num="1">
            <w:col w:w="10219"/>
          </w:cols>
          <w:pgMar w:left="240" w:top="361" w:right="1440" w:bottom="240" w:gutter="0" w:footer="0" w:header="0"/>
          <w:type w:val="continuous"/>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351145"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ind w:left="660"/>
        <w:spacing w:after="0"/>
        <w:rPr>
          <w:sz w:val="20"/>
          <w:szCs w:val="20"/>
          <w:color w:val="auto"/>
        </w:rPr>
      </w:pPr>
      <w:r>
        <w:rPr>
          <w:rFonts w:ascii="Arial" w:cs="Arial" w:eastAsia="Arial" w:hAnsi="Arial"/>
          <w:sz w:val="21"/>
          <w:szCs w:val="21"/>
          <w:color w:val="auto"/>
        </w:rPr>
        <w:t>Of the amounts included above, Ms. Hakimoglu’s compensation for the year ended</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December 31, 2011 included $64,628 for achieving financial goals and $29,325 for</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achieving non-quantitative goals, and for the year ended December 31, 2010 included</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$56,273 for achieving financial goals and $17,250 for achieving non-quantitative goals.</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Mr. Bathurst’s compensation for the year ended December 31, 2011 included $18,831 for</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achieving financial goals and $4,069 for achieving non-quantitative goals, and for the</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year ended December 31, 2010 included $37,923 for achieving financial goals and</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$9,939 for achieving non-quantitative goals. Mr. Narayanan’s compensation for the year</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ended December 31, 2011 included $37,934 for achieving financial goals and $14,156 for</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achieving non-quantitative goals, and for the year ended December 31, 2010 included</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$33,030 for achieving financial goals and $10,698 for achieving non-quantitative goals.</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Mr. Braithwaite’s compensation for the year ended December 31, 2011 included $43,554</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achieving financial goals and $15,985 for achieving non-quantitative goals, and for</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year ended December 31, 2010 included $37,923 for achieving financial goals and</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$11,625 for achieving non-quantitative goals.</w:t>
      </w:r>
    </w:p>
    <w:p>
      <w:pPr>
        <w:spacing w:after="0" w:line="161" w:lineRule="exact"/>
        <w:rPr>
          <w:sz w:val="20"/>
          <w:szCs w:val="20"/>
          <w:color w:val="auto"/>
        </w:rPr>
      </w:pPr>
    </w:p>
    <w:p>
      <w:pPr>
        <w:ind w:left="660" w:right="2119" w:hanging="652"/>
        <w:spacing w:after="0" w:line="318" w:lineRule="auto"/>
        <w:tabs>
          <w:tab w:leader="none" w:pos="633"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amounts in the “All Other Compensation” column reflect the value of honorarium paid under a program to encourage the process of patenting process.</w:t>
      </w:r>
    </w:p>
    <w:p>
      <w:pPr>
        <w:spacing w:after="0" w:line="1" w:lineRule="exact"/>
        <w:rPr>
          <w:rFonts w:ascii="Arial" w:cs="Arial" w:eastAsia="Arial" w:hAnsi="Arial"/>
          <w:sz w:val="19"/>
          <w:szCs w:val="19"/>
          <w:color w:val="auto"/>
        </w:rPr>
      </w:pPr>
    </w:p>
    <w:p>
      <w:pPr>
        <w:ind w:left="620" w:hanging="612"/>
        <w:spacing w:after="0"/>
        <w:tabs>
          <w:tab w:leader="none" w:pos="620" w:val="left"/>
        </w:tabs>
        <w:numPr>
          <w:ilvl w:val="0"/>
          <w:numId w:val="9"/>
        </w:numPr>
        <w:rPr>
          <w:rFonts w:ascii="Arial" w:cs="Arial" w:eastAsia="Arial" w:hAnsi="Arial"/>
          <w:sz w:val="22"/>
          <w:szCs w:val="22"/>
          <w:color w:val="auto"/>
        </w:rPr>
      </w:pPr>
      <w:r>
        <w:rPr>
          <w:rFonts w:ascii="Arial" w:cs="Arial" w:eastAsia="Arial" w:hAnsi="Arial"/>
          <w:sz w:val="22"/>
          <w:szCs w:val="22"/>
          <w:color w:val="auto"/>
        </w:rPr>
        <w:t>Mr. Bathurst left the company on May 13, 2011.</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OUTSTANDING EQUITY AWARDS AT FISCAL YEAR-END</w:t>
      </w:r>
    </w:p>
    <w:p>
      <w:pPr>
        <w:spacing w:after="0" w:line="185" w:lineRule="exact"/>
        <w:rPr>
          <w:sz w:val="20"/>
          <w:szCs w:val="20"/>
          <w:color w:val="auto"/>
        </w:rPr>
      </w:pPr>
    </w:p>
    <w:p>
      <w:pPr>
        <w:ind w:right="1919" w:firstLine="1297"/>
        <w:spacing w:after="0" w:line="251" w:lineRule="auto"/>
        <w:rPr>
          <w:sz w:val="20"/>
          <w:szCs w:val="20"/>
          <w:color w:val="auto"/>
        </w:rPr>
      </w:pPr>
      <w:r>
        <w:rPr>
          <w:rFonts w:ascii="Arial" w:cs="Arial" w:eastAsia="Arial" w:hAnsi="Arial"/>
          <w:sz w:val="22"/>
          <w:szCs w:val="22"/>
          <w:color w:val="auto"/>
        </w:rPr>
        <w:t>The following table provides information on the holdings of stock options by the named executive officers as of December 31, 2011.</w:t>
      </w:r>
    </w:p>
    <w:p>
      <w:pPr>
        <w:spacing w:after="0" w:line="63" w:lineRule="exact"/>
        <w:rPr>
          <w:sz w:val="20"/>
          <w:szCs w:val="20"/>
          <w:color w:val="auto"/>
        </w:rPr>
      </w:pPr>
    </w:p>
    <w:tbl>
      <w:tblPr>
        <w:tblLayout w:type="fixed"/>
        <w:tblInd w:w="30" w:type="dxa"/>
        <w:tblCellMar>
          <w:top w:w="0" w:type="dxa"/>
          <w:left w:w="0" w:type="dxa"/>
          <w:bottom w:w="0" w:type="dxa"/>
          <w:right w:w="0" w:type="dxa"/>
        </w:tblCellMar>
      </w:tblPr>
      <w:tr>
        <w:trPr>
          <w:trHeight w:val="489"/>
        </w:trPr>
        <w:tc>
          <w:tcPr>
            <w:tcW w:w="1580" w:type="dxa"/>
            <w:vAlign w:val="bottom"/>
            <w:tcBorders>
              <w:top w:val="single" w:sz="8" w:color="808080"/>
              <w:left w:val="single" w:sz="8" w:color="808080"/>
            </w:tcBorders>
          </w:tcPr>
          <w:p>
            <w:pPr>
              <w:spacing w:after="0"/>
              <w:rPr>
                <w:sz w:val="24"/>
                <w:szCs w:val="24"/>
                <w:color w:val="auto"/>
              </w:rPr>
            </w:pPr>
          </w:p>
        </w:tc>
        <w:tc>
          <w:tcPr>
            <w:tcW w:w="200" w:type="dxa"/>
            <w:vAlign w:val="bottom"/>
            <w:tcBorders>
              <w:top w:val="single" w:sz="8" w:color="808080"/>
            </w:tcBorders>
          </w:tcPr>
          <w:p>
            <w:pPr>
              <w:spacing w:after="0"/>
              <w:rPr>
                <w:sz w:val="24"/>
                <w:szCs w:val="24"/>
                <w:color w:val="auto"/>
              </w:rPr>
            </w:pPr>
          </w:p>
        </w:tc>
        <w:tc>
          <w:tcPr>
            <w:tcW w:w="1460" w:type="dxa"/>
            <w:vAlign w:val="bottom"/>
            <w:tcBorders>
              <w:top w:val="single" w:sz="8" w:color="808080"/>
            </w:tcBorders>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200" w:type="dxa"/>
            <w:vAlign w:val="bottom"/>
            <w:tcBorders>
              <w:top w:val="single" w:sz="8" w:color="808080"/>
            </w:tcBorders>
          </w:tcPr>
          <w:p>
            <w:pPr>
              <w:spacing w:after="0"/>
              <w:rPr>
                <w:sz w:val="24"/>
                <w:szCs w:val="24"/>
                <w:color w:val="auto"/>
              </w:rPr>
            </w:pPr>
          </w:p>
        </w:tc>
        <w:tc>
          <w:tcPr>
            <w:tcW w:w="1320" w:type="dxa"/>
            <w:vAlign w:val="bottom"/>
            <w:tcBorders>
              <w:top w:val="single" w:sz="8" w:color="808080"/>
            </w:tcBorders>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220" w:type="dxa"/>
            <w:vAlign w:val="bottom"/>
            <w:tcBorders>
              <w:top w:val="single" w:sz="8" w:color="808080"/>
            </w:tcBorders>
          </w:tcPr>
          <w:p>
            <w:pPr>
              <w:spacing w:after="0"/>
              <w:rPr>
                <w:sz w:val="24"/>
                <w:szCs w:val="24"/>
                <w:color w:val="auto"/>
              </w:rPr>
            </w:pPr>
          </w:p>
        </w:tc>
        <w:tc>
          <w:tcPr>
            <w:tcW w:w="800" w:type="dxa"/>
            <w:vAlign w:val="bottom"/>
            <w:tcBorders>
              <w:top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00" w:type="dxa"/>
            <w:vAlign w:val="bottom"/>
            <w:tcBorders>
              <w:top w:val="single" w:sz="8" w:color="808080"/>
            </w:tcBorders>
          </w:tcPr>
          <w:p>
            <w:pPr>
              <w:spacing w:after="0"/>
              <w:rPr>
                <w:sz w:val="24"/>
                <w:szCs w:val="24"/>
                <w:color w:val="auto"/>
              </w:rPr>
            </w:pPr>
          </w:p>
        </w:tc>
        <w:tc>
          <w:tcPr>
            <w:tcW w:w="820" w:type="dxa"/>
            <w:vAlign w:val="bottom"/>
            <w:tcBorders>
              <w:top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00" w:type="dxa"/>
            <w:vAlign w:val="bottom"/>
            <w:tcBorders>
              <w:top w:val="single" w:sz="8" w:color="808080"/>
            </w:tcBorders>
          </w:tcPr>
          <w:p>
            <w:pPr>
              <w:spacing w:after="0"/>
              <w:rPr>
                <w:sz w:val="24"/>
                <w:szCs w:val="24"/>
                <w:color w:val="auto"/>
              </w:rPr>
            </w:pPr>
          </w:p>
        </w:tc>
        <w:tc>
          <w:tcPr>
            <w:tcW w:w="1100" w:type="dxa"/>
            <w:vAlign w:val="bottom"/>
            <w:tcBorders>
              <w:top w:val="single" w:sz="8" w:color="808080"/>
              <w:right w:val="single" w:sz="8" w:color="808080"/>
            </w:tcBorders>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1580" w:type="dxa"/>
            <w:vAlign w:val="bottom"/>
            <w:tcBorders>
              <w:left w:val="single" w:sz="8" w:color="808080"/>
            </w:tcBorders>
            <w:vMerge w:val="restart"/>
          </w:tcPr>
          <w:p>
            <w:pPr>
              <w:ind w:left="62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right w:val="single" w:sz="8" w:color="808080"/>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Borders>
              <w:left w:val="single" w:sz="8" w:color="808080"/>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 Options</w:t>
            </w:r>
          </w:p>
        </w:tc>
        <w:tc>
          <w:tcPr>
            <w:tcW w:w="2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Unexercised Options</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200" w:type="dxa"/>
            <w:vAlign w:val="bottom"/>
          </w:tcPr>
          <w:p>
            <w:pPr>
              <w:spacing w:after="0"/>
              <w:rPr>
                <w:sz w:val="12"/>
                <w:szCs w:val="12"/>
                <w:color w:val="auto"/>
              </w:rPr>
            </w:pPr>
          </w:p>
        </w:tc>
        <w:tc>
          <w:tcPr>
            <w:tcW w:w="1100" w:type="dxa"/>
            <w:vAlign w:val="bottom"/>
            <w:tcBorders>
              <w:right w:val="single" w:sz="8" w:color="808080"/>
            </w:tcBorders>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Expiration Date</w:t>
            </w:r>
          </w:p>
        </w:tc>
        <w:tc>
          <w:tcPr>
            <w:tcW w:w="0" w:type="dxa"/>
            <w:vAlign w:val="bottom"/>
          </w:tcPr>
          <w:p>
            <w:pPr>
              <w:spacing w:after="0"/>
              <w:rPr>
                <w:sz w:val="1"/>
                <w:szCs w:val="1"/>
                <w:color w:val="auto"/>
              </w:rPr>
            </w:pPr>
          </w:p>
        </w:tc>
      </w:tr>
      <w:tr>
        <w:trPr>
          <w:trHeight w:val="186"/>
        </w:trPr>
        <w:tc>
          <w:tcPr>
            <w:tcW w:w="1580" w:type="dxa"/>
            <w:vAlign w:val="bottom"/>
            <w:tcBorders>
              <w:left w:val="single" w:sz="8" w:color="808080"/>
            </w:tcBorders>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20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 xml:space="preserve">Unexercisable </w:t>
            </w:r>
            <w:r>
              <w:rPr>
                <w:rFonts w:ascii="Arial" w:cs="Arial" w:eastAsia="Arial" w:hAnsi="Arial"/>
                <w:sz w:val="30"/>
                <w:szCs w:val="30"/>
                <w:b w:val="1"/>
                <w:bCs w:val="1"/>
                <w:color w:val="auto"/>
                <w:w w:val="85"/>
                <w:vertAlign w:val="superscript"/>
              </w:rPr>
              <w:t>(1)</w:t>
            </w:r>
          </w:p>
        </w:tc>
        <w:tc>
          <w:tcPr>
            <w:tcW w:w="2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580" w:type="dxa"/>
            <w:vAlign w:val="bottom"/>
            <w:tcBorders>
              <w:left w:val="single" w:sz="8" w:color="808080"/>
            </w:tcBorders>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580" w:type="dxa"/>
            <w:vAlign w:val="bottom"/>
            <w:tcBorders>
              <w:left w:val="single" w:sz="8" w:color="808080"/>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58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Zee Hakimoglu</w:t>
            </w:r>
          </w:p>
        </w:tc>
        <w:tc>
          <w:tcPr>
            <w:tcW w:w="166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50,000</w:t>
            </w:r>
          </w:p>
        </w:tc>
        <w:tc>
          <w:tcPr>
            <w:tcW w:w="1520" w:type="dxa"/>
            <w:vAlign w:val="bottom"/>
            <w:gridSpan w:val="2"/>
            <w:shd w:val="clear" w:color="auto" w:fill="B6DDE8"/>
          </w:tcPr>
          <w:p>
            <w:pPr>
              <w:jc w:val="right"/>
              <w:ind w:right="188"/>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$ 6.40</w:t>
            </w:r>
          </w:p>
        </w:tc>
        <w:tc>
          <w:tcPr>
            <w:tcW w:w="1020" w:type="dxa"/>
            <w:vAlign w:val="bottom"/>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03-24-04</w:t>
            </w:r>
          </w:p>
        </w:tc>
        <w:tc>
          <w:tcPr>
            <w:tcW w:w="1260" w:type="dxa"/>
            <w:vAlign w:val="bottom"/>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03-24-14</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580" w:type="dxa"/>
            <w:vAlign w:val="bottom"/>
            <w:tcBorders>
              <w:left w:val="single" w:sz="8" w:color="808080"/>
            </w:tcBorders>
          </w:tcPr>
          <w:p>
            <w:pPr>
              <w:spacing w:after="0"/>
              <w:rPr>
                <w:sz w:val="19"/>
                <w:szCs w:val="19"/>
                <w:color w:val="auto"/>
              </w:rPr>
            </w:pPr>
          </w:p>
        </w:tc>
        <w:tc>
          <w:tcPr>
            <w:tcW w:w="1660" w:type="dxa"/>
            <w:vAlign w:val="bottom"/>
            <w:gridSpan w:val="2"/>
          </w:tcPr>
          <w:p>
            <w:pPr>
              <w:jc w:val="right"/>
              <w:ind w:right="228"/>
              <w:spacing w:after="0"/>
              <w:rPr>
                <w:sz w:val="20"/>
                <w:szCs w:val="20"/>
                <w:color w:val="auto"/>
              </w:rPr>
            </w:pPr>
            <w:r>
              <w:rPr>
                <w:rFonts w:ascii="Arial" w:cs="Arial" w:eastAsia="Arial" w:hAnsi="Arial"/>
                <w:sz w:val="16"/>
                <w:szCs w:val="16"/>
                <w:color w:val="auto"/>
              </w:rPr>
              <w:t>100,000</w:t>
            </w:r>
          </w:p>
        </w:tc>
        <w:tc>
          <w:tcPr>
            <w:tcW w:w="1520" w:type="dxa"/>
            <w:vAlign w:val="bottom"/>
            <w:gridSpan w:val="2"/>
          </w:tcPr>
          <w:p>
            <w:pPr>
              <w:jc w:val="right"/>
              <w:ind w:right="188"/>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8"/>
              <w:spacing w:after="0"/>
              <w:rPr>
                <w:sz w:val="20"/>
                <w:szCs w:val="20"/>
                <w:color w:val="auto"/>
              </w:rPr>
            </w:pPr>
            <w:r>
              <w:rPr>
                <w:rFonts w:ascii="Arial" w:cs="Arial" w:eastAsia="Arial" w:hAnsi="Arial"/>
                <w:sz w:val="16"/>
                <w:szCs w:val="16"/>
                <w:color w:val="auto"/>
              </w:rPr>
              <w:t>5.55</w:t>
            </w:r>
          </w:p>
        </w:tc>
        <w:tc>
          <w:tcPr>
            <w:tcW w:w="102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07-26-04</w:t>
            </w:r>
          </w:p>
        </w:tc>
        <w:tc>
          <w:tcPr>
            <w:tcW w:w="126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07-26-14</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580" w:type="dxa"/>
            <w:vAlign w:val="bottom"/>
            <w:tcBorders>
              <w:left w:val="single" w:sz="8" w:color="808080"/>
            </w:tcBorders>
            <w:shd w:val="clear" w:color="auto" w:fill="B6DDE8"/>
          </w:tcPr>
          <w:p>
            <w:pPr>
              <w:spacing w:after="0"/>
              <w:rPr>
                <w:sz w:val="20"/>
                <w:szCs w:val="20"/>
                <w:color w:val="auto"/>
              </w:rPr>
            </w:pPr>
          </w:p>
        </w:tc>
        <w:tc>
          <w:tcPr>
            <w:tcW w:w="166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150,000</w:t>
            </w:r>
          </w:p>
        </w:tc>
        <w:tc>
          <w:tcPr>
            <w:tcW w:w="1520" w:type="dxa"/>
            <w:vAlign w:val="bottom"/>
            <w:gridSpan w:val="2"/>
            <w:shd w:val="clear" w:color="auto" w:fill="B6DDE8"/>
          </w:tcPr>
          <w:p>
            <w:pPr>
              <w:jc w:val="right"/>
              <w:ind w:right="188"/>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3.65</w:t>
            </w:r>
          </w:p>
        </w:tc>
        <w:tc>
          <w:tcPr>
            <w:tcW w:w="1020" w:type="dxa"/>
            <w:vAlign w:val="bottom"/>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09-18-06</w:t>
            </w:r>
          </w:p>
        </w:tc>
        <w:tc>
          <w:tcPr>
            <w:tcW w:w="1260" w:type="dxa"/>
            <w:vAlign w:val="bottom"/>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09-18-16</w:t>
            </w:r>
          </w:p>
        </w:tc>
        <w:tc>
          <w:tcPr>
            <w:tcW w:w="4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580" w:type="dxa"/>
            <w:vAlign w:val="bottom"/>
            <w:tcBorders>
              <w:left w:val="single" w:sz="8" w:color="808080"/>
            </w:tcBorders>
          </w:tcPr>
          <w:p>
            <w:pPr>
              <w:spacing w:after="0"/>
              <w:rPr>
                <w:sz w:val="19"/>
                <w:szCs w:val="19"/>
                <w:color w:val="auto"/>
              </w:rPr>
            </w:pPr>
          </w:p>
        </w:tc>
        <w:tc>
          <w:tcPr>
            <w:tcW w:w="1660" w:type="dxa"/>
            <w:vAlign w:val="bottom"/>
            <w:gridSpan w:val="2"/>
          </w:tcPr>
          <w:p>
            <w:pPr>
              <w:jc w:val="right"/>
              <w:ind w:right="228"/>
              <w:spacing w:after="0"/>
              <w:rPr>
                <w:sz w:val="20"/>
                <w:szCs w:val="20"/>
                <w:color w:val="auto"/>
              </w:rPr>
            </w:pPr>
            <w:r>
              <w:rPr>
                <w:rFonts w:ascii="Arial" w:cs="Arial" w:eastAsia="Arial" w:hAnsi="Arial"/>
                <w:sz w:val="16"/>
                <w:szCs w:val="16"/>
                <w:color w:val="auto"/>
              </w:rPr>
              <w:t>150,000</w:t>
            </w:r>
          </w:p>
        </w:tc>
        <w:tc>
          <w:tcPr>
            <w:tcW w:w="1520" w:type="dxa"/>
            <w:vAlign w:val="bottom"/>
            <w:gridSpan w:val="2"/>
          </w:tcPr>
          <w:p>
            <w:pPr>
              <w:jc w:val="right"/>
              <w:ind w:right="188"/>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8"/>
              <w:spacing w:after="0"/>
              <w:rPr>
                <w:sz w:val="20"/>
                <w:szCs w:val="20"/>
                <w:color w:val="auto"/>
              </w:rPr>
            </w:pPr>
            <w:r>
              <w:rPr>
                <w:rFonts w:ascii="Arial" w:cs="Arial" w:eastAsia="Arial" w:hAnsi="Arial"/>
                <w:sz w:val="16"/>
                <w:szCs w:val="16"/>
                <w:color w:val="auto"/>
              </w:rPr>
              <w:t>6.15</w:t>
            </w:r>
          </w:p>
        </w:tc>
        <w:tc>
          <w:tcPr>
            <w:tcW w:w="102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08-14-07</w:t>
            </w:r>
          </w:p>
        </w:tc>
        <w:tc>
          <w:tcPr>
            <w:tcW w:w="126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08-14-17</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580" w:type="dxa"/>
            <w:vAlign w:val="bottom"/>
            <w:tcBorders>
              <w:left w:val="single" w:sz="8" w:color="808080"/>
            </w:tcBorders>
            <w:shd w:val="clear" w:color="auto" w:fill="B6DDE8"/>
          </w:tcPr>
          <w:p>
            <w:pPr>
              <w:spacing w:after="0"/>
              <w:rPr>
                <w:sz w:val="20"/>
                <w:szCs w:val="20"/>
                <w:color w:val="auto"/>
              </w:rPr>
            </w:pPr>
          </w:p>
        </w:tc>
        <w:tc>
          <w:tcPr>
            <w:tcW w:w="166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50,000</w:t>
            </w:r>
          </w:p>
        </w:tc>
        <w:tc>
          <w:tcPr>
            <w:tcW w:w="1520" w:type="dxa"/>
            <w:vAlign w:val="bottom"/>
            <w:gridSpan w:val="2"/>
            <w:shd w:val="clear" w:color="auto" w:fill="B6DDE8"/>
          </w:tcPr>
          <w:p>
            <w:pPr>
              <w:jc w:val="right"/>
              <w:ind w:right="188"/>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4.03</w:t>
            </w:r>
          </w:p>
        </w:tc>
        <w:tc>
          <w:tcPr>
            <w:tcW w:w="1020" w:type="dxa"/>
            <w:vAlign w:val="bottom"/>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11-14-08</w:t>
            </w:r>
          </w:p>
        </w:tc>
        <w:tc>
          <w:tcPr>
            <w:tcW w:w="1260" w:type="dxa"/>
            <w:vAlign w:val="bottom"/>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11-14-18</w:t>
            </w:r>
          </w:p>
        </w:tc>
        <w:tc>
          <w:tcPr>
            <w:tcW w:w="4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580" w:type="dxa"/>
            <w:vAlign w:val="bottom"/>
            <w:tcBorders>
              <w:left w:val="single" w:sz="8" w:color="808080"/>
            </w:tcBorders>
          </w:tcPr>
          <w:p>
            <w:pPr>
              <w:spacing w:after="0"/>
              <w:rPr>
                <w:sz w:val="19"/>
                <w:szCs w:val="19"/>
                <w:color w:val="auto"/>
              </w:rPr>
            </w:pPr>
          </w:p>
        </w:tc>
        <w:tc>
          <w:tcPr>
            <w:tcW w:w="1660" w:type="dxa"/>
            <w:vAlign w:val="bottom"/>
            <w:gridSpan w:val="2"/>
          </w:tcPr>
          <w:p>
            <w:pPr>
              <w:jc w:val="right"/>
              <w:ind w:right="228"/>
              <w:spacing w:after="0"/>
              <w:rPr>
                <w:sz w:val="20"/>
                <w:szCs w:val="20"/>
                <w:color w:val="auto"/>
              </w:rPr>
            </w:pPr>
            <w:r>
              <w:rPr>
                <w:rFonts w:ascii="Arial" w:cs="Arial" w:eastAsia="Arial" w:hAnsi="Arial"/>
                <w:sz w:val="16"/>
                <w:szCs w:val="16"/>
                <w:color w:val="auto"/>
              </w:rPr>
              <w:t>5,277</w:t>
            </w:r>
          </w:p>
        </w:tc>
        <w:tc>
          <w:tcPr>
            <w:tcW w:w="1520" w:type="dxa"/>
            <w:vAlign w:val="bottom"/>
            <w:gridSpan w:val="2"/>
          </w:tcPr>
          <w:p>
            <w:pPr>
              <w:jc w:val="right"/>
              <w:ind w:right="188"/>
              <w:spacing w:after="0"/>
              <w:rPr>
                <w:sz w:val="20"/>
                <w:szCs w:val="20"/>
                <w:color w:val="auto"/>
              </w:rPr>
            </w:pPr>
            <w:r>
              <w:rPr>
                <w:rFonts w:ascii="Arial" w:cs="Arial" w:eastAsia="Arial" w:hAnsi="Arial"/>
                <w:sz w:val="16"/>
                <w:szCs w:val="16"/>
                <w:color w:val="auto"/>
              </w:rPr>
              <w:t>4,723</w:t>
            </w:r>
          </w:p>
        </w:tc>
        <w:tc>
          <w:tcPr>
            <w:tcW w:w="1020" w:type="dxa"/>
            <w:vAlign w:val="bottom"/>
            <w:gridSpan w:val="2"/>
          </w:tcPr>
          <w:p>
            <w:pPr>
              <w:jc w:val="right"/>
              <w:ind w:right="228"/>
              <w:spacing w:after="0"/>
              <w:rPr>
                <w:sz w:val="20"/>
                <w:szCs w:val="20"/>
                <w:color w:val="auto"/>
              </w:rPr>
            </w:pPr>
            <w:r>
              <w:rPr>
                <w:rFonts w:ascii="Arial" w:cs="Arial" w:eastAsia="Arial" w:hAnsi="Arial"/>
                <w:sz w:val="16"/>
                <w:szCs w:val="16"/>
                <w:color w:val="auto"/>
              </w:rPr>
              <w:t>3.00</w:t>
            </w:r>
          </w:p>
        </w:tc>
        <w:tc>
          <w:tcPr>
            <w:tcW w:w="102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05-26-10</w:t>
            </w:r>
          </w:p>
        </w:tc>
        <w:tc>
          <w:tcPr>
            <w:tcW w:w="126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05-26-20</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580" w:type="dxa"/>
            <w:vAlign w:val="bottom"/>
            <w:tcBorders>
              <w:left w:val="single" w:sz="8" w:color="808080"/>
              <w:bottom w:val="single" w:sz="8" w:color="auto"/>
            </w:tcBorders>
            <w:shd w:val="clear" w:color="auto" w:fill="B6DDE8"/>
          </w:tcPr>
          <w:p>
            <w:pPr>
              <w:spacing w:after="0"/>
              <w:rPr>
                <w:sz w:val="19"/>
                <w:szCs w:val="19"/>
                <w:color w:val="auto"/>
              </w:rPr>
            </w:pPr>
          </w:p>
        </w:tc>
        <w:tc>
          <w:tcPr>
            <w:tcW w:w="1660" w:type="dxa"/>
            <w:vAlign w:val="bottom"/>
            <w:tcBorders>
              <w:bottom w:val="single" w:sz="8" w:color="auto"/>
            </w:tcBorders>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gridSpan w:val="2"/>
            <w:shd w:val="clear" w:color="auto" w:fill="B6DDE8"/>
          </w:tcPr>
          <w:p>
            <w:pPr>
              <w:jc w:val="right"/>
              <w:ind w:right="188"/>
              <w:spacing w:after="0"/>
              <w:rPr>
                <w:sz w:val="20"/>
                <w:szCs w:val="20"/>
                <w:color w:val="auto"/>
              </w:rPr>
            </w:pPr>
            <w:r>
              <w:rPr>
                <w:rFonts w:ascii="Arial" w:cs="Arial" w:eastAsia="Arial" w:hAnsi="Arial"/>
                <w:sz w:val="16"/>
                <w:szCs w:val="16"/>
                <w:color w:val="auto"/>
              </w:rPr>
              <w:t>10,000</w:t>
            </w:r>
          </w:p>
        </w:tc>
        <w:tc>
          <w:tcPr>
            <w:tcW w:w="1020" w:type="dxa"/>
            <w:vAlign w:val="bottom"/>
            <w:tcBorders>
              <w:bottom w:val="single" w:sz="8" w:color="auto"/>
            </w:tcBorders>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5.48</w:t>
            </w:r>
          </w:p>
        </w:tc>
        <w:tc>
          <w:tcPr>
            <w:tcW w:w="1020" w:type="dxa"/>
            <w:vAlign w:val="bottom"/>
            <w:tcBorders>
              <w:bottom w:val="single" w:sz="8" w:color="auto"/>
            </w:tcBorders>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08-05-11</w:t>
            </w:r>
          </w:p>
        </w:tc>
        <w:tc>
          <w:tcPr>
            <w:tcW w:w="1260" w:type="dxa"/>
            <w:vAlign w:val="bottom"/>
            <w:tcBorders>
              <w:bottom w:val="single" w:sz="8" w:color="auto"/>
            </w:tcBorders>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08-05-21</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580" w:type="dxa"/>
            <w:vAlign w:val="bottom"/>
            <w:tcBorders>
              <w:left w:val="single" w:sz="8" w:color="808080"/>
            </w:tcBorders>
          </w:tcPr>
          <w:p>
            <w:pPr>
              <w:ind w:left="20"/>
              <w:spacing w:after="0"/>
              <w:rPr>
                <w:sz w:val="20"/>
                <w:szCs w:val="20"/>
                <w:color w:val="auto"/>
              </w:rPr>
            </w:pPr>
            <w:r>
              <w:rPr>
                <w:rFonts w:ascii="Arial" w:cs="Arial" w:eastAsia="Arial" w:hAnsi="Arial"/>
                <w:sz w:val="16"/>
                <w:szCs w:val="16"/>
                <w:color w:val="auto"/>
              </w:rPr>
              <w:t>Narsi Narayanan</w:t>
            </w:r>
          </w:p>
        </w:tc>
        <w:tc>
          <w:tcPr>
            <w:tcW w:w="1660" w:type="dxa"/>
            <w:vAlign w:val="bottom"/>
            <w:gridSpan w:val="2"/>
          </w:tcPr>
          <w:p>
            <w:pPr>
              <w:jc w:val="right"/>
              <w:ind w:right="228"/>
              <w:spacing w:after="0"/>
              <w:rPr>
                <w:sz w:val="20"/>
                <w:szCs w:val="20"/>
                <w:color w:val="auto"/>
              </w:rPr>
            </w:pPr>
            <w:r>
              <w:rPr>
                <w:rFonts w:ascii="Arial" w:cs="Arial" w:eastAsia="Arial" w:hAnsi="Arial"/>
                <w:sz w:val="16"/>
                <w:szCs w:val="16"/>
                <w:color w:val="auto"/>
              </w:rPr>
              <w:t>23,333</w:t>
            </w:r>
          </w:p>
        </w:tc>
        <w:tc>
          <w:tcPr>
            <w:tcW w:w="1520" w:type="dxa"/>
            <w:vAlign w:val="bottom"/>
            <w:gridSpan w:val="2"/>
          </w:tcPr>
          <w:p>
            <w:pPr>
              <w:jc w:val="right"/>
              <w:ind w:right="188"/>
              <w:spacing w:after="0"/>
              <w:rPr>
                <w:sz w:val="20"/>
                <w:szCs w:val="20"/>
                <w:color w:val="auto"/>
              </w:rPr>
            </w:pPr>
            <w:r>
              <w:rPr>
                <w:rFonts w:ascii="Arial" w:cs="Arial" w:eastAsia="Arial" w:hAnsi="Arial"/>
                <w:sz w:val="16"/>
                <w:szCs w:val="16"/>
                <w:color w:val="auto"/>
              </w:rPr>
              <w:t>6,667</w:t>
            </w:r>
          </w:p>
        </w:tc>
        <w:tc>
          <w:tcPr>
            <w:tcW w:w="1020" w:type="dxa"/>
            <w:vAlign w:val="bottom"/>
            <w:gridSpan w:val="2"/>
          </w:tcPr>
          <w:p>
            <w:pPr>
              <w:jc w:val="right"/>
              <w:ind w:right="228"/>
              <w:spacing w:after="0"/>
              <w:rPr>
                <w:sz w:val="20"/>
                <w:szCs w:val="20"/>
                <w:color w:val="auto"/>
              </w:rPr>
            </w:pPr>
            <w:r>
              <w:rPr>
                <w:rFonts w:ascii="Arial" w:cs="Arial" w:eastAsia="Arial" w:hAnsi="Arial"/>
                <w:sz w:val="16"/>
                <w:szCs w:val="16"/>
                <w:color w:val="auto"/>
              </w:rPr>
              <w:t>2.78</w:t>
            </w:r>
          </w:p>
        </w:tc>
        <w:tc>
          <w:tcPr>
            <w:tcW w:w="102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08-27-09</w:t>
            </w:r>
          </w:p>
        </w:tc>
        <w:tc>
          <w:tcPr>
            <w:tcW w:w="126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08-27-19</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580" w:type="dxa"/>
            <w:vAlign w:val="bottom"/>
            <w:tcBorders>
              <w:left w:val="single" w:sz="8" w:color="808080"/>
            </w:tcBorders>
            <w:shd w:val="clear" w:color="auto" w:fill="B6DDE8"/>
          </w:tcPr>
          <w:p>
            <w:pPr>
              <w:spacing w:after="0"/>
              <w:rPr>
                <w:sz w:val="20"/>
                <w:szCs w:val="20"/>
                <w:color w:val="auto"/>
              </w:rPr>
            </w:pPr>
          </w:p>
        </w:tc>
        <w:tc>
          <w:tcPr>
            <w:tcW w:w="166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5,277</w:t>
            </w:r>
          </w:p>
        </w:tc>
        <w:tc>
          <w:tcPr>
            <w:tcW w:w="1520" w:type="dxa"/>
            <w:vAlign w:val="bottom"/>
            <w:gridSpan w:val="2"/>
            <w:shd w:val="clear" w:color="auto" w:fill="B6DDE8"/>
          </w:tcPr>
          <w:p>
            <w:pPr>
              <w:jc w:val="right"/>
              <w:ind w:right="188"/>
              <w:spacing w:after="0"/>
              <w:rPr>
                <w:sz w:val="20"/>
                <w:szCs w:val="20"/>
                <w:color w:val="auto"/>
              </w:rPr>
            </w:pPr>
            <w:r>
              <w:rPr>
                <w:rFonts w:ascii="Arial" w:cs="Arial" w:eastAsia="Arial" w:hAnsi="Arial"/>
                <w:sz w:val="16"/>
                <w:szCs w:val="16"/>
                <w:color w:val="auto"/>
              </w:rPr>
              <w:t>4,723</w:t>
            </w:r>
          </w:p>
        </w:tc>
        <w:tc>
          <w:tcPr>
            <w:tcW w:w="102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3.00</w:t>
            </w:r>
          </w:p>
        </w:tc>
        <w:tc>
          <w:tcPr>
            <w:tcW w:w="1020" w:type="dxa"/>
            <w:vAlign w:val="bottom"/>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05-26-10</w:t>
            </w:r>
          </w:p>
        </w:tc>
        <w:tc>
          <w:tcPr>
            <w:tcW w:w="1260" w:type="dxa"/>
            <w:vAlign w:val="bottom"/>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05-26-20</w:t>
            </w:r>
          </w:p>
        </w:tc>
        <w:tc>
          <w:tcPr>
            <w:tcW w:w="4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80" w:type="dxa"/>
            <w:vAlign w:val="bottom"/>
            <w:tcBorders>
              <w:left w:val="single" w:sz="8" w:color="808080"/>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6"/>
                <w:szCs w:val="16"/>
                <w:color w:val="auto"/>
              </w:rPr>
              <w:t>10,000</w:t>
            </w:r>
          </w:p>
        </w:tc>
        <w:tc>
          <w:tcPr>
            <w:tcW w:w="102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6"/>
                <w:szCs w:val="16"/>
                <w:color w:val="auto"/>
              </w:rPr>
              <w:t>5.48</w:t>
            </w:r>
          </w:p>
        </w:tc>
        <w:tc>
          <w:tcPr>
            <w:tcW w:w="1020" w:type="dxa"/>
            <w:vAlign w:val="bottom"/>
            <w:tcBorders>
              <w:bottom w:val="single" w:sz="8" w:color="auto"/>
            </w:tcBorders>
            <w:gridSpan w:val="2"/>
          </w:tcPr>
          <w:p>
            <w:pPr>
              <w:jc w:val="center"/>
              <w:ind w:left="119"/>
              <w:spacing w:after="0"/>
              <w:rPr>
                <w:sz w:val="20"/>
                <w:szCs w:val="20"/>
                <w:color w:val="auto"/>
              </w:rPr>
            </w:pPr>
            <w:r>
              <w:rPr>
                <w:rFonts w:ascii="Arial" w:cs="Arial" w:eastAsia="Arial" w:hAnsi="Arial"/>
                <w:sz w:val="16"/>
                <w:szCs w:val="16"/>
                <w:color w:val="auto"/>
                <w:w w:val="90"/>
              </w:rPr>
              <w:t>08-05-11</w:t>
            </w:r>
          </w:p>
        </w:tc>
        <w:tc>
          <w:tcPr>
            <w:tcW w:w="1260" w:type="dxa"/>
            <w:vAlign w:val="bottom"/>
            <w:tcBorders>
              <w:bottom w:val="single" w:sz="8" w:color="auto"/>
            </w:tcBorders>
            <w:gridSpan w:val="2"/>
          </w:tcPr>
          <w:p>
            <w:pPr>
              <w:jc w:val="center"/>
              <w:ind w:left="119"/>
              <w:spacing w:after="0"/>
              <w:rPr>
                <w:sz w:val="20"/>
                <w:szCs w:val="20"/>
                <w:color w:val="auto"/>
              </w:rPr>
            </w:pPr>
            <w:r>
              <w:rPr>
                <w:rFonts w:ascii="Arial" w:cs="Arial" w:eastAsia="Arial" w:hAnsi="Arial"/>
                <w:sz w:val="16"/>
                <w:szCs w:val="16"/>
                <w:color w:val="auto"/>
                <w:w w:val="90"/>
              </w:rPr>
              <w:t>08-05-21</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Michael Braithwaite</w:t>
            </w:r>
          </w:p>
        </w:tc>
        <w:tc>
          <w:tcPr>
            <w:tcW w:w="166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10,833</w:t>
            </w:r>
          </w:p>
        </w:tc>
        <w:tc>
          <w:tcPr>
            <w:tcW w:w="1520" w:type="dxa"/>
            <w:vAlign w:val="bottom"/>
            <w:gridSpan w:val="2"/>
            <w:shd w:val="clear" w:color="auto" w:fill="B6DDE8"/>
          </w:tcPr>
          <w:p>
            <w:pPr>
              <w:jc w:val="right"/>
              <w:ind w:right="188"/>
              <w:spacing w:after="0"/>
              <w:rPr>
                <w:sz w:val="20"/>
                <w:szCs w:val="20"/>
                <w:color w:val="auto"/>
              </w:rPr>
            </w:pPr>
            <w:r>
              <w:rPr>
                <w:rFonts w:ascii="Arial" w:cs="Arial" w:eastAsia="Arial" w:hAnsi="Arial"/>
                <w:sz w:val="16"/>
                <w:szCs w:val="16"/>
                <w:color w:val="auto"/>
              </w:rPr>
              <w:t>19,167</w:t>
            </w:r>
          </w:p>
        </w:tc>
        <w:tc>
          <w:tcPr>
            <w:tcW w:w="102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2.65</w:t>
            </w:r>
          </w:p>
        </w:tc>
        <w:tc>
          <w:tcPr>
            <w:tcW w:w="1020" w:type="dxa"/>
            <w:vAlign w:val="bottom"/>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11-30-09</w:t>
            </w:r>
          </w:p>
        </w:tc>
        <w:tc>
          <w:tcPr>
            <w:tcW w:w="1260" w:type="dxa"/>
            <w:vAlign w:val="bottom"/>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11-30-19</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580" w:type="dxa"/>
            <w:vAlign w:val="bottom"/>
            <w:tcBorders>
              <w:left w:val="single" w:sz="8" w:color="808080"/>
            </w:tcBorders>
          </w:tcPr>
          <w:p>
            <w:pPr>
              <w:spacing w:after="0"/>
              <w:rPr>
                <w:sz w:val="19"/>
                <w:szCs w:val="19"/>
                <w:color w:val="auto"/>
              </w:rPr>
            </w:pPr>
          </w:p>
        </w:tc>
        <w:tc>
          <w:tcPr>
            <w:tcW w:w="1660" w:type="dxa"/>
            <w:vAlign w:val="bottom"/>
            <w:gridSpan w:val="2"/>
          </w:tcPr>
          <w:p>
            <w:pPr>
              <w:jc w:val="right"/>
              <w:ind w:right="228"/>
              <w:spacing w:after="0"/>
              <w:rPr>
                <w:sz w:val="20"/>
                <w:szCs w:val="20"/>
                <w:color w:val="auto"/>
              </w:rPr>
            </w:pPr>
            <w:r>
              <w:rPr>
                <w:rFonts w:ascii="Arial" w:cs="Arial" w:eastAsia="Arial" w:hAnsi="Arial"/>
                <w:sz w:val="16"/>
                <w:szCs w:val="16"/>
                <w:color w:val="auto"/>
              </w:rPr>
              <w:t>5,277</w:t>
            </w:r>
          </w:p>
        </w:tc>
        <w:tc>
          <w:tcPr>
            <w:tcW w:w="1520" w:type="dxa"/>
            <w:vAlign w:val="bottom"/>
            <w:gridSpan w:val="2"/>
          </w:tcPr>
          <w:p>
            <w:pPr>
              <w:jc w:val="right"/>
              <w:ind w:right="188"/>
              <w:spacing w:after="0"/>
              <w:rPr>
                <w:sz w:val="20"/>
                <w:szCs w:val="20"/>
                <w:color w:val="auto"/>
              </w:rPr>
            </w:pPr>
            <w:r>
              <w:rPr>
                <w:rFonts w:ascii="Arial" w:cs="Arial" w:eastAsia="Arial" w:hAnsi="Arial"/>
                <w:sz w:val="16"/>
                <w:szCs w:val="16"/>
                <w:color w:val="auto"/>
              </w:rPr>
              <w:t>4,723</w:t>
            </w:r>
          </w:p>
        </w:tc>
        <w:tc>
          <w:tcPr>
            <w:tcW w:w="1020" w:type="dxa"/>
            <w:vAlign w:val="bottom"/>
            <w:gridSpan w:val="2"/>
          </w:tcPr>
          <w:p>
            <w:pPr>
              <w:jc w:val="right"/>
              <w:ind w:right="228"/>
              <w:spacing w:after="0"/>
              <w:rPr>
                <w:sz w:val="20"/>
                <w:szCs w:val="20"/>
                <w:color w:val="auto"/>
              </w:rPr>
            </w:pPr>
            <w:r>
              <w:rPr>
                <w:rFonts w:ascii="Arial" w:cs="Arial" w:eastAsia="Arial" w:hAnsi="Arial"/>
                <w:sz w:val="16"/>
                <w:szCs w:val="16"/>
                <w:color w:val="auto"/>
              </w:rPr>
              <w:t>3.00</w:t>
            </w:r>
          </w:p>
        </w:tc>
        <w:tc>
          <w:tcPr>
            <w:tcW w:w="102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05-26-10</w:t>
            </w:r>
          </w:p>
        </w:tc>
        <w:tc>
          <w:tcPr>
            <w:tcW w:w="126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05-26-20</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580" w:type="dxa"/>
            <w:vAlign w:val="bottom"/>
            <w:tcBorders>
              <w:left w:val="single" w:sz="8" w:color="808080"/>
              <w:bottom w:val="single" w:sz="8" w:color="auto"/>
            </w:tcBorders>
            <w:shd w:val="clear" w:color="auto" w:fill="B6DDE8"/>
          </w:tcPr>
          <w:p>
            <w:pPr>
              <w:spacing w:after="0"/>
              <w:rPr>
                <w:sz w:val="19"/>
                <w:szCs w:val="19"/>
                <w:color w:val="auto"/>
              </w:rPr>
            </w:pPr>
          </w:p>
        </w:tc>
        <w:tc>
          <w:tcPr>
            <w:tcW w:w="1660" w:type="dxa"/>
            <w:vAlign w:val="bottom"/>
            <w:tcBorders>
              <w:bottom w:val="single" w:sz="8" w:color="auto"/>
            </w:tcBorders>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gridSpan w:val="2"/>
            <w:shd w:val="clear" w:color="auto" w:fill="B6DDE8"/>
          </w:tcPr>
          <w:p>
            <w:pPr>
              <w:jc w:val="right"/>
              <w:ind w:right="188"/>
              <w:spacing w:after="0"/>
              <w:rPr>
                <w:sz w:val="20"/>
                <w:szCs w:val="20"/>
                <w:color w:val="auto"/>
              </w:rPr>
            </w:pPr>
            <w:r>
              <w:rPr>
                <w:rFonts w:ascii="Arial" w:cs="Arial" w:eastAsia="Arial" w:hAnsi="Arial"/>
                <w:sz w:val="16"/>
                <w:szCs w:val="16"/>
                <w:color w:val="auto"/>
              </w:rPr>
              <w:t>10,000</w:t>
            </w:r>
          </w:p>
        </w:tc>
        <w:tc>
          <w:tcPr>
            <w:tcW w:w="1020" w:type="dxa"/>
            <w:vAlign w:val="bottom"/>
            <w:tcBorders>
              <w:bottom w:val="single" w:sz="8" w:color="auto"/>
            </w:tcBorders>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5.48</w:t>
            </w:r>
          </w:p>
        </w:tc>
        <w:tc>
          <w:tcPr>
            <w:tcW w:w="1020" w:type="dxa"/>
            <w:vAlign w:val="bottom"/>
            <w:tcBorders>
              <w:bottom w:val="single" w:sz="8" w:color="auto"/>
            </w:tcBorders>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08-05-11</w:t>
            </w:r>
          </w:p>
        </w:tc>
        <w:tc>
          <w:tcPr>
            <w:tcW w:w="1260" w:type="dxa"/>
            <w:vAlign w:val="bottom"/>
            <w:tcBorders>
              <w:bottom w:val="single" w:sz="8" w:color="auto"/>
            </w:tcBorders>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08-05-21</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Borders>
              <w:left w:val="single" w:sz="8" w:color="808080"/>
              <w:bottom w:val="single" w:sz="8" w:color="808080"/>
            </w:tcBorders>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1460" w:type="dxa"/>
            <w:vAlign w:val="bottom"/>
            <w:tcBorders>
              <w:bottom w:val="single" w:sz="8" w:color="808080"/>
            </w:tcBorders>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106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620" w:hanging="612"/>
        <w:spacing w:after="0"/>
        <w:tabs>
          <w:tab w:leader="none" w:pos="6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Unvested options vest monthly over a three year period beginning on the date of grant.</w:t>
      </w:r>
    </w:p>
    <w:p>
      <w:pPr>
        <w:spacing w:after="0" w:line="262" w:lineRule="exact"/>
        <w:rPr>
          <w:sz w:val="20"/>
          <w:szCs w:val="20"/>
          <w:color w:val="auto"/>
        </w:rPr>
      </w:pPr>
    </w:p>
    <w:p>
      <w:pPr>
        <w:jc w:val="center"/>
        <w:ind w:right="1739"/>
        <w:spacing w:after="0"/>
        <w:rPr>
          <w:sz w:val="20"/>
          <w:szCs w:val="20"/>
          <w:color w:val="auto"/>
        </w:rPr>
      </w:pPr>
      <w:r>
        <w:rPr>
          <w:rFonts w:ascii="Arial" w:cs="Arial" w:eastAsia="Arial" w:hAnsi="Arial"/>
          <w:sz w:val="22"/>
          <w:szCs w:val="22"/>
          <w:b w:val="1"/>
          <w:bCs w:val="1"/>
          <w:color w:val="auto"/>
        </w:rPr>
        <w:t>Option Exercises</w:t>
      </w:r>
    </w:p>
    <w:p>
      <w:pPr>
        <w:spacing w:after="0" w:line="185" w:lineRule="exact"/>
        <w:rPr>
          <w:sz w:val="20"/>
          <w:szCs w:val="20"/>
          <w:color w:val="auto"/>
        </w:rPr>
      </w:pPr>
    </w:p>
    <w:p>
      <w:pPr>
        <w:ind w:right="2299" w:firstLine="648"/>
        <w:spacing w:after="0" w:line="251" w:lineRule="auto"/>
        <w:rPr>
          <w:sz w:val="20"/>
          <w:szCs w:val="20"/>
          <w:color w:val="auto"/>
        </w:rPr>
      </w:pPr>
      <w:r>
        <w:rPr>
          <w:rFonts w:ascii="Arial" w:cs="Arial" w:eastAsia="Arial" w:hAnsi="Arial"/>
          <w:sz w:val="22"/>
          <w:szCs w:val="22"/>
          <w:color w:val="auto"/>
        </w:rPr>
        <w:t>The following table provides information on the exercise of stock options by named executive officers during the year ended December 31, 2011.</w:t>
      </w:r>
    </w:p>
    <w:p>
      <w:pPr>
        <w:spacing w:after="0" w:line="158" w:lineRule="exact"/>
        <w:rPr>
          <w:sz w:val="20"/>
          <w:szCs w:val="20"/>
          <w:color w:val="auto"/>
        </w:rPr>
      </w:pPr>
    </w:p>
    <w:tbl>
      <w:tblPr>
        <w:tblLayout w:type="fixed"/>
        <w:tblInd w:w="30" w:type="dxa"/>
        <w:tblCellMar>
          <w:top w:w="0" w:type="dxa"/>
          <w:left w:w="0" w:type="dxa"/>
          <w:bottom w:w="0" w:type="dxa"/>
          <w:right w:w="0" w:type="dxa"/>
        </w:tblCellMar>
      </w:tblPr>
      <w:tr>
        <w:trPr>
          <w:trHeight w:val="156"/>
        </w:trPr>
        <w:tc>
          <w:tcPr>
            <w:tcW w:w="2180" w:type="dxa"/>
            <w:vAlign w:val="bottom"/>
            <w:tcBorders>
              <w:top w:val="single" w:sz="8" w:color="808080"/>
              <w:left w:val="single" w:sz="8" w:color="808080"/>
            </w:tcBorders>
            <w:vMerge w:val="restart"/>
          </w:tcPr>
          <w:p>
            <w:pPr>
              <w:ind w:left="920"/>
              <w:spacing w:after="0"/>
              <w:rPr>
                <w:sz w:val="20"/>
                <w:szCs w:val="20"/>
                <w:color w:val="auto"/>
              </w:rPr>
            </w:pPr>
            <w:r>
              <w:rPr>
                <w:rFonts w:ascii="Arial" w:cs="Arial" w:eastAsia="Arial" w:hAnsi="Arial"/>
                <w:sz w:val="14"/>
                <w:szCs w:val="14"/>
                <w:b w:val="1"/>
                <w:bCs w:val="1"/>
                <w:color w:val="auto"/>
              </w:rPr>
              <w:t>Name</w:t>
            </w:r>
          </w:p>
        </w:tc>
        <w:tc>
          <w:tcPr>
            <w:tcW w:w="300" w:type="dxa"/>
            <w:vAlign w:val="bottom"/>
            <w:tcBorders>
              <w:top w:val="single" w:sz="8" w:color="808080"/>
            </w:tcBorders>
          </w:tcPr>
          <w:p>
            <w:pPr>
              <w:spacing w:after="0"/>
              <w:rPr>
                <w:sz w:val="13"/>
                <w:szCs w:val="13"/>
                <w:color w:val="auto"/>
              </w:rPr>
            </w:pPr>
          </w:p>
        </w:tc>
        <w:tc>
          <w:tcPr>
            <w:tcW w:w="2040" w:type="dxa"/>
            <w:vAlign w:val="bottom"/>
            <w:tcBorders>
              <w:top w:val="single" w:sz="8" w:color="808080"/>
            </w:tcBorders>
          </w:tcPr>
          <w:p>
            <w:pPr>
              <w:jc w:val="center"/>
              <w:spacing w:after="0" w:line="156" w:lineRule="exact"/>
              <w:rPr>
                <w:sz w:val="20"/>
                <w:szCs w:val="20"/>
                <w:color w:val="auto"/>
              </w:rPr>
            </w:pPr>
            <w:r>
              <w:rPr>
                <w:rFonts w:ascii="Arial" w:cs="Arial" w:eastAsia="Arial" w:hAnsi="Arial"/>
                <w:sz w:val="14"/>
                <w:szCs w:val="14"/>
                <w:b w:val="1"/>
                <w:bCs w:val="1"/>
                <w:color w:val="auto"/>
                <w:w w:val="91"/>
              </w:rPr>
              <w:t>Number of shares acquired on</w:t>
            </w:r>
          </w:p>
        </w:tc>
        <w:tc>
          <w:tcPr>
            <w:tcW w:w="280" w:type="dxa"/>
            <w:vAlign w:val="bottom"/>
            <w:tcBorders>
              <w:top w:val="single" w:sz="8" w:color="808080"/>
            </w:tcBorders>
          </w:tcPr>
          <w:p>
            <w:pPr>
              <w:spacing w:after="0"/>
              <w:rPr>
                <w:sz w:val="13"/>
                <w:szCs w:val="13"/>
                <w:color w:val="auto"/>
              </w:rPr>
            </w:pPr>
          </w:p>
        </w:tc>
        <w:tc>
          <w:tcPr>
            <w:tcW w:w="1460" w:type="dxa"/>
            <w:vAlign w:val="bottom"/>
            <w:tcBorders>
              <w:top w:val="single" w:sz="8" w:color="808080"/>
              <w:right w:val="single" w:sz="8" w:color="808080"/>
            </w:tcBorders>
            <w:gridSpan w:val="3"/>
          </w:tcPr>
          <w:p>
            <w:pPr>
              <w:jc w:val="center"/>
              <w:ind w:right="20"/>
              <w:spacing w:after="0" w:line="156" w:lineRule="exact"/>
              <w:rPr>
                <w:sz w:val="20"/>
                <w:szCs w:val="20"/>
                <w:color w:val="auto"/>
              </w:rPr>
            </w:pPr>
            <w:r>
              <w:rPr>
                <w:rFonts w:ascii="Arial" w:cs="Arial" w:eastAsia="Arial" w:hAnsi="Arial"/>
                <w:sz w:val="14"/>
                <w:szCs w:val="14"/>
                <w:b w:val="1"/>
                <w:bCs w:val="1"/>
                <w:color w:val="auto"/>
                <w:w w:val="90"/>
              </w:rPr>
              <w:t>Value realized on</w:t>
            </w:r>
          </w:p>
        </w:tc>
        <w:tc>
          <w:tcPr>
            <w:tcW w:w="0" w:type="dxa"/>
            <w:vAlign w:val="bottom"/>
          </w:tcPr>
          <w:p>
            <w:pPr>
              <w:spacing w:after="0"/>
              <w:rPr>
                <w:sz w:val="1"/>
                <w:szCs w:val="1"/>
                <w:color w:val="auto"/>
              </w:rPr>
            </w:pPr>
          </w:p>
        </w:tc>
      </w:tr>
      <w:tr>
        <w:trPr>
          <w:trHeight w:val="146"/>
        </w:trPr>
        <w:tc>
          <w:tcPr>
            <w:tcW w:w="2180" w:type="dxa"/>
            <w:vAlign w:val="bottom"/>
            <w:tcBorders>
              <w:left w:val="single" w:sz="8" w:color="808080"/>
            </w:tcBorders>
            <w:vMerge w:val="continue"/>
          </w:tcPr>
          <w:p>
            <w:pPr>
              <w:spacing w:after="0"/>
              <w:rPr>
                <w:sz w:val="12"/>
                <w:szCs w:val="12"/>
                <w:color w:val="auto"/>
              </w:rPr>
            </w:pPr>
          </w:p>
        </w:tc>
        <w:tc>
          <w:tcPr>
            <w:tcW w:w="300" w:type="dxa"/>
            <w:vAlign w:val="bottom"/>
          </w:tcPr>
          <w:p>
            <w:pPr>
              <w:spacing w:after="0"/>
              <w:rPr>
                <w:sz w:val="12"/>
                <w:szCs w:val="12"/>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exercise</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vMerge w:val="restart"/>
          </w:tcPr>
          <w:p>
            <w:pPr>
              <w:jc w:val="center"/>
              <w:ind w:right="204"/>
              <w:spacing w:after="0" w:line="252" w:lineRule="exact"/>
              <w:rPr>
                <w:sz w:val="20"/>
                <w:szCs w:val="20"/>
                <w:color w:val="auto"/>
              </w:rPr>
            </w:pPr>
            <w:r>
              <w:rPr>
                <w:rFonts w:ascii="Arial" w:cs="Arial" w:eastAsia="Arial" w:hAnsi="Arial"/>
                <w:sz w:val="14"/>
                <w:szCs w:val="14"/>
                <w:b w:val="1"/>
                <w:bCs w:val="1"/>
                <w:color w:val="auto"/>
                <w:w w:val="81"/>
              </w:rPr>
              <w:t xml:space="preserve">exercise </w:t>
            </w:r>
            <w:r>
              <w:rPr>
                <w:rFonts w:ascii="Arial" w:cs="Arial" w:eastAsia="Arial" w:hAnsi="Arial"/>
                <w:sz w:val="29"/>
                <w:szCs w:val="29"/>
                <w:b w:val="1"/>
                <w:bCs w:val="1"/>
                <w:color w:val="auto"/>
                <w:w w:val="81"/>
                <w:vertAlign w:val="superscript"/>
              </w:rPr>
              <w:t>(1)</w:t>
            </w:r>
          </w:p>
        </w:tc>
        <w:tc>
          <w:tcPr>
            <w:tcW w:w="40" w:type="dxa"/>
            <w:vAlign w:val="bottom"/>
            <w:tcBorders>
              <w:right w:val="single" w:sz="8" w:color="808080"/>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180" w:type="dxa"/>
            <w:vAlign w:val="bottom"/>
            <w:tcBorders>
              <w:left w:val="single" w:sz="8" w:color="808080"/>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40" w:type="dxa"/>
            <w:vAlign w:val="bottom"/>
            <w:tcBorders>
              <w:bottom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40" w:type="dxa"/>
            <w:vAlign w:val="bottom"/>
            <w:tcBorders>
              <w:right w:val="single" w:sz="8" w:color="808080"/>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18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Tracy A. Bathurst</w:t>
            </w:r>
          </w:p>
        </w:tc>
        <w:tc>
          <w:tcPr>
            <w:tcW w:w="234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95,138</w:t>
            </w:r>
          </w:p>
        </w:tc>
        <w:tc>
          <w:tcPr>
            <w:tcW w:w="580" w:type="dxa"/>
            <w:vAlign w:val="bottom"/>
            <w:gridSpan w:val="2"/>
            <w:shd w:val="clear" w:color="auto" w:fill="B6DDE8"/>
          </w:tcPr>
          <w:p>
            <w:pPr>
              <w:jc w:val="right"/>
              <w:ind w:right="8"/>
              <w:spacing w:after="0"/>
              <w:rPr>
                <w:sz w:val="20"/>
                <w:szCs w:val="20"/>
                <w:color w:val="auto"/>
              </w:rPr>
            </w:pPr>
            <w:r>
              <w:rPr>
                <w:rFonts w:ascii="Arial" w:cs="Arial" w:eastAsia="Arial" w:hAnsi="Arial"/>
                <w:sz w:val="16"/>
                <w:szCs w:val="16"/>
                <w:color w:val="auto"/>
              </w:rPr>
              <w:t>$</w:t>
            </w:r>
          </w:p>
        </w:tc>
        <w:tc>
          <w:tcPr>
            <w:tcW w:w="1120" w:type="dxa"/>
            <w:vAlign w:val="bottom"/>
            <w:shd w:val="clear" w:color="auto" w:fill="B6DDE8"/>
          </w:tcPr>
          <w:p>
            <w:pPr>
              <w:jc w:val="right"/>
              <w:ind w:right="244"/>
              <w:spacing w:after="0"/>
              <w:rPr>
                <w:sz w:val="20"/>
                <w:szCs w:val="20"/>
                <w:color w:val="auto"/>
              </w:rPr>
            </w:pPr>
            <w:r>
              <w:rPr>
                <w:rFonts w:ascii="Arial" w:cs="Arial" w:eastAsia="Arial" w:hAnsi="Arial"/>
                <w:sz w:val="16"/>
                <w:szCs w:val="16"/>
                <w:color w:val="auto"/>
              </w:rPr>
              <w:t>185,449</w:t>
            </w:r>
          </w:p>
        </w:tc>
        <w:tc>
          <w:tcPr>
            <w:tcW w:w="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80" w:type="dxa"/>
            <w:vAlign w:val="bottom"/>
            <w:tcBorders>
              <w:left w:val="single" w:sz="8" w:color="808080"/>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204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112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-481965</wp:posOffset>
            </wp:positionV>
            <wp:extent cx="3936365"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36365" cy="257175"/>
                    </a:xfrm>
                    <a:prstGeom prst="rect">
                      <a:avLst/>
                    </a:prstGeom>
                    <a:noFill/>
                  </pic:spPr>
                </pic:pic>
              </a:graphicData>
            </a:graphic>
          </wp:anchor>
        </w:drawing>
      </w:r>
    </w:p>
    <w:p>
      <w:pPr>
        <w:spacing w:after="0" w:line="320" w:lineRule="exact"/>
        <w:rPr>
          <w:sz w:val="20"/>
          <w:szCs w:val="20"/>
          <w:color w:val="auto"/>
        </w:rPr>
      </w:pPr>
    </w:p>
    <w:p>
      <w:pPr>
        <w:ind w:left="660" w:right="1999" w:hanging="652"/>
        <w:spacing w:after="0" w:line="251" w:lineRule="auto"/>
        <w:tabs>
          <w:tab w:leader="none" w:pos="633" w:val="left"/>
        </w:tabs>
        <w:numPr>
          <w:ilvl w:val="0"/>
          <w:numId w:val="11"/>
        </w:numPr>
        <w:rPr>
          <w:rFonts w:ascii="Arial" w:cs="Arial" w:eastAsia="Arial" w:hAnsi="Arial"/>
          <w:sz w:val="22"/>
          <w:szCs w:val="22"/>
          <w:color w:val="auto"/>
        </w:rPr>
      </w:pPr>
      <w:r>
        <w:rPr>
          <w:rFonts w:ascii="Arial" w:cs="Arial" w:eastAsia="Arial" w:hAnsi="Arial"/>
          <w:sz w:val="22"/>
          <w:szCs w:val="22"/>
          <w:color w:val="auto"/>
        </w:rPr>
        <w:t>Value realized on exercise is the excess of market price of underlying shares on the date of exercise over exercise price for the options.</w:t>
      </w:r>
    </w:p>
    <w:p>
      <w:pPr>
        <w:sectPr>
          <w:pgSz w:w="11900" w:h="16838" w:orient="portrait"/>
          <w:cols w:equalWidth="0" w:num="1">
            <w:col w:w="10219"/>
          </w:cols>
          <w:pgMar w:left="240" w:top="361" w:right="1440" w:bottom="8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5351145"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361" w:right="1440" w:bottom="861" w:gutter="0" w:footer="0" w:header="0"/>
          <w:type w:val="continuous"/>
        </w:sectPr>
      </w:pPr>
    </w:p>
    <w:bookmarkStart w:id="18" w:name="page19"/>
    <w:bookmarkEnd w:id="18"/>
    <w:p>
      <w:pPr>
        <w:jc w:val="both"/>
        <w:ind w:right="1779"/>
        <w:spacing w:after="0" w:line="328" w:lineRule="auto"/>
        <w:rPr>
          <w:sz w:val="20"/>
          <w:szCs w:val="20"/>
          <w:color w:val="auto"/>
        </w:rPr>
      </w:pPr>
      <w:r>
        <w:rPr>
          <w:rFonts w:ascii="Arial" w:cs="Arial" w:eastAsia="Arial" w:hAnsi="Arial"/>
          <w:sz w:val="19"/>
          <w:szCs w:val="19"/>
          <w:color w:val="auto"/>
        </w:rPr>
        <w:t>The following table sets forth information as of December 31, 2011 with respect to compensation plans under which equity securities of ClearOne are authorized for issuance.</w:t>
      </w:r>
    </w:p>
    <w:p>
      <w:pPr>
        <w:spacing w:after="0" w:line="90" w:lineRule="exact"/>
        <w:rPr>
          <w:sz w:val="20"/>
          <w:szCs w:val="20"/>
          <w:color w:val="auto"/>
        </w:rPr>
      </w:pPr>
    </w:p>
    <w:tbl>
      <w:tblPr>
        <w:tblLayout w:type="fixed"/>
        <w:tblInd w:w="30" w:type="dxa"/>
        <w:tblCellMar>
          <w:top w:w="0" w:type="dxa"/>
          <w:left w:w="0" w:type="dxa"/>
          <w:bottom w:w="0" w:type="dxa"/>
          <w:right w:w="0" w:type="dxa"/>
        </w:tblCellMar>
      </w:tblPr>
      <w:tr>
        <w:trPr>
          <w:trHeight w:val="251"/>
        </w:trPr>
        <w:tc>
          <w:tcPr>
            <w:tcW w:w="2600" w:type="dxa"/>
            <w:vAlign w:val="bottom"/>
            <w:tcBorders>
              <w:top w:val="single" w:sz="8" w:color="808080"/>
              <w:left w:val="single" w:sz="8" w:color="808080"/>
            </w:tcBorders>
          </w:tcPr>
          <w:p>
            <w:pPr>
              <w:spacing w:after="0"/>
              <w:rPr>
                <w:sz w:val="21"/>
                <w:szCs w:val="21"/>
                <w:color w:val="auto"/>
              </w:rPr>
            </w:pPr>
          </w:p>
        </w:tc>
        <w:tc>
          <w:tcPr>
            <w:tcW w:w="1960" w:type="dxa"/>
            <w:vAlign w:val="bottom"/>
            <w:tcBorders>
              <w:top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 to be</w:t>
            </w:r>
          </w:p>
        </w:tc>
        <w:tc>
          <w:tcPr>
            <w:tcW w:w="240" w:type="dxa"/>
            <w:vAlign w:val="bottom"/>
            <w:tcBorders>
              <w:top w:val="single" w:sz="8" w:color="808080"/>
            </w:tcBorders>
          </w:tcPr>
          <w:p>
            <w:pPr>
              <w:spacing w:after="0"/>
              <w:rPr>
                <w:sz w:val="21"/>
                <w:szCs w:val="21"/>
                <w:color w:val="auto"/>
              </w:rPr>
            </w:pPr>
          </w:p>
        </w:tc>
        <w:tc>
          <w:tcPr>
            <w:tcW w:w="260" w:type="dxa"/>
            <w:vAlign w:val="bottom"/>
            <w:tcBorders>
              <w:top w:val="single" w:sz="8" w:color="808080"/>
            </w:tcBorders>
          </w:tcPr>
          <w:p>
            <w:pPr>
              <w:spacing w:after="0"/>
              <w:rPr>
                <w:sz w:val="21"/>
                <w:szCs w:val="21"/>
                <w:color w:val="auto"/>
              </w:rPr>
            </w:pPr>
          </w:p>
        </w:tc>
        <w:tc>
          <w:tcPr>
            <w:tcW w:w="1640" w:type="dxa"/>
            <w:vAlign w:val="bottom"/>
            <w:tcBorders>
              <w:top w:val="single" w:sz="8" w:color="808080"/>
            </w:tcBorders>
          </w:tcPr>
          <w:p>
            <w:pPr>
              <w:spacing w:after="0"/>
              <w:rPr>
                <w:sz w:val="21"/>
                <w:szCs w:val="21"/>
                <w:color w:val="auto"/>
              </w:rPr>
            </w:pPr>
          </w:p>
        </w:tc>
        <w:tc>
          <w:tcPr>
            <w:tcW w:w="220" w:type="dxa"/>
            <w:vAlign w:val="bottom"/>
            <w:tcBorders>
              <w:top w:val="single" w:sz="8" w:color="808080"/>
            </w:tcBorders>
          </w:tcPr>
          <w:p>
            <w:pPr>
              <w:spacing w:after="0"/>
              <w:rPr>
                <w:sz w:val="21"/>
                <w:szCs w:val="21"/>
                <w:color w:val="auto"/>
              </w:rPr>
            </w:pPr>
          </w:p>
        </w:tc>
        <w:tc>
          <w:tcPr>
            <w:tcW w:w="2020" w:type="dxa"/>
            <w:vAlign w:val="bottom"/>
            <w:tcBorders>
              <w:top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81"/>
        </w:trPr>
        <w:tc>
          <w:tcPr>
            <w:tcW w:w="2600" w:type="dxa"/>
            <w:vAlign w:val="bottom"/>
            <w:tcBorders>
              <w:left w:val="single" w:sz="8" w:color="808080"/>
            </w:tcBorders>
          </w:tcPr>
          <w:p>
            <w:pPr>
              <w:spacing w:after="0"/>
              <w:rPr>
                <w:sz w:val="7"/>
                <w:szCs w:val="7"/>
                <w:color w:val="auto"/>
              </w:rPr>
            </w:pPr>
          </w:p>
        </w:tc>
        <w:tc>
          <w:tcPr>
            <w:tcW w:w="19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9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Weighted-average exercise</w:t>
            </w:r>
          </w:p>
        </w:tc>
        <w:tc>
          <w:tcPr>
            <w:tcW w:w="220" w:type="dxa"/>
            <w:vAlign w:val="bottom"/>
          </w:tcPr>
          <w:p>
            <w:pPr>
              <w:spacing w:after="0"/>
              <w:rPr>
                <w:sz w:val="7"/>
                <w:szCs w:val="7"/>
                <w:color w:val="auto"/>
              </w:rPr>
            </w:pPr>
          </w:p>
        </w:tc>
        <w:tc>
          <w:tcPr>
            <w:tcW w:w="2020" w:type="dxa"/>
            <w:vAlign w:val="bottom"/>
            <w:tcBorders>
              <w:right w:val="single" w:sz="8" w:color="808080"/>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 future issuance</w:t>
            </w:r>
          </w:p>
        </w:tc>
        <w:tc>
          <w:tcPr>
            <w:tcW w:w="0" w:type="dxa"/>
            <w:vAlign w:val="bottom"/>
          </w:tcPr>
          <w:p>
            <w:pPr>
              <w:spacing w:after="0"/>
              <w:rPr>
                <w:sz w:val="1"/>
                <w:szCs w:val="1"/>
                <w:color w:val="auto"/>
              </w:rPr>
            </w:pPr>
          </w:p>
        </w:tc>
      </w:tr>
      <w:tr>
        <w:trPr>
          <w:trHeight w:val="68"/>
        </w:trPr>
        <w:tc>
          <w:tcPr>
            <w:tcW w:w="2600" w:type="dxa"/>
            <w:vAlign w:val="bottom"/>
            <w:tcBorders>
              <w:left w:val="single" w:sz="8" w:color="808080"/>
            </w:tcBorders>
          </w:tcPr>
          <w:p>
            <w:pPr>
              <w:spacing w:after="0"/>
              <w:rPr>
                <w:sz w:val="5"/>
                <w:szCs w:val="5"/>
                <w:color w:val="auto"/>
              </w:rPr>
            </w:pPr>
          </w:p>
        </w:tc>
        <w:tc>
          <w:tcPr>
            <w:tcW w:w="19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240" w:type="dxa"/>
            <w:vAlign w:val="bottom"/>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2020" w:type="dxa"/>
            <w:vAlign w:val="bottom"/>
            <w:tcBorders>
              <w:right w:val="single" w:sz="8" w:color="808080"/>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808080"/>
            </w:tcBorders>
          </w:tcPr>
          <w:p>
            <w:pPr>
              <w:spacing w:after="0"/>
              <w:rPr>
                <w:sz w:val="7"/>
                <w:szCs w:val="7"/>
                <w:color w:val="auto"/>
              </w:rPr>
            </w:pPr>
          </w:p>
        </w:tc>
        <w:tc>
          <w:tcPr>
            <w:tcW w:w="19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9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price of outstanding options,</w:t>
            </w:r>
          </w:p>
        </w:tc>
        <w:tc>
          <w:tcPr>
            <w:tcW w:w="220" w:type="dxa"/>
            <w:vAlign w:val="bottom"/>
          </w:tcPr>
          <w:p>
            <w:pPr>
              <w:spacing w:after="0"/>
              <w:rPr>
                <w:sz w:val="7"/>
                <w:szCs w:val="7"/>
                <w:color w:val="auto"/>
              </w:rPr>
            </w:pPr>
          </w:p>
        </w:tc>
        <w:tc>
          <w:tcPr>
            <w:tcW w:w="2020" w:type="dxa"/>
            <w:vAlign w:val="bottom"/>
            <w:tcBorders>
              <w:right w:val="single" w:sz="8" w:color="808080"/>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under equity compensation</w:t>
            </w:r>
          </w:p>
        </w:tc>
        <w:tc>
          <w:tcPr>
            <w:tcW w:w="0" w:type="dxa"/>
            <w:vAlign w:val="bottom"/>
          </w:tcPr>
          <w:p>
            <w:pPr>
              <w:spacing w:after="0"/>
              <w:rPr>
                <w:sz w:val="1"/>
                <w:szCs w:val="1"/>
                <w:color w:val="auto"/>
              </w:rPr>
            </w:pPr>
          </w:p>
        </w:tc>
      </w:tr>
      <w:tr>
        <w:trPr>
          <w:trHeight w:val="68"/>
        </w:trPr>
        <w:tc>
          <w:tcPr>
            <w:tcW w:w="2600" w:type="dxa"/>
            <w:vAlign w:val="bottom"/>
            <w:tcBorders>
              <w:left w:val="single" w:sz="8" w:color="808080"/>
            </w:tcBorders>
          </w:tcPr>
          <w:p>
            <w:pPr>
              <w:spacing w:after="0"/>
              <w:rPr>
                <w:sz w:val="5"/>
                <w:szCs w:val="5"/>
                <w:color w:val="auto"/>
              </w:rPr>
            </w:pPr>
          </w:p>
        </w:tc>
        <w:tc>
          <w:tcPr>
            <w:tcW w:w="19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outstanding options, warrants</w:t>
            </w:r>
          </w:p>
        </w:tc>
        <w:tc>
          <w:tcPr>
            <w:tcW w:w="240" w:type="dxa"/>
            <w:vAlign w:val="bottom"/>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2020" w:type="dxa"/>
            <w:vAlign w:val="bottom"/>
            <w:tcBorders>
              <w:right w:val="single" w:sz="8" w:color="808080"/>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808080"/>
            </w:tcBorders>
          </w:tcPr>
          <w:p>
            <w:pPr>
              <w:spacing w:after="0"/>
              <w:rPr>
                <w:sz w:val="7"/>
                <w:szCs w:val="7"/>
                <w:color w:val="auto"/>
              </w:rPr>
            </w:pPr>
          </w:p>
        </w:tc>
        <w:tc>
          <w:tcPr>
            <w:tcW w:w="19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40" w:type="dxa"/>
            <w:vAlign w:val="bottom"/>
            <w:vMerge w:val="restart"/>
          </w:tcPr>
          <w:p>
            <w:pPr>
              <w:jc w:val="center"/>
              <w:ind w:right="183"/>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220" w:type="dxa"/>
            <w:vAlign w:val="bottom"/>
          </w:tcPr>
          <w:p>
            <w:pPr>
              <w:spacing w:after="0"/>
              <w:rPr>
                <w:sz w:val="7"/>
                <w:szCs w:val="7"/>
                <w:color w:val="auto"/>
              </w:rPr>
            </w:pPr>
          </w:p>
        </w:tc>
        <w:tc>
          <w:tcPr>
            <w:tcW w:w="2020" w:type="dxa"/>
            <w:vAlign w:val="bottom"/>
            <w:tcBorders>
              <w:right w:val="single" w:sz="8" w:color="808080"/>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plans (excluding securities</w:t>
            </w:r>
          </w:p>
        </w:tc>
        <w:tc>
          <w:tcPr>
            <w:tcW w:w="0" w:type="dxa"/>
            <w:vAlign w:val="bottom"/>
          </w:tcPr>
          <w:p>
            <w:pPr>
              <w:spacing w:after="0"/>
              <w:rPr>
                <w:sz w:val="1"/>
                <w:szCs w:val="1"/>
                <w:color w:val="auto"/>
              </w:rPr>
            </w:pPr>
          </w:p>
        </w:tc>
      </w:tr>
      <w:tr>
        <w:trPr>
          <w:trHeight w:val="68"/>
        </w:trPr>
        <w:tc>
          <w:tcPr>
            <w:tcW w:w="2600" w:type="dxa"/>
            <w:vAlign w:val="bottom"/>
            <w:tcBorders>
              <w:left w:val="single" w:sz="8" w:color="808080"/>
            </w:tcBorders>
          </w:tcPr>
          <w:p>
            <w:pPr>
              <w:spacing w:after="0"/>
              <w:rPr>
                <w:sz w:val="5"/>
                <w:szCs w:val="5"/>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20" w:type="dxa"/>
            <w:vAlign w:val="bottom"/>
            <w:tcBorders>
              <w:right w:val="single" w:sz="8" w:color="808080"/>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600" w:type="dxa"/>
            <w:vAlign w:val="bottom"/>
            <w:tcBorders>
              <w:left w:val="single" w:sz="8" w:color="808080"/>
            </w:tcBorders>
          </w:tcPr>
          <w:p>
            <w:pPr>
              <w:spacing w:after="0"/>
              <w:rPr>
                <w:sz w:val="10"/>
                <w:szCs w:val="10"/>
                <w:color w:val="auto"/>
              </w:rPr>
            </w:pPr>
          </w:p>
        </w:tc>
        <w:tc>
          <w:tcPr>
            <w:tcW w:w="19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20" w:type="dxa"/>
            <w:vAlign w:val="bottom"/>
            <w:tcBorders>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68"/>
        </w:trPr>
        <w:tc>
          <w:tcPr>
            <w:tcW w:w="2600" w:type="dxa"/>
            <w:vAlign w:val="bottom"/>
            <w:tcBorders>
              <w:left w:val="single" w:sz="8" w:color="808080"/>
            </w:tcBorders>
          </w:tcPr>
          <w:p>
            <w:pPr>
              <w:spacing w:after="0"/>
              <w:rPr>
                <w:sz w:val="5"/>
                <w:szCs w:val="5"/>
                <w:color w:val="auto"/>
              </w:rPr>
            </w:pPr>
          </w:p>
        </w:tc>
        <w:tc>
          <w:tcPr>
            <w:tcW w:w="1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20" w:type="dxa"/>
            <w:vAlign w:val="bottom"/>
            <w:tcBorders>
              <w:right w:val="single" w:sz="8" w:color="808080"/>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600" w:type="dxa"/>
            <w:vAlign w:val="bottom"/>
            <w:tcBorders>
              <w:left w:val="single" w:sz="8" w:color="808080"/>
            </w:tcBorders>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93"/>
              </w:rPr>
              <w:t>(a)</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jc w:val="center"/>
              <w:ind w:right="183"/>
              <w:spacing w:after="0"/>
              <w:rPr>
                <w:sz w:val="20"/>
                <w:szCs w:val="20"/>
                <w:color w:val="auto"/>
              </w:rPr>
            </w:pPr>
            <w:r>
              <w:rPr>
                <w:rFonts w:ascii="Arial" w:cs="Arial" w:eastAsia="Arial" w:hAnsi="Arial"/>
                <w:sz w:val="14"/>
                <w:szCs w:val="14"/>
                <w:color w:val="auto"/>
              </w:rPr>
              <w:t>(b)</w:t>
            </w:r>
          </w:p>
        </w:tc>
        <w:tc>
          <w:tcPr>
            <w:tcW w:w="220" w:type="dxa"/>
            <w:vAlign w:val="bottom"/>
          </w:tcPr>
          <w:p>
            <w:pPr>
              <w:spacing w:after="0"/>
              <w:rPr>
                <w:sz w:val="24"/>
                <w:szCs w:val="24"/>
                <w:color w:val="auto"/>
              </w:rPr>
            </w:pPr>
          </w:p>
        </w:tc>
        <w:tc>
          <w:tcPr>
            <w:tcW w:w="2020" w:type="dxa"/>
            <w:vAlign w:val="bottom"/>
            <w:tcBorders>
              <w:right w:val="single" w:sz="8" w:color="808080"/>
            </w:tcBorders>
          </w:tcPr>
          <w:p>
            <w:pPr>
              <w:jc w:val="center"/>
              <w:spacing w:after="0"/>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26"/>
        </w:trPr>
        <w:tc>
          <w:tcPr>
            <w:tcW w:w="2600" w:type="dxa"/>
            <w:vAlign w:val="bottom"/>
            <w:tcBorders>
              <w:left w:val="single" w:sz="8" w:color="808080"/>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Borders>
              <w:bottom w:val="single" w:sz="8" w:color="auto"/>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0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Equity compensation plans</w:t>
            </w:r>
          </w:p>
        </w:tc>
        <w:tc>
          <w:tcPr>
            <w:tcW w:w="1960" w:type="dxa"/>
            <w:vAlign w:val="bottom"/>
            <w:vMerge w:val="restart"/>
            <w:shd w:val="clear" w:color="auto" w:fill="B6DDE8"/>
          </w:tcPr>
          <w:p>
            <w:pPr>
              <w:jc w:val="right"/>
              <w:ind w:right="245"/>
              <w:spacing w:after="0"/>
              <w:rPr>
                <w:sz w:val="20"/>
                <w:szCs w:val="20"/>
                <w:color w:val="auto"/>
              </w:rPr>
            </w:pPr>
            <w:r>
              <w:rPr>
                <w:rFonts w:ascii="Arial" w:cs="Arial" w:eastAsia="Arial" w:hAnsi="Arial"/>
                <w:sz w:val="16"/>
                <w:szCs w:val="16"/>
                <w:color w:val="auto"/>
              </w:rPr>
              <w:t>1,160,933</w:t>
            </w:r>
          </w:p>
        </w:tc>
        <w:tc>
          <w:tcPr>
            <w:tcW w:w="500" w:type="dxa"/>
            <w:vAlign w:val="bottom"/>
            <w:gridSpan w:val="2"/>
            <w:vMerge w:val="restart"/>
            <w:shd w:val="clear" w:color="auto" w:fill="B6DDE8"/>
          </w:tcPr>
          <w:p>
            <w:pPr>
              <w:jc w:val="right"/>
              <w:spacing w:after="0"/>
              <w:rPr>
                <w:sz w:val="20"/>
                <w:szCs w:val="20"/>
                <w:color w:val="auto"/>
              </w:rPr>
            </w:pPr>
            <w:r>
              <w:rPr>
                <w:rFonts w:ascii="Arial" w:cs="Arial" w:eastAsia="Arial" w:hAnsi="Arial"/>
                <w:sz w:val="16"/>
                <w:szCs w:val="16"/>
                <w:color w:val="auto"/>
              </w:rPr>
              <w:t>$</w:t>
            </w:r>
          </w:p>
        </w:tc>
        <w:tc>
          <w:tcPr>
            <w:tcW w:w="1640" w:type="dxa"/>
            <w:vAlign w:val="bottom"/>
            <w:vMerge w:val="restart"/>
            <w:shd w:val="clear" w:color="auto" w:fill="B6DDE8"/>
          </w:tcPr>
          <w:p>
            <w:pPr>
              <w:jc w:val="right"/>
              <w:ind w:right="243"/>
              <w:spacing w:after="0"/>
              <w:rPr>
                <w:sz w:val="20"/>
                <w:szCs w:val="20"/>
                <w:color w:val="auto"/>
              </w:rPr>
            </w:pPr>
            <w:r>
              <w:rPr>
                <w:rFonts w:ascii="Arial" w:cs="Arial" w:eastAsia="Arial" w:hAnsi="Arial"/>
                <w:sz w:val="16"/>
                <w:szCs w:val="16"/>
                <w:color w:val="auto"/>
              </w:rPr>
              <w:t>4.50</w:t>
            </w:r>
          </w:p>
        </w:tc>
        <w:tc>
          <w:tcPr>
            <w:tcW w:w="2240" w:type="dxa"/>
            <w:vAlign w:val="bottom"/>
            <w:tcBorders>
              <w:right w:val="single" w:sz="8" w:color="808080"/>
            </w:tcBorders>
            <w:gridSpan w:val="2"/>
            <w:vMerge w:val="restart"/>
            <w:shd w:val="clear" w:color="auto" w:fill="B6DDE8"/>
          </w:tcPr>
          <w:p>
            <w:pPr>
              <w:jc w:val="right"/>
              <w:ind w:right="268"/>
              <w:spacing w:after="0"/>
              <w:rPr>
                <w:sz w:val="20"/>
                <w:szCs w:val="20"/>
                <w:color w:val="auto"/>
              </w:rPr>
            </w:pPr>
            <w:r>
              <w:rPr>
                <w:rFonts w:ascii="Arial" w:cs="Arial" w:eastAsia="Arial" w:hAnsi="Arial"/>
                <w:sz w:val="16"/>
                <w:szCs w:val="16"/>
                <w:color w:val="auto"/>
              </w:rPr>
              <w:t>500,629</w:t>
            </w:r>
          </w:p>
        </w:tc>
        <w:tc>
          <w:tcPr>
            <w:tcW w:w="0" w:type="dxa"/>
            <w:vAlign w:val="bottom"/>
          </w:tcPr>
          <w:p>
            <w:pPr>
              <w:spacing w:after="0"/>
              <w:rPr>
                <w:sz w:val="1"/>
                <w:szCs w:val="1"/>
                <w:color w:val="auto"/>
              </w:rPr>
            </w:pPr>
          </w:p>
        </w:tc>
      </w:tr>
      <w:tr>
        <w:trPr>
          <w:trHeight w:val="112"/>
        </w:trPr>
        <w:tc>
          <w:tcPr>
            <w:tcW w:w="2600" w:type="dxa"/>
            <w:vAlign w:val="bottom"/>
            <w:tcBorders>
              <w:left w:val="single" w:sz="8" w:color="808080"/>
            </w:tcBorders>
            <w:vMerge w:val="restart"/>
            <w:shd w:val="clear" w:color="auto" w:fill="B6DDE8"/>
          </w:tcPr>
          <w:p>
            <w:pPr>
              <w:ind w:left="320"/>
              <w:spacing w:after="0"/>
              <w:rPr>
                <w:sz w:val="20"/>
                <w:szCs w:val="20"/>
                <w:color w:val="auto"/>
              </w:rPr>
            </w:pPr>
            <w:r>
              <w:rPr>
                <w:rFonts w:ascii="Arial" w:cs="Arial" w:eastAsia="Arial" w:hAnsi="Arial"/>
                <w:sz w:val="16"/>
                <w:szCs w:val="16"/>
                <w:color w:val="auto"/>
              </w:rPr>
              <w:t>approved by shareholders</w:t>
            </w:r>
          </w:p>
        </w:tc>
        <w:tc>
          <w:tcPr>
            <w:tcW w:w="1960" w:type="dxa"/>
            <w:vAlign w:val="bottom"/>
            <w:vMerge w:val="continue"/>
            <w:shd w:val="clear" w:color="auto" w:fill="B6DDE8"/>
          </w:tcPr>
          <w:p>
            <w:pPr>
              <w:spacing w:after="0"/>
              <w:rPr>
                <w:sz w:val="9"/>
                <w:szCs w:val="9"/>
                <w:color w:val="auto"/>
              </w:rPr>
            </w:pPr>
          </w:p>
        </w:tc>
        <w:tc>
          <w:tcPr>
            <w:tcW w:w="500" w:type="dxa"/>
            <w:vAlign w:val="bottom"/>
            <w:gridSpan w:val="2"/>
            <w:vMerge w:val="continue"/>
            <w:shd w:val="clear" w:color="auto" w:fill="B6DDE8"/>
          </w:tcPr>
          <w:p>
            <w:pPr>
              <w:spacing w:after="0"/>
              <w:rPr>
                <w:sz w:val="9"/>
                <w:szCs w:val="9"/>
                <w:color w:val="auto"/>
              </w:rPr>
            </w:pPr>
          </w:p>
        </w:tc>
        <w:tc>
          <w:tcPr>
            <w:tcW w:w="1640" w:type="dxa"/>
            <w:vAlign w:val="bottom"/>
            <w:vMerge w:val="continue"/>
            <w:shd w:val="clear" w:color="auto" w:fill="B6DDE8"/>
          </w:tcPr>
          <w:p>
            <w:pPr>
              <w:spacing w:after="0"/>
              <w:rPr>
                <w:sz w:val="9"/>
                <w:szCs w:val="9"/>
                <w:color w:val="auto"/>
              </w:rPr>
            </w:pPr>
          </w:p>
        </w:tc>
        <w:tc>
          <w:tcPr>
            <w:tcW w:w="2240" w:type="dxa"/>
            <w:vAlign w:val="bottom"/>
            <w:tcBorders>
              <w:right w:val="single" w:sz="8" w:color="808080"/>
            </w:tcBorders>
            <w:gridSpan w:val="2"/>
            <w:vMerge w:val="continue"/>
            <w:shd w:val="clear" w:color="auto" w:fill="B6DDE8"/>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600" w:type="dxa"/>
            <w:vAlign w:val="bottom"/>
            <w:tcBorders>
              <w:left w:val="single" w:sz="8" w:color="808080"/>
            </w:tcBorders>
            <w:vMerge w:val="continue"/>
            <w:shd w:val="clear" w:color="auto" w:fill="B6DDE8"/>
          </w:tcPr>
          <w:p>
            <w:pPr>
              <w:spacing w:after="0"/>
              <w:rPr>
                <w:sz w:val="9"/>
                <w:szCs w:val="9"/>
                <w:color w:val="auto"/>
              </w:rPr>
            </w:pPr>
          </w:p>
        </w:tc>
        <w:tc>
          <w:tcPr>
            <w:tcW w:w="1960" w:type="dxa"/>
            <w:vAlign w:val="bottom"/>
            <w:shd w:val="clear" w:color="auto" w:fill="B6DDE8"/>
          </w:tcPr>
          <w:p>
            <w:pPr>
              <w:spacing w:after="0"/>
              <w:rPr>
                <w:sz w:val="9"/>
                <w:szCs w:val="9"/>
                <w:color w:val="auto"/>
              </w:rPr>
            </w:pPr>
          </w:p>
        </w:tc>
        <w:tc>
          <w:tcPr>
            <w:tcW w:w="240" w:type="dxa"/>
            <w:vAlign w:val="bottom"/>
            <w:shd w:val="clear" w:color="auto" w:fill="B6DDE8"/>
          </w:tcPr>
          <w:p>
            <w:pPr>
              <w:spacing w:after="0"/>
              <w:rPr>
                <w:sz w:val="9"/>
                <w:szCs w:val="9"/>
                <w:color w:val="auto"/>
              </w:rPr>
            </w:pPr>
          </w:p>
        </w:tc>
        <w:tc>
          <w:tcPr>
            <w:tcW w:w="260" w:type="dxa"/>
            <w:vAlign w:val="bottom"/>
            <w:shd w:val="clear" w:color="auto" w:fill="B6DDE8"/>
          </w:tcPr>
          <w:p>
            <w:pPr>
              <w:spacing w:after="0"/>
              <w:rPr>
                <w:sz w:val="9"/>
                <w:szCs w:val="9"/>
                <w:color w:val="auto"/>
              </w:rPr>
            </w:pPr>
          </w:p>
        </w:tc>
        <w:tc>
          <w:tcPr>
            <w:tcW w:w="1640" w:type="dxa"/>
            <w:vAlign w:val="bottom"/>
            <w:shd w:val="clear" w:color="auto" w:fill="B6DDE8"/>
          </w:tcPr>
          <w:p>
            <w:pPr>
              <w:spacing w:after="0"/>
              <w:rPr>
                <w:sz w:val="9"/>
                <w:szCs w:val="9"/>
                <w:color w:val="auto"/>
              </w:rPr>
            </w:pPr>
          </w:p>
        </w:tc>
        <w:tc>
          <w:tcPr>
            <w:tcW w:w="220" w:type="dxa"/>
            <w:vAlign w:val="bottom"/>
            <w:shd w:val="clear" w:color="auto" w:fill="B6DDE8"/>
          </w:tcPr>
          <w:p>
            <w:pPr>
              <w:spacing w:after="0"/>
              <w:rPr>
                <w:sz w:val="9"/>
                <w:szCs w:val="9"/>
                <w:color w:val="auto"/>
              </w:rPr>
            </w:pPr>
          </w:p>
        </w:tc>
        <w:tc>
          <w:tcPr>
            <w:tcW w:w="2020" w:type="dxa"/>
            <w:vAlign w:val="bottom"/>
            <w:tcBorders>
              <w:right w:val="single" w:sz="8" w:color="808080"/>
            </w:tcBorders>
            <w:shd w:val="clear" w:color="auto" w:fill="B6DDE8"/>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2600" w:type="dxa"/>
            <w:vAlign w:val="bottom"/>
            <w:tcBorders>
              <w:left w:val="single" w:sz="8" w:color="808080"/>
            </w:tcBorders>
          </w:tcPr>
          <w:p>
            <w:pPr>
              <w:ind w:left="20"/>
              <w:spacing w:after="0"/>
              <w:rPr>
                <w:sz w:val="20"/>
                <w:szCs w:val="20"/>
                <w:color w:val="auto"/>
              </w:rPr>
            </w:pPr>
            <w:r>
              <w:rPr>
                <w:rFonts w:ascii="Arial" w:cs="Arial" w:eastAsia="Arial" w:hAnsi="Arial"/>
                <w:sz w:val="16"/>
                <w:szCs w:val="16"/>
                <w:color w:val="auto"/>
              </w:rPr>
              <w:t>Equity compensation plans not</w:t>
            </w:r>
          </w:p>
        </w:tc>
        <w:tc>
          <w:tcPr>
            <w:tcW w:w="1960" w:type="dxa"/>
            <w:vAlign w:val="bottom"/>
            <w:vMerge w:val="restart"/>
          </w:tcPr>
          <w:p>
            <w:pPr>
              <w:jc w:val="right"/>
              <w:ind w:right="245"/>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vMerge w:val="restart"/>
          </w:tcPr>
          <w:p>
            <w:pPr>
              <w:jc w:val="right"/>
              <w:ind w:right="243"/>
              <w:spacing w:after="0"/>
              <w:rPr>
                <w:sz w:val="20"/>
                <w:szCs w:val="20"/>
                <w:color w:val="auto"/>
              </w:rPr>
            </w:pPr>
            <w:r>
              <w:rPr>
                <w:rFonts w:ascii="Arial" w:cs="Arial" w:eastAsia="Arial" w:hAnsi="Arial"/>
                <w:sz w:val="16"/>
                <w:szCs w:val="16"/>
                <w:color w:val="auto"/>
              </w:rPr>
              <w:t>-</w:t>
            </w:r>
          </w:p>
        </w:tc>
        <w:tc>
          <w:tcPr>
            <w:tcW w:w="2240" w:type="dxa"/>
            <w:vAlign w:val="bottom"/>
            <w:tcBorders>
              <w:right w:val="single" w:sz="8" w:color="808080"/>
            </w:tcBorders>
            <w:gridSpan w:val="2"/>
            <w:vMerge w:val="restart"/>
          </w:tcPr>
          <w:p>
            <w:pPr>
              <w:jc w:val="right"/>
              <w:ind w:right="26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2"/>
        </w:trPr>
        <w:tc>
          <w:tcPr>
            <w:tcW w:w="2600" w:type="dxa"/>
            <w:vAlign w:val="bottom"/>
            <w:tcBorders>
              <w:left w:val="single" w:sz="8" w:color="808080"/>
            </w:tcBorders>
            <w:vMerge w:val="restart"/>
          </w:tcPr>
          <w:p>
            <w:pPr>
              <w:ind w:left="320"/>
              <w:spacing w:after="0"/>
              <w:rPr>
                <w:sz w:val="20"/>
                <w:szCs w:val="20"/>
                <w:color w:val="auto"/>
              </w:rPr>
            </w:pPr>
            <w:r>
              <w:rPr>
                <w:rFonts w:ascii="Arial" w:cs="Arial" w:eastAsia="Arial" w:hAnsi="Arial"/>
                <w:sz w:val="16"/>
                <w:szCs w:val="16"/>
                <w:color w:val="auto"/>
              </w:rPr>
              <w:t>approved by shareholders</w:t>
            </w:r>
          </w:p>
        </w:tc>
        <w:tc>
          <w:tcPr>
            <w:tcW w:w="19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2240" w:type="dxa"/>
            <w:vAlign w:val="bottom"/>
            <w:tcBorders>
              <w:right w:val="single" w:sz="8" w:color="808080"/>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0" w:type="dxa"/>
            <w:vAlign w:val="bottom"/>
            <w:tcBorders>
              <w:left w:val="single" w:sz="8" w:color="808080"/>
              <w:bottom w:val="single" w:sz="8" w:color="B6DDE8"/>
            </w:tcBorders>
            <w:vMerge w:val="continue"/>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240" w:type="dxa"/>
            <w:vAlign w:val="bottom"/>
            <w:tcBorders>
              <w:bottom w:val="single" w:sz="8" w:color="B6DDE8"/>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20" w:type="dxa"/>
            <w:vAlign w:val="bottom"/>
            <w:tcBorders>
              <w:bottom w:val="single" w:sz="8" w:color="B6DDE8"/>
            </w:tcBorders>
          </w:tcPr>
          <w:p>
            <w:pPr>
              <w:spacing w:after="0"/>
              <w:rPr>
                <w:sz w:val="9"/>
                <w:szCs w:val="9"/>
                <w:color w:val="auto"/>
              </w:rPr>
            </w:pPr>
          </w:p>
        </w:tc>
        <w:tc>
          <w:tcPr>
            <w:tcW w:w="2020" w:type="dxa"/>
            <w:vAlign w:val="bottom"/>
            <w:tcBorders>
              <w:bottom w:val="single" w:sz="8" w:color="auto"/>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60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Total</w:t>
            </w:r>
          </w:p>
        </w:tc>
        <w:tc>
          <w:tcPr>
            <w:tcW w:w="1960" w:type="dxa"/>
            <w:vAlign w:val="bottom"/>
            <w:shd w:val="clear" w:color="auto" w:fill="B6DDE8"/>
          </w:tcPr>
          <w:p>
            <w:pPr>
              <w:jc w:val="right"/>
              <w:ind w:right="245"/>
              <w:spacing w:after="0"/>
              <w:rPr>
                <w:sz w:val="20"/>
                <w:szCs w:val="20"/>
                <w:color w:val="auto"/>
              </w:rPr>
            </w:pPr>
            <w:r>
              <w:rPr>
                <w:rFonts w:ascii="Arial" w:cs="Arial" w:eastAsia="Arial" w:hAnsi="Arial"/>
                <w:sz w:val="16"/>
                <w:szCs w:val="16"/>
                <w:color w:val="auto"/>
              </w:rPr>
              <w:t>1,160,933</w:t>
            </w:r>
          </w:p>
        </w:tc>
        <w:tc>
          <w:tcPr>
            <w:tcW w:w="500" w:type="dxa"/>
            <w:vAlign w:val="bottom"/>
            <w:gridSpan w:val="2"/>
            <w:shd w:val="clear" w:color="auto" w:fill="B6DDE8"/>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B6DDE8"/>
          </w:tcPr>
          <w:p>
            <w:pPr>
              <w:jc w:val="right"/>
              <w:ind w:right="243"/>
              <w:spacing w:after="0"/>
              <w:rPr>
                <w:sz w:val="20"/>
                <w:szCs w:val="20"/>
                <w:color w:val="auto"/>
              </w:rPr>
            </w:pPr>
            <w:r>
              <w:rPr>
                <w:rFonts w:ascii="Arial" w:cs="Arial" w:eastAsia="Arial" w:hAnsi="Arial"/>
                <w:sz w:val="16"/>
                <w:szCs w:val="16"/>
                <w:color w:val="auto"/>
              </w:rPr>
              <w:t>4.50</w:t>
            </w:r>
          </w:p>
        </w:tc>
        <w:tc>
          <w:tcPr>
            <w:tcW w:w="2240" w:type="dxa"/>
            <w:vAlign w:val="bottom"/>
            <w:tcBorders>
              <w:right w:val="single" w:sz="8" w:color="808080"/>
            </w:tcBorders>
            <w:gridSpan w:val="2"/>
            <w:shd w:val="clear" w:color="auto" w:fill="B6DDE8"/>
          </w:tcPr>
          <w:p>
            <w:pPr>
              <w:jc w:val="right"/>
              <w:ind w:right="268"/>
              <w:spacing w:after="0"/>
              <w:rPr>
                <w:sz w:val="20"/>
                <w:szCs w:val="20"/>
                <w:color w:val="auto"/>
              </w:rPr>
            </w:pPr>
            <w:r>
              <w:rPr>
                <w:rFonts w:ascii="Arial" w:cs="Arial" w:eastAsia="Arial" w:hAnsi="Arial"/>
                <w:sz w:val="16"/>
                <w:szCs w:val="16"/>
                <w:color w:val="auto"/>
              </w:rPr>
              <w:t>500,629</w:t>
            </w:r>
          </w:p>
        </w:tc>
        <w:tc>
          <w:tcPr>
            <w:tcW w:w="0" w:type="dxa"/>
            <w:vAlign w:val="bottom"/>
          </w:tcPr>
          <w:p>
            <w:pPr>
              <w:spacing w:after="0"/>
              <w:rPr>
                <w:sz w:val="1"/>
                <w:szCs w:val="1"/>
                <w:color w:val="auto"/>
              </w:rPr>
            </w:pPr>
          </w:p>
        </w:tc>
      </w:tr>
      <w:tr>
        <w:trPr>
          <w:trHeight w:val="20"/>
        </w:trPr>
        <w:tc>
          <w:tcPr>
            <w:tcW w:w="2600" w:type="dxa"/>
            <w:vAlign w:val="bottom"/>
            <w:tcBorders>
              <w:top w:val="single" w:sz="8" w:color="B6DDE8"/>
              <w:left w:val="single" w:sz="8" w:color="808080"/>
              <w:bottom w:val="single" w:sz="8" w:color="808080"/>
            </w:tcBorders>
          </w:tcPr>
          <w:p>
            <w:pPr>
              <w:spacing w:after="0" w:line="20" w:lineRule="exact"/>
              <w:rPr>
                <w:sz w:val="1"/>
                <w:szCs w:val="1"/>
                <w:color w:val="auto"/>
              </w:rPr>
            </w:pPr>
          </w:p>
        </w:tc>
        <w:tc>
          <w:tcPr>
            <w:tcW w:w="1960" w:type="dxa"/>
            <w:vAlign w:val="bottom"/>
            <w:tcBorders>
              <w:top w:val="single" w:sz="8" w:color="auto"/>
              <w:bottom w:val="single" w:sz="8" w:color="808080"/>
            </w:tcBorders>
          </w:tcPr>
          <w:p>
            <w:pPr>
              <w:spacing w:after="0" w:line="20" w:lineRule="exact"/>
              <w:rPr>
                <w:sz w:val="1"/>
                <w:szCs w:val="1"/>
                <w:color w:val="auto"/>
              </w:rPr>
            </w:pPr>
          </w:p>
        </w:tc>
        <w:tc>
          <w:tcPr>
            <w:tcW w:w="240" w:type="dxa"/>
            <w:vAlign w:val="bottom"/>
            <w:tcBorders>
              <w:top w:val="single" w:sz="8" w:color="B6DDE8"/>
              <w:bottom w:val="single" w:sz="8" w:color="808080"/>
            </w:tcBorders>
          </w:tcPr>
          <w:p>
            <w:pPr>
              <w:spacing w:after="0" w:line="20" w:lineRule="exact"/>
              <w:rPr>
                <w:sz w:val="1"/>
                <w:szCs w:val="1"/>
                <w:color w:val="auto"/>
              </w:rPr>
            </w:pPr>
          </w:p>
        </w:tc>
        <w:tc>
          <w:tcPr>
            <w:tcW w:w="260" w:type="dxa"/>
            <w:vAlign w:val="bottom"/>
            <w:tcBorders>
              <w:top w:val="single" w:sz="8" w:color="auto"/>
              <w:bottom w:val="single" w:sz="8" w:color="808080"/>
            </w:tcBorders>
          </w:tcPr>
          <w:p>
            <w:pPr>
              <w:spacing w:after="0" w:line="20" w:lineRule="exact"/>
              <w:rPr>
                <w:sz w:val="1"/>
                <w:szCs w:val="1"/>
                <w:color w:val="auto"/>
              </w:rPr>
            </w:pPr>
          </w:p>
        </w:tc>
        <w:tc>
          <w:tcPr>
            <w:tcW w:w="1640" w:type="dxa"/>
            <w:vAlign w:val="bottom"/>
            <w:tcBorders>
              <w:top w:val="single" w:sz="8" w:color="auto"/>
              <w:bottom w:val="single" w:sz="8" w:color="808080"/>
            </w:tcBorders>
          </w:tcPr>
          <w:p>
            <w:pPr>
              <w:spacing w:after="0" w:line="20" w:lineRule="exact"/>
              <w:rPr>
                <w:sz w:val="1"/>
                <w:szCs w:val="1"/>
                <w:color w:val="auto"/>
              </w:rPr>
            </w:pPr>
          </w:p>
        </w:tc>
        <w:tc>
          <w:tcPr>
            <w:tcW w:w="220" w:type="dxa"/>
            <w:vAlign w:val="bottom"/>
            <w:tcBorders>
              <w:top w:val="single" w:sz="8" w:color="B6DDE8"/>
              <w:bottom w:val="single" w:sz="8" w:color="808080"/>
            </w:tcBorders>
          </w:tcPr>
          <w:p>
            <w:pPr>
              <w:spacing w:after="0" w:line="20" w:lineRule="exact"/>
              <w:rPr>
                <w:sz w:val="1"/>
                <w:szCs w:val="1"/>
                <w:color w:val="auto"/>
              </w:rPr>
            </w:pPr>
          </w:p>
        </w:tc>
        <w:tc>
          <w:tcPr>
            <w:tcW w:w="2020" w:type="dxa"/>
            <w:vAlign w:val="bottom"/>
            <w:tcBorders>
              <w:top w:val="single" w:sz="8" w:color="auto"/>
              <w:bottom w:val="single" w:sz="8" w:color="808080"/>
              <w:right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4" w:lineRule="exact"/>
        <w:rPr>
          <w:sz w:val="20"/>
          <w:szCs w:val="20"/>
          <w:color w:val="auto"/>
        </w:rPr>
      </w:pPr>
    </w:p>
    <w:p>
      <w:pPr>
        <w:jc w:val="both"/>
        <w:ind w:right="1799" w:firstLine="648"/>
        <w:spacing w:after="0" w:line="246" w:lineRule="auto"/>
        <w:rPr>
          <w:sz w:val="20"/>
          <w:szCs w:val="20"/>
          <w:color w:val="auto"/>
        </w:rPr>
      </w:pPr>
      <w:r>
        <w:rPr>
          <w:rFonts w:ascii="Arial" w:cs="Arial" w:eastAsia="Arial" w:hAnsi="Arial"/>
          <w:sz w:val="21"/>
          <w:szCs w:val="21"/>
          <w:i w:val="1"/>
          <w:iCs w:val="1"/>
          <w:color w:val="auto"/>
        </w:rPr>
        <w:t xml:space="preserve">Employment Agreements. </w:t>
      </w:r>
      <w:r>
        <w:rPr>
          <w:rFonts w:ascii="Arial" w:cs="Arial" w:eastAsia="Arial" w:hAnsi="Arial"/>
          <w:sz w:val="21"/>
          <w:szCs w:val="21"/>
          <w:color w:val="auto"/>
        </w:rPr>
        <w:t>As of the year ended December 31, 2011, none of our named</w:t>
      </w:r>
      <w:r>
        <w:rPr>
          <w:rFonts w:ascii="Arial" w:cs="Arial" w:eastAsia="Arial" w:hAnsi="Arial"/>
          <w:sz w:val="21"/>
          <w:szCs w:val="21"/>
          <w:i w:val="1"/>
          <w:iCs w:val="1"/>
          <w:color w:val="auto"/>
        </w:rPr>
        <w:t xml:space="preserve"> </w:t>
      </w:r>
      <w:r>
        <w:rPr>
          <w:rFonts w:ascii="Arial" w:cs="Arial" w:eastAsia="Arial" w:hAnsi="Arial"/>
          <w:sz w:val="21"/>
          <w:szCs w:val="21"/>
          <w:color w:val="auto"/>
        </w:rPr>
        <w:t>executive officers was party to an employment or severance agreement with us, and each named executive officer’s employment was on an “at-will” basis, permitting either us or the executive to terminate his or her employment for any reason or for no reason.</w:t>
      </w:r>
    </w:p>
    <w:p>
      <w:pPr>
        <w:spacing w:after="0" w:line="59" w:lineRule="exact"/>
        <w:rPr>
          <w:sz w:val="20"/>
          <w:szCs w:val="20"/>
          <w:color w:val="auto"/>
        </w:rPr>
      </w:pPr>
    </w:p>
    <w:p>
      <w:pPr>
        <w:ind w:right="1799" w:firstLine="648"/>
        <w:spacing w:after="0" w:line="238" w:lineRule="auto"/>
        <w:rPr>
          <w:sz w:val="20"/>
          <w:szCs w:val="20"/>
          <w:color w:val="auto"/>
        </w:rPr>
      </w:pPr>
      <w:r>
        <w:rPr>
          <w:rFonts w:ascii="Arial" w:cs="Arial" w:eastAsia="Arial" w:hAnsi="Arial"/>
          <w:sz w:val="22"/>
          <w:szCs w:val="22"/>
          <w:i w:val="1"/>
          <w:iCs w:val="1"/>
          <w:color w:val="auto"/>
        </w:rPr>
        <w:t>Accelerated Stock Option Vesting Upon a Change in Control</w:t>
      </w:r>
      <w:r>
        <w:rPr>
          <w:rFonts w:ascii="Arial" w:cs="Arial" w:eastAsia="Arial" w:hAnsi="Arial"/>
          <w:sz w:val="22"/>
          <w:szCs w:val="22"/>
          <w:color w:val="auto"/>
        </w:rPr>
        <w:t>. For certain option grants to</w:t>
      </w:r>
      <w:r>
        <w:rPr>
          <w:rFonts w:ascii="Arial" w:cs="Arial" w:eastAsia="Arial" w:hAnsi="Arial"/>
          <w:sz w:val="22"/>
          <w:szCs w:val="22"/>
          <w:i w:val="1"/>
          <w:iCs w:val="1"/>
          <w:color w:val="auto"/>
        </w:rPr>
        <w:t xml:space="preserve"> </w:t>
      </w:r>
      <w:r>
        <w:rPr>
          <w:rFonts w:ascii="Arial" w:cs="Arial" w:eastAsia="Arial" w:hAnsi="Arial"/>
          <w:sz w:val="22"/>
          <w:szCs w:val="22"/>
          <w:color w:val="auto"/>
        </w:rPr>
        <w:t>executive officers and directors, in the event of a change in control, all of such optionee’s unvested stock options will vest and become exercisable immediately prior to the event or closing of the transaction causing the change in control.</w:t>
      </w:r>
    </w:p>
    <w:p>
      <w:pPr>
        <w:spacing w:after="0" w:line="63" w:lineRule="exact"/>
        <w:rPr>
          <w:sz w:val="20"/>
          <w:szCs w:val="20"/>
          <w:color w:val="auto"/>
        </w:rPr>
      </w:pPr>
    </w:p>
    <w:p>
      <w:pPr>
        <w:ind w:right="1899" w:firstLine="648"/>
        <w:spacing w:after="0" w:line="251" w:lineRule="auto"/>
        <w:rPr>
          <w:sz w:val="20"/>
          <w:szCs w:val="20"/>
          <w:color w:val="auto"/>
        </w:rPr>
      </w:pPr>
      <w:r>
        <w:rPr>
          <w:rFonts w:ascii="Arial" w:cs="Arial" w:eastAsia="Arial" w:hAnsi="Arial"/>
          <w:sz w:val="22"/>
          <w:szCs w:val="22"/>
          <w:color w:val="auto"/>
        </w:rPr>
        <w:t>Under the option grants, a “</w:t>
      </w:r>
      <w:r>
        <w:rPr>
          <w:rFonts w:ascii="Arial" w:cs="Arial" w:eastAsia="Arial" w:hAnsi="Arial"/>
          <w:sz w:val="22"/>
          <w:szCs w:val="22"/>
          <w:i w:val="1"/>
          <w:iCs w:val="1"/>
          <w:color w:val="auto"/>
        </w:rPr>
        <w:t>Change in Control</w:t>
      </w:r>
      <w:r>
        <w:rPr>
          <w:rFonts w:ascii="Arial" w:cs="Arial" w:eastAsia="Arial" w:hAnsi="Arial"/>
          <w:sz w:val="22"/>
          <w:szCs w:val="22"/>
          <w:color w:val="auto"/>
        </w:rPr>
        <w:t>” means a change in ownership or control of the Company effected through either of the following transactions:</w:t>
      </w:r>
    </w:p>
    <w:p>
      <w:pPr>
        <w:spacing w:after="0" w:line="52" w:lineRule="exact"/>
        <w:rPr>
          <w:sz w:val="20"/>
          <w:szCs w:val="20"/>
          <w:color w:val="auto"/>
        </w:rPr>
      </w:pPr>
    </w:p>
    <w:p>
      <w:pPr>
        <w:ind w:right="1859" w:firstLine="656"/>
        <w:spacing w:after="0" w:line="247" w:lineRule="auto"/>
        <w:tabs>
          <w:tab w:leader="none" w:pos="906"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acquisition, directly or indirectly, by any person or related group of persons (other than the Company or a person that directly or indirectly controls, is controlled by, or is under common control with, the Company ), of beneficial ownership (within the meaning of Rule 13d-3 of the 1934 Act) of securities possessing more than fifty percent (50%) of the total combined voting power of the Company ’s outstanding securities pursuant to a tender or exchange offer made directly to the Company ’s shareholders, which the Board does not recommend such shareholders to accept, or</w:t>
      </w:r>
    </w:p>
    <w:p>
      <w:pPr>
        <w:spacing w:after="0" w:line="56" w:lineRule="exact"/>
        <w:rPr>
          <w:rFonts w:ascii="Arial" w:cs="Arial" w:eastAsia="Arial" w:hAnsi="Arial"/>
          <w:sz w:val="21"/>
          <w:szCs w:val="21"/>
          <w:color w:val="auto"/>
        </w:rPr>
      </w:pPr>
    </w:p>
    <w:p>
      <w:pPr>
        <w:ind w:right="1919" w:firstLine="656"/>
        <w:spacing w:after="0" w:line="247" w:lineRule="auto"/>
        <w:tabs>
          <w:tab w:leader="none" w:pos="966" w:val="left"/>
        </w:tabs>
        <w:numPr>
          <w:ilvl w:val="0"/>
          <w:numId w:val="12"/>
        </w:numPr>
        <w:rPr>
          <w:rFonts w:ascii="Arial" w:cs="Arial" w:eastAsia="Arial" w:hAnsi="Arial"/>
          <w:sz w:val="21"/>
          <w:szCs w:val="21"/>
          <w:color w:val="auto"/>
        </w:rPr>
      </w:pPr>
      <w:r>
        <w:rPr>
          <w:rFonts w:ascii="Arial" w:cs="Arial" w:eastAsia="Arial" w:hAnsi="Arial"/>
          <w:sz w:val="21"/>
          <w:szCs w:val="21"/>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57" w:lineRule="exact"/>
        <w:rPr>
          <w:sz w:val="20"/>
          <w:szCs w:val="20"/>
          <w:color w:val="auto"/>
        </w:rPr>
      </w:pPr>
    </w:p>
    <w:p>
      <w:pPr>
        <w:ind w:right="1859" w:firstLine="648"/>
        <w:spacing w:after="0" w:line="248" w:lineRule="auto"/>
        <w:rPr>
          <w:sz w:val="20"/>
          <w:szCs w:val="20"/>
          <w:color w:val="auto"/>
        </w:rPr>
      </w:pPr>
      <w:r>
        <w:rPr>
          <w:rFonts w:ascii="Arial" w:cs="Arial" w:eastAsia="Arial" w:hAnsi="Arial"/>
          <w:sz w:val="21"/>
          <w:szCs w:val="21"/>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56" w:lineRule="exact"/>
        <w:rPr>
          <w:sz w:val="20"/>
          <w:szCs w:val="20"/>
          <w:color w:val="auto"/>
        </w:rPr>
      </w:pPr>
    </w:p>
    <w:p>
      <w:pPr>
        <w:ind w:right="2119" w:firstLine="648"/>
        <w:spacing w:after="0" w:line="274" w:lineRule="auto"/>
        <w:rPr>
          <w:sz w:val="20"/>
          <w:szCs w:val="20"/>
          <w:color w:val="auto"/>
        </w:rPr>
      </w:pPr>
      <w:r>
        <w:rPr>
          <w:rFonts w:ascii="Arial" w:cs="Arial" w:eastAsia="Arial" w:hAnsi="Arial"/>
          <w:sz w:val="21"/>
          <w:szCs w:val="21"/>
          <w:color w:val="auto"/>
        </w:rPr>
        <w:t>At our current stock price of about $4.00, all the named executive officers would each benefit from any potential accelerated vesting of unvested stock options.</w:t>
      </w:r>
    </w:p>
    <w:p>
      <w:pPr>
        <w:sectPr>
          <w:pgSz w:w="11900" w:h="16838" w:orient="portrait"/>
          <w:cols w:equalWidth="0" w:num="1">
            <w:col w:w="10219"/>
          </w:cols>
          <w:pgMar w:left="240" w:top="3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5351145"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type w:val="continuous"/>
        </w:sectPr>
      </w:pPr>
    </w:p>
    <w:bookmarkStart w:id="19" w:name="page20"/>
    <w:bookmarkEnd w:id="19"/>
    <w:p>
      <w:pPr>
        <w:jc w:val="center"/>
        <w:ind w:right="1759"/>
        <w:spacing w:after="0"/>
        <w:rPr>
          <w:sz w:val="20"/>
          <w:szCs w:val="20"/>
          <w:color w:val="auto"/>
        </w:rPr>
      </w:pPr>
      <w:r>
        <w:rPr>
          <w:rFonts w:ascii="Arial" w:cs="Arial" w:eastAsia="Arial" w:hAnsi="Arial"/>
          <w:sz w:val="22"/>
          <w:szCs w:val="22"/>
          <w:b w:val="1"/>
          <w:bCs w:val="1"/>
          <w:color w:val="auto"/>
        </w:rPr>
        <w:t>DIRECTOR COMPENSATION</w:t>
      </w:r>
    </w:p>
    <w:p>
      <w:pPr>
        <w:spacing w:after="0" w:line="85" w:lineRule="exact"/>
        <w:rPr>
          <w:sz w:val="20"/>
          <w:szCs w:val="20"/>
          <w:color w:val="auto"/>
        </w:rPr>
      </w:pPr>
    </w:p>
    <w:p>
      <w:pPr>
        <w:jc w:val="center"/>
        <w:ind w:right="1759"/>
        <w:spacing w:after="0"/>
        <w:rPr>
          <w:sz w:val="20"/>
          <w:szCs w:val="20"/>
          <w:color w:val="auto"/>
        </w:rPr>
      </w:pPr>
      <w:r>
        <w:rPr>
          <w:rFonts w:ascii="Arial" w:cs="Arial" w:eastAsia="Arial" w:hAnsi="Arial"/>
          <w:sz w:val="22"/>
          <w:szCs w:val="22"/>
          <w:b w:val="1"/>
          <w:bCs w:val="1"/>
          <w:color w:val="auto"/>
        </w:rPr>
        <w:t>Director Compensation</w:t>
      </w:r>
    </w:p>
    <w:p>
      <w:pPr>
        <w:spacing w:after="0" w:line="185" w:lineRule="exact"/>
        <w:rPr>
          <w:sz w:val="20"/>
          <w:szCs w:val="20"/>
          <w:color w:val="auto"/>
        </w:rPr>
      </w:pPr>
    </w:p>
    <w:p>
      <w:pPr>
        <w:jc w:val="both"/>
        <w:ind w:right="1879" w:firstLine="648"/>
        <w:spacing w:after="0"/>
        <w:rPr>
          <w:sz w:val="20"/>
          <w:szCs w:val="20"/>
          <w:color w:val="auto"/>
        </w:rPr>
      </w:pPr>
      <w:r>
        <w:rPr>
          <w:rFonts w:ascii="Arial" w:cs="Arial" w:eastAsia="Arial" w:hAnsi="Arial"/>
          <w:sz w:val="22"/>
          <w:szCs w:val="22"/>
          <w:color w:val="auto"/>
        </w:rPr>
        <w:t>The following table summarizes the compensation paid by us to non-employee directors for the year ended December 31, 2011. Ms. Hakimoglu did not receive additional compensation for her service as a director.</w:t>
      </w:r>
    </w:p>
    <w:p>
      <w:pPr>
        <w:spacing w:after="0" w:line="77" w:lineRule="exact"/>
        <w:rPr>
          <w:sz w:val="20"/>
          <w:szCs w:val="20"/>
          <w:color w:val="auto"/>
        </w:rPr>
      </w:pPr>
    </w:p>
    <w:tbl>
      <w:tblPr>
        <w:tblLayout w:type="fixed"/>
        <w:tblInd w:w="30" w:type="dxa"/>
        <w:tblCellMar>
          <w:top w:w="0" w:type="dxa"/>
          <w:left w:w="0" w:type="dxa"/>
          <w:bottom w:w="0" w:type="dxa"/>
          <w:right w:w="0" w:type="dxa"/>
        </w:tblCellMar>
      </w:tblPr>
      <w:tr>
        <w:trPr>
          <w:trHeight w:val="278"/>
        </w:trPr>
        <w:tc>
          <w:tcPr>
            <w:tcW w:w="2140" w:type="dxa"/>
            <w:vAlign w:val="bottom"/>
            <w:tcBorders>
              <w:top w:val="single" w:sz="8" w:color="808080"/>
              <w:left w:val="single" w:sz="8" w:color="808080"/>
            </w:tcBorders>
            <w:vMerge w:val="restart"/>
          </w:tcPr>
          <w:p>
            <w:pPr>
              <w:ind w:left="900"/>
              <w:spacing w:after="0"/>
              <w:rPr>
                <w:sz w:val="20"/>
                <w:szCs w:val="20"/>
                <w:color w:val="auto"/>
              </w:rPr>
            </w:pPr>
            <w:r>
              <w:rPr>
                <w:rFonts w:ascii="Arial" w:cs="Arial" w:eastAsia="Arial" w:hAnsi="Arial"/>
                <w:sz w:val="14"/>
                <w:szCs w:val="14"/>
                <w:b w:val="1"/>
                <w:bCs w:val="1"/>
                <w:color w:val="auto"/>
              </w:rPr>
              <w:t>Name</w:t>
            </w:r>
          </w:p>
        </w:tc>
        <w:tc>
          <w:tcPr>
            <w:tcW w:w="180" w:type="dxa"/>
            <w:vAlign w:val="bottom"/>
            <w:tcBorders>
              <w:top w:val="single" w:sz="8" w:color="808080"/>
            </w:tcBorders>
          </w:tcPr>
          <w:p>
            <w:pPr>
              <w:spacing w:after="0"/>
              <w:rPr>
                <w:sz w:val="24"/>
                <w:szCs w:val="24"/>
                <w:color w:val="auto"/>
              </w:rPr>
            </w:pPr>
          </w:p>
        </w:tc>
        <w:tc>
          <w:tcPr>
            <w:tcW w:w="1400" w:type="dxa"/>
            <w:vAlign w:val="bottom"/>
            <w:tcBorders>
              <w:top w:val="single" w:sz="8" w:color="808080"/>
            </w:tcBorders>
            <w:gridSpan w:val="2"/>
          </w:tcPr>
          <w:p>
            <w:pPr>
              <w:jc w:val="right"/>
              <w:spacing w:after="0"/>
              <w:rPr>
                <w:sz w:val="20"/>
                <w:szCs w:val="20"/>
                <w:color w:val="auto"/>
              </w:rPr>
            </w:pPr>
            <w:r>
              <w:rPr>
                <w:rFonts w:ascii="Arial" w:cs="Arial" w:eastAsia="Arial" w:hAnsi="Arial"/>
                <w:sz w:val="14"/>
                <w:szCs w:val="14"/>
                <w:b w:val="1"/>
                <w:bCs w:val="1"/>
                <w:color w:val="auto"/>
                <w:w w:val="96"/>
              </w:rPr>
              <w:t>Fees Earned or Paid</w:t>
            </w:r>
          </w:p>
        </w:tc>
        <w:tc>
          <w:tcPr>
            <w:tcW w:w="180" w:type="dxa"/>
            <w:vAlign w:val="bottom"/>
            <w:tcBorders>
              <w:top w:val="single" w:sz="8" w:color="808080"/>
            </w:tcBorders>
          </w:tcPr>
          <w:p>
            <w:pPr>
              <w:spacing w:after="0"/>
              <w:rPr>
                <w:sz w:val="24"/>
                <w:szCs w:val="24"/>
                <w:color w:val="auto"/>
              </w:rPr>
            </w:pPr>
          </w:p>
        </w:tc>
        <w:tc>
          <w:tcPr>
            <w:tcW w:w="1160" w:type="dxa"/>
            <w:vAlign w:val="bottom"/>
            <w:tcBorders>
              <w:top w:val="single" w:sz="8" w:color="808080"/>
            </w:tcBorders>
          </w:tcPr>
          <w:p>
            <w:pPr>
              <w:jc w:val="right"/>
              <w:ind w:right="19"/>
              <w:spacing w:after="0"/>
              <w:rPr>
                <w:sz w:val="20"/>
                <w:szCs w:val="20"/>
                <w:color w:val="auto"/>
              </w:rPr>
            </w:pPr>
            <w:r>
              <w:rPr>
                <w:rFonts w:ascii="Arial" w:cs="Arial" w:eastAsia="Arial" w:hAnsi="Arial"/>
                <w:sz w:val="14"/>
                <w:szCs w:val="14"/>
                <w:b w:val="1"/>
                <w:bCs w:val="1"/>
                <w:color w:val="auto"/>
              </w:rPr>
              <w:t>Option Awards</w:t>
            </w:r>
          </w:p>
        </w:tc>
        <w:tc>
          <w:tcPr>
            <w:tcW w:w="200" w:type="dxa"/>
            <w:vAlign w:val="bottom"/>
            <w:tcBorders>
              <w:top w:val="single" w:sz="8" w:color="808080"/>
            </w:tcBorders>
          </w:tcPr>
          <w:p>
            <w:pPr>
              <w:spacing w:after="0"/>
              <w:rPr>
                <w:sz w:val="24"/>
                <w:szCs w:val="24"/>
                <w:color w:val="auto"/>
              </w:rPr>
            </w:pPr>
          </w:p>
        </w:tc>
        <w:tc>
          <w:tcPr>
            <w:tcW w:w="340" w:type="dxa"/>
            <w:vAlign w:val="bottom"/>
            <w:tcBorders>
              <w:top w:val="single" w:sz="8" w:color="808080"/>
            </w:tcBorders>
          </w:tcPr>
          <w:p>
            <w:pPr>
              <w:spacing w:after="0"/>
              <w:rPr>
                <w:sz w:val="24"/>
                <w:szCs w:val="24"/>
                <w:color w:val="auto"/>
              </w:rPr>
            </w:pPr>
          </w:p>
        </w:tc>
        <w:tc>
          <w:tcPr>
            <w:tcW w:w="980" w:type="dxa"/>
            <w:vAlign w:val="bottom"/>
            <w:tcBorders>
              <w:top w:val="single" w:sz="8" w:color="808080"/>
              <w:right w:val="single" w:sz="8" w:color="808080"/>
            </w:tcBorders>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140" w:type="dxa"/>
            <w:vAlign w:val="bottom"/>
            <w:tcBorders>
              <w:left w:val="single" w:sz="8" w:color="808080"/>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in Cash (1)</w:t>
            </w:r>
          </w:p>
        </w:tc>
        <w:tc>
          <w:tcPr>
            <w:tcW w:w="1340" w:type="dxa"/>
            <w:vAlign w:val="bottom"/>
            <w:gridSpan w:val="2"/>
            <w:vMerge w:val="restart"/>
          </w:tcPr>
          <w:p>
            <w:pPr>
              <w:jc w:val="right"/>
              <w:ind w:right="259"/>
              <w:spacing w:after="0"/>
              <w:rPr>
                <w:sz w:val="20"/>
                <w:szCs w:val="20"/>
                <w:color w:val="auto"/>
              </w:rPr>
            </w:pPr>
            <w:r>
              <w:rPr>
                <w:rFonts w:ascii="Arial" w:cs="Arial" w:eastAsia="Arial" w:hAnsi="Arial"/>
                <w:sz w:val="14"/>
                <w:szCs w:val="14"/>
                <w:b w:val="1"/>
                <w:bCs w:val="1"/>
                <w:color w:val="auto"/>
              </w:rPr>
              <w:t>(2) ( 3)</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Borders>
              <w:right w:val="single" w:sz="8" w:color="808080"/>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140" w:type="dxa"/>
            <w:vAlign w:val="bottom"/>
            <w:tcBorders>
              <w:left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Borders>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140" w:type="dxa"/>
            <w:vAlign w:val="bottom"/>
            <w:tcBorders>
              <w:left w:val="single" w:sz="8" w:color="808080"/>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14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8"/>
                <w:szCs w:val="18"/>
                <w:color w:val="auto"/>
              </w:rPr>
              <w:t>Brad R. Baldwin</w:t>
            </w:r>
          </w:p>
        </w:tc>
        <w:tc>
          <w:tcPr>
            <w:tcW w:w="180" w:type="dxa"/>
            <w:vAlign w:val="bottom"/>
            <w:shd w:val="clear" w:color="auto" w:fill="B6DDE8"/>
          </w:tcPr>
          <w:p>
            <w:pPr>
              <w:spacing w:after="0"/>
              <w:rPr>
                <w:sz w:val="19"/>
                <w:szCs w:val="19"/>
                <w:color w:val="auto"/>
              </w:rPr>
            </w:pPr>
          </w:p>
        </w:tc>
        <w:tc>
          <w:tcPr>
            <w:tcW w:w="300" w:type="dxa"/>
            <w:vAlign w:val="bottom"/>
            <w:shd w:val="clear" w:color="auto" w:fill="B6DDE8"/>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B6DDE8"/>
          </w:tcPr>
          <w:p>
            <w:pPr>
              <w:jc w:val="right"/>
              <w:ind w:right="234"/>
              <w:spacing w:after="0"/>
              <w:rPr>
                <w:sz w:val="20"/>
                <w:szCs w:val="20"/>
                <w:color w:val="auto"/>
              </w:rPr>
            </w:pPr>
            <w:r>
              <w:rPr>
                <w:rFonts w:ascii="Arial" w:cs="Arial" w:eastAsia="Arial" w:hAnsi="Arial"/>
                <w:sz w:val="18"/>
                <w:szCs w:val="18"/>
                <w:color w:val="auto"/>
              </w:rPr>
              <w:t>24,000</w:t>
            </w:r>
          </w:p>
        </w:tc>
        <w:tc>
          <w:tcPr>
            <w:tcW w:w="180" w:type="dxa"/>
            <w:vAlign w:val="bottom"/>
            <w:shd w:val="clear" w:color="auto" w:fill="B6DDE8"/>
          </w:tcPr>
          <w:p>
            <w:pPr>
              <w:spacing w:after="0"/>
              <w:rPr>
                <w:sz w:val="19"/>
                <w:szCs w:val="19"/>
                <w:color w:val="auto"/>
              </w:rPr>
            </w:pPr>
          </w:p>
        </w:tc>
        <w:tc>
          <w:tcPr>
            <w:tcW w:w="1160" w:type="dxa"/>
            <w:vAlign w:val="bottom"/>
            <w:shd w:val="clear" w:color="auto" w:fill="B6DDE8"/>
          </w:tcPr>
          <w:p>
            <w:pPr>
              <w:jc w:val="right"/>
              <w:ind w:right="239"/>
              <w:spacing w:after="0"/>
              <w:rPr>
                <w:sz w:val="20"/>
                <w:szCs w:val="20"/>
                <w:color w:val="auto"/>
              </w:rPr>
            </w:pPr>
            <w:r>
              <w:rPr>
                <w:rFonts w:ascii="Arial" w:cs="Arial" w:eastAsia="Arial" w:hAnsi="Arial"/>
                <w:sz w:val="18"/>
                <w:szCs w:val="18"/>
                <w:color w:val="auto"/>
              </w:rPr>
              <w:t>$  14,718</w:t>
            </w:r>
          </w:p>
        </w:tc>
        <w:tc>
          <w:tcPr>
            <w:tcW w:w="200" w:type="dxa"/>
            <w:vAlign w:val="bottom"/>
            <w:shd w:val="clear" w:color="auto" w:fill="B6DDE8"/>
          </w:tcPr>
          <w:p>
            <w:pPr>
              <w:spacing w:after="0"/>
              <w:rPr>
                <w:sz w:val="19"/>
                <w:szCs w:val="19"/>
                <w:color w:val="auto"/>
              </w:rPr>
            </w:pPr>
          </w:p>
        </w:tc>
        <w:tc>
          <w:tcPr>
            <w:tcW w:w="340" w:type="dxa"/>
            <w:vAlign w:val="bottom"/>
            <w:shd w:val="clear" w:color="auto" w:fill="B6DDE8"/>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B6DDE8"/>
          </w:tcPr>
          <w:p>
            <w:pPr>
              <w:ind w:left="140"/>
              <w:spacing w:after="0"/>
              <w:rPr>
                <w:sz w:val="20"/>
                <w:szCs w:val="20"/>
                <w:color w:val="auto"/>
              </w:rPr>
            </w:pPr>
            <w:r>
              <w:rPr>
                <w:rFonts w:ascii="Arial" w:cs="Arial" w:eastAsia="Arial" w:hAnsi="Arial"/>
                <w:sz w:val="18"/>
                <w:szCs w:val="18"/>
                <w:color w:val="auto"/>
              </w:rPr>
              <w:t>38,718</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Borders>
              <w:left w:val="single" w:sz="8" w:color="808080"/>
            </w:tcBorders>
          </w:tcPr>
          <w:p>
            <w:pPr>
              <w:ind w:left="20"/>
              <w:spacing w:after="0"/>
              <w:rPr>
                <w:sz w:val="20"/>
                <w:szCs w:val="20"/>
                <w:color w:val="auto"/>
              </w:rPr>
            </w:pPr>
            <w:r>
              <w:rPr>
                <w:rFonts w:ascii="Arial" w:cs="Arial" w:eastAsia="Arial" w:hAnsi="Arial"/>
                <w:sz w:val="18"/>
                <w:szCs w:val="18"/>
                <w:color w:val="auto"/>
              </w:rPr>
              <w:t>Larry R. Hendricks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234"/>
              <w:spacing w:after="0"/>
              <w:rPr>
                <w:sz w:val="20"/>
                <w:szCs w:val="20"/>
                <w:color w:val="auto"/>
              </w:rPr>
            </w:pPr>
            <w:r>
              <w:rPr>
                <w:rFonts w:ascii="Arial" w:cs="Arial" w:eastAsia="Arial" w:hAnsi="Arial"/>
                <w:sz w:val="18"/>
                <w:szCs w:val="18"/>
                <w:color w:val="auto"/>
              </w:rPr>
              <w:t>24,000</w:t>
            </w:r>
          </w:p>
        </w:tc>
        <w:tc>
          <w:tcPr>
            <w:tcW w:w="1340" w:type="dxa"/>
            <w:vAlign w:val="bottom"/>
            <w:gridSpan w:val="2"/>
          </w:tcPr>
          <w:p>
            <w:pPr>
              <w:jc w:val="right"/>
              <w:ind w:right="239"/>
              <w:spacing w:after="0"/>
              <w:rPr>
                <w:sz w:val="20"/>
                <w:szCs w:val="20"/>
                <w:color w:val="auto"/>
              </w:rPr>
            </w:pPr>
            <w:r>
              <w:rPr>
                <w:rFonts w:ascii="Arial" w:cs="Arial" w:eastAsia="Arial" w:hAnsi="Arial"/>
                <w:sz w:val="18"/>
                <w:szCs w:val="18"/>
                <w:color w:val="auto"/>
              </w:rPr>
              <w:t>14,718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ind w:left="140"/>
              <w:spacing w:after="0"/>
              <w:rPr>
                <w:sz w:val="20"/>
                <w:szCs w:val="20"/>
                <w:color w:val="auto"/>
              </w:rPr>
            </w:pPr>
            <w:r>
              <w:rPr>
                <w:rFonts w:ascii="Arial" w:cs="Arial" w:eastAsia="Arial" w:hAnsi="Arial"/>
                <w:sz w:val="18"/>
                <w:szCs w:val="18"/>
                <w:color w:val="auto"/>
              </w:rPr>
              <w:t>38,718</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8"/>
                <w:szCs w:val="18"/>
                <w:color w:val="auto"/>
              </w:rPr>
              <w:t>Scott M. Huntsman</w:t>
            </w:r>
          </w:p>
        </w:tc>
        <w:tc>
          <w:tcPr>
            <w:tcW w:w="180" w:type="dxa"/>
            <w:vAlign w:val="bottom"/>
            <w:shd w:val="clear" w:color="auto" w:fill="B6DDE8"/>
          </w:tcPr>
          <w:p>
            <w:pPr>
              <w:spacing w:after="0"/>
              <w:rPr>
                <w:sz w:val="19"/>
                <w:szCs w:val="19"/>
                <w:color w:val="auto"/>
              </w:rPr>
            </w:pPr>
          </w:p>
        </w:tc>
        <w:tc>
          <w:tcPr>
            <w:tcW w:w="300" w:type="dxa"/>
            <w:vAlign w:val="bottom"/>
            <w:shd w:val="clear" w:color="auto" w:fill="B6DDE8"/>
          </w:tcPr>
          <w:p>
            <w:pPr>
              <w:spacing w:after="0"/>
              <w:rPr>
                <w:sz w:val="19"/>
                <w:szCs w:val="19"/>
                <w:color w:val="auto"/>
              </w:rPr>
            </w:pPr>
          </w:p>
        </w:tc>
        <w:tc>
          <w:tcPr>
            <w:tcW w:w="1100" w:type="dxa"/>
            <w:vAlign w:val="bottom"/>
            <w:shd w:val="clear" w:color="auto" w:fill="B6DDE8"/>
          </w:tcPr>
          <w:p>
            <w:pPr>
              <w:jc w:val="right"/>
              <w:ind w:right="234"/>
              <w:spacing w:after="0"/>
              <w:rPr>
                <w:sz w:val="20"/>
                <w:szCs w:val="20"/>
                <w:color w:val="auto"/>
              </w:rPr>
            </w:pPr>
            <w:r>
              <w:rPr>
                <w:rFonts w:ascii="Arial" w:cs="Arial" w:eastAsia="Arial" w:hAnsi="Arial"/>
                <w:sz w:val="18"/>
                <w:szCs w:val="18"/>
                <w:color w:val="auto"/>
              </w:rPr>
              <w:t>24,000</w:t>
            </w:r>
          </w:p>
        </w:tc>
        <w:tc>
          <w:tcPr>
            <w:tcW w:w="1340" w:type="dxa"/>
            <w:vAlign w:val="bottom"/>
            <w:gridSpan w:val="2"/>
            <w:shd w:val="clear" w:color="auto" w:fill="B6DDE8"/>
          </w:tcPr>
          <w:p>
            <w:pPr>
              <w:jc w:val="right"/>
              <w:ind w:right="239"/>
              <w:spacing w:after="0"/>
              <w:rPr>
                <w:sz w:val="20"/>
                <w:szCs w:val="20"/>
                <w:color w:val="auto"/>
              </w:rPr>
            </w:pPr>
            <w:r>
              <w:rPr>
                <w:rFonts w:ascii="Arial" w:cs="Arial" w:eastAsia="Arial" w:hAnsi="Arial"/>
                <w:sz w:val="18"/>
                <w:szCs w:val="18"/>
                <w:color w:val="auto"/>
              </w:rPr>
              <w:t>14,718</w:t>
            </w:r>
          </w:p>
        </w:tc>
        <w:tc>
          <w:tcPr>
            <w:tcW w:w="200" w:type="dxa"/>
            <w:vAlign w:val="bottom"/>
            <w:shd w:val="clear" w:color="auto" w:fill="B6DDE8"/>
          </w:tcPr>
          <w:p>
            <w:pPr>
              <w:spacing w:after="0"/>
              <w:rPr>
                <w:sz w:val="19"/>
                <w:szCs w:val="19"/>
                <w:color w:val="auto"/>
              </w:rPr>
            </w:pPr>
          </w:p>
        </w:tc>
        <w:tc>
          <w:tcPr>
            <w:tcW w:w="340" w:type="dxa"/>
            <w:vAlign w:val="bottom"/>
            <w:shd w:val="clear" w:color="auto" w:fill="B6DDE8"/>
          </w:tcPr>
          <w:p>
            <w:pPr>
              <w:spacing w:after="0"/>
              <w:rPr>
                <w:sz w:val="19"/>
                <w:szCs w:val="19"/>
                <w:color w:val="auto"/>
              </w:rPr>
            </w:pPr>
          </w:p>
        </w:tc>
        <w:tc>
          <w:tcPr>
            <w:tcW w:w="940" w:type="dxa"/>
            <w:vAlign w:val="bottom"/>
            <w:shd w:val="clear" w:color="auto" w:fill="B6DDE8"/>
          </w:tcPr>
          <w:p>
            <w:pPr>
              <w:ind w:left="140"/>
              <w:spacing w:after="0"/>
              <w:rPr>
                <w:sz w:val="20"/>
                <w:szCs w:val="20"/>
                <w:color w:val="auto"/>
              </w:rPr>
            </w:pPr>
            <w:r>
              <w:rPr>
                <w:rFonts w:ascii="Arial" w:cs="Arial" w:eastAsia="Arial" w:hAnsi="Arial"/>
                <w:sz w:val="18"/>
                <w:szCs w:val="18"/>
                <w:color w:val="auto"/>
              </w:rPr>
              <w:t>38,718</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140" w:type="dxa"/>
            <w:vAlign w:val="bottom"/>
            <w:tcBorders>
              <w:left w:val="single" w:sz="8" w:color="808080"/>
              <w:bottom w:val="single" w:sz="8" w:color="808080"/>
            </w:tcBorders>
          </w:tcPr>
          <w:p>
            <w:pPr>
              <w:ind w:left="20"/>
              <w:spacing w:after="0"/>
              <w:rPr>
                <w:sz w:val="20"/>
                <w:szCs w:val="20"/>
                <w:color w:val="auto"/>
              </w:rPr>
            </w:pPr>
            <w:r>
              <w:rPr>
                <w:rFonts w:ascii="Arial" w:cs="Arial" w:eastAsia="Arial" w:hAnsi="Arial"/>
                <w:sz w:val="18"/>
                <w:szCs w:val="18"/>
                <w:color w:val="auto"/>
              </w:rPr>
              <w:t>E. Bryan Bagley</w:t>
            </w:r>
          </w:p>
        </w:tc>
        <w:tc>
          <w:tcPr>
            <w:tcW w:w="18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1100" w:type="dxa"/>
            <w:vAlign w:val="bottom"/>
            <w:tcBorders>
              <w:bottom w:val="single" w:sz="8" w:color="808080"/>
            </w:tcBorders>
          </w:tcPr>
          <w:p>
            <w:pPr>
              <w:jc w:val="right"/>
              <w:ind w:right="234"/>
              <w:spacing w:after="0"/>
              <w:rPr>
                <w:sz w:val="20"/>
                <w:szCs w:val="20"/>
                <w:color w:val="auto"/>
              </w:rPr>
            </w:pPr>
            <w:r>
              <w:rPr>
                <w:rFonts w:ascii="Arial" w:cs="Arial" w:eastAsia="Arial" w:hAnsi="Arial"/>
                <w:sz w:val="18"/>
                <w:szCs w:val="18"/>
                <w:color w:val="auto"/>
              </w:rPr>
              <w:t>24,000</w:t>
            </w:r>
          </w:p>
        </w:tc>
        <w:tc>
          <w:tcPr>
            <w:tcW w:w="1340" w:type="dxa"/>
            <w:vAlign w:val="bottom"/>
            <w:tcBorders>
              <w:bottom w:val="single" w:sz="8" w:color="808080"/>
            </w:tcBorders>
            <w:gridSpan w:val="2"/>
          </w:tcPr>
          <w:p>
            <w:pPr>
              <w:jc w:val="right"/>
              <w:ind w:right="239"/>
              <w:spacing w:after="0"/>
              <w:rPr>
                <w:sz w:val="20"/>
                <w:szCs w:val="20"/>
                <w:color w:val="auto"/>
              </w:rPr>
            </w:pPr>
            <w:r>
              <w:rPr>
                <w:rFonts w:ascii="Arial" w:cs="Arial" w:eastAsia="Arial" w:hAnsi="Arial"/>
                <w:sz w:val="18"/>
                <w:szCs w:val="18"/>
                <w:color w:val="auto"/>
              </w:rPr>
              <w:t>14,718</w:t>
            </w:r>
          </w:p>
        </w:tc>
        <w:tc>
          <w:tcPr>
            <w:tcW w:w="20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940" w:type="dxa"/>
            <w:vAlign w:val="bottom"/>
            <w:tcBorders>
              <w:bottom w:val="single" w:sz="8" w:color="808080"/>
            </w:tcBorders>
          </w:tcPr>
          <w:p>
            <w:pPr>
              <w:ind w:left="140"/>
              <w:spacing w:after="0"/>
              <w:rPr>
                <w:sz w:val="20"/>
                <w:szCs w:val="20"/>
                <w:color w:val="auto"/>
              </w:rPr>
            </w:pPr>
            <w:r>
              <w:rPr>
                <w:rFonts w:ascii="Arial" w:cs="Arial" w:eastAsia="Arial" w:hAnsi="Arial"/>
                <w:sz w:val="18"/>
                <w:szCs w:val="18"/>
                <w:color w:val="auto"/>
              </w:rPr>
              <w:t>38,718</w:t>
            </w:r>
          </w:p>
        </w:tc>
        <w:tc>
          <w:tcPr>
            <w:tcW w:w="4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620" w:hanging="612"/>
        <w:spacing w:after="0"/>
        <w:tabs>
          <w:tab w:leader="none" w:pos="620" w:val="left"/>
        </w:tabs>
        <w:numPr>
          <w:ilvl w:val="0"/>
          <w:numId w:val="13"/>
        </w:numPr>
        <w:rPr>
          <w:rFonts w:ascii="Arial" w:cs="Arial" w:eastAsia="Arial" w:hAnsi="Arial"/>
          <w:sz w:val="21"/>
          <w:szCs w:val="21"/>
          <w:color w:val="auto"/>
        </w:rPr>
      </w:pPr>
      <w:r>
        <w:rPr>
          <w:rFonts w:ascii="Arial" w:cs="Arial" w:eastAsia="Arial" w:hAnsi="Arial"/>
          <w:sz w:val="21"/>
          <w:szCs w:val="21"/>
          <w:color w:val="auto"/>
        </w:rPr>
        <w:t>The base annual director’s fee for the year ended December 31, 2011 was $24,000.</w:t>
      </w:r>
    </w:p>
    <w:p>
      <w:pPr>
        <w:spacing w:after="0" w:line="163" w:lineRule="exact"/>
        <w:rPr>
          <w:rFonts w:ascii="Arial" w:cs="Arial" w:eastAsia="Arial" w:hAnsi="Arial"/>
          <w:sz w:val="21"/>
          <w:szCs w:val="21"/>
          <w:color w:val="auto"/>
        </w:rPr>
      </w:pPr>
    </w:p>
    <w:p>
      <w:pPr>
        <w:ind w:left="660" w:right="1839" w:hanging="652"/>
        <w:spacing w:after="0" w:line="247" w:lineRule="auto"/>
        <w:tabs>
          <w:tab w:leader="none" w:pos="633" w:val="left"/>
        </w:tabs>
        <w:numPr>
          <w:ilvl w:val="0"/>
          <w:numId w:val="13"/>
        </w:numPr>
        <w:rPr>
          <w:rFonts w:ascii="Arial" w:cs="Arial" w:eastAsia="Arial" w:hAnsi="Arial"/>
          <w:sz w:val="21"/>
          <w:szCs w:val="21"/>
          <w:color w:val="auto"/>
        </w:rPr>
      </w:pPr>
      <w:r>
        <w:rPr>
          <w:rFonts w:ascii="Arial" w:cs="Arial" w:eastAsia="Arial" w:hAnsi="Arial"/>
          <w:sz w:val="21"/>
          <w:szCs w:val="21"/>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21"/>
          <w:szCs w:val="21"/>
          <w:i w:val="1"/>
          <w:iCs w:val="1"/>
          <w:color w:val="auto"/>
        </w:rPr>
        <w:t>Compensation - Stock Compensation</w:t>
      </w:r>
      <w:r>
        <w:rPr>
          <w:rFonts w:ascii="Arial" w:cs="Arial" w:eastAsia="Arial" w:hAnsi="Arial"/>
          <w:sz w:val="21"/>
          <w:szCs w:val="21"/>
          <w:color w:val="auto"/>
        </w:rPr>
        <w:t>. The assumptions made in the valuation of our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option awards are disclosed in </w:t>
      </w:r>
      <w:r>
        <w:rPr>
          <w:rFonts w:ascii="Arial" w:cs="Arial" w:eastAsia="Arial" w:hAnsi="Arial"/>
          <w:sz w:val="21"/>
          <w:szCs w:val="21"/>
          <w:u w:val="single" w:color="auto"/>
          <w:color w:val="0000FF"/>
        </w:rPr>
        <w:t>Note 9 - Share Based Payments</w:t>
      </w:r>
      <w:r>
        <w:rPr>
          <w:rFonts w:ascii="Arial" w:cs="Arial" w:eastAsia="Arial" w:hAnsi="Arial"/>
          <w:sz w:val="21"/>
          <w:szCs w:val="21"/>
          <w:color w:val="auto"/>
        </w:rPr>
        <w:t xml:space="preserve"> in our Notes to Consolidated Financial Statements contained in our annual report on Form 10-K for the year ended December 31, 2011.</w:t>
      </w:r>
    </w:p>
    <w:p>
      <w:pPr>
        <w:spacing w:after="0" w:line="43" w:lineRule="exact"/>
        <w:rPr>
          <w:rFonts w:ascii="Arial" w:cs="Arial" w:eastAsia="Arial" w:hAnsi="Arial"/>
          <w:sz w:val="21"/>
          <w:szCs w:val="21"/>
          <w:color w:val="auto"/>
        </w:rPr>
      </w:pPr>
    </w:p>
    <w:p>
      <w:pPr>
        <w:ind w:left="660" w:right="1819" w:hanging="598"/>
        <w:spacing w:after="0" w:line="297" w:lineRule="auto"/>
        <w:tabs>
          <w:tab w:leader="none" w:pos="633" w:val="left"/>
        </w:tabs>
        <w:numPr>
          <w:ilvl w:val="1"/>
          <w:numId w:val="13"/>
        </w:numPr>
        <w:rPr>
          <w:rFonts w:ascii="Arial" w:cs="Arial" w:eastAsia="Arial" w:hAnsi="Arial"/>
          <w:sz w:val="19"/>
          <w:szCs w:val="19"/>
          <w:color w:val="auto"/>
        </w:rPr>
      </w:pPr>
      <w:r>
        <w:rPr>
          <w:rFonts w:ascii="Arial" w:cs="Arial" w:eastAsia="Arial" w:hAnsi="Arial"/>
          <w:sz w:val="19"/>
          <w:szCs w:val="19"/>
          <w:color w:val="auto"/>
        </w:rPr>
        <w:t>As of the end of December 31, 2011, each non-employee director had outstanding options to purchase the following number of company shares of common stock: Mr. Baldwin, 140,000; Mr. Hendricks, 80,000; Mr. Huntsman, 90,000; and Mr. Bagley, 30,000.</w:t>
      </w:r>
    </w:p>
    <w:p>
      <w:pPr>
        <w:spacing w:after="0" w:line="13" w:lineRule="exact"/>
        <w:rPr>
          <w:sz w:val="20"/>
          <w:szCs w:val="20"/>
          <w:color w:val="auto"/>
        </w:rPr>
      </w:pPr>
    </w:p>
    <w:p>
      <w:pPr>
        <w:ind w:right="1899" w:firstLine="648"/>
        <w:spacing w:after="0" w:line="247" w:lineRule="auto"/>
        <w:rPr>
          <w:sz w:val="20"/>
          <w:szCs w:val="20"/>
          <w:color w:val="auto"/>
        </w:rPr>
      </w:pPr>
      <w:r>
        <w:rPr>
          <w:rFonts w:ascii="Arial" w:cs="Arial" w:eastAsia="Arial" w:hAnsi="Arial"/>
          <w:sz w:val="21"/>
          <w:szCs w:val="21"/>
          <w:color w:val="auto"/>
        </w:rPr>
        <w:t>All non-employee directors are paid a fixed fee at the rate of $2,000 per month and receive the same option grants. In August 2011, each non-employee director received a grant of options to purchase 5,000 shares of our common stock at an exercise price of $5.48. The fee is not dependent on the number of meetings attended by any directors. Directors are not paid additional compensation for chairing a committee. All directors are reimbursed by us for their out-of-pocket travel and related expenses incurred in attending all Board of Directors and committee meetings.</w:t>
      </w:r>
    </w:p>
    <w:p>
      <w:pPr>
        <w:spacing w:after="0" w:line="51"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CERTAIN RELATIONSHIPS AND RELATED TRANSACTIONS</w:t>
      </w:r>
    </w:p>
    <w:p>
      <w:pPr>
        <w:spacing w:after="0" w:line="91" w:lineRule="exact"/>
        <w:rPr>
          <w:sz w:val="20"/>
          <w:szCs w:val="20"/>
          <w:color w:val="auto"/>
        </w:rPr>
      </w:pPr>
    </w:p>
    <w:p>
      <w:pPr>
        <w:jc w:val="both"/>
        <w:ind w:right="1939" w:firstLine="1297"/>
        <w:spacing w:after="0" w:line="273" w:lineRule="auto"/>
        <w:rPr>
          <w:sz w:val="20"/>
          <w:szCs w:val="20"/>
          <w:color w:val="auto"/>
        </w:rPr>
      </w:pPr>
      <w:r>
        <w:rPr>
          <w:rFonts w:ascii="Arial" w:cs="Arial" w:eastAsia="Arial" w:hAnsi="Arial"/>
          <w:sz w:val="19"/>
          <w:szCs w:val="19"/>
          <w:color w:val="auto"/>
        </w:rPr>
        <w:t>We recognize that transactions between us and any of our directors or executives can present potential or actual conflicts of interest and create the appearance that our decisions are based on considerations other than the best interests of our company and shareholders.</w:t>
      </w:r>
    </w:p>
    <w:p>
      <w:pPr>
        <w:spacing w:after="0" w:line="2" w:lineRule="exact"/>
        <w:rPr>
          <w:sz w:val="20"/>
          <w:szCs w:val="20"/>
          <w:color w:val="auto"/>
        </w:rPr>
      </w:pPr>
    </w:p>
    <w:p>
      <w:pPr>
        <w:ind w:right="1779" w:firstLine="50"/>
        <w:spacing w:after="0" w:line="243" w:lineRule="auto"/>
        <w:rPr>
          <w:sz w:val="20"/>
          <w:szCs w:val="20"/>
          <w:color w:val="auto"/>
        </w:rPr>
      </w:pPr>
      <w:r>
        <w:rPr>
          <w:rFonts w:ascii="Arial" w:cs="Arial" w:eastAsia="Arial" w:hAnsi="Arial"/>
          <w:sz w:val="21"/>
          <w:szCs w:val="21"/>
          <w:color w:val="auto"/>
        </w:rPr>
        <w:t>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Related Party Transactions: Indemnification of Officers and Directors</w:t>
      </w:r>
    </w:p>
    <w:p>
      <w:pPr>
        <w:spacing w:after="0" w:line="185" w:lineRule="exact"/>
        <w:rPr>
          <w:sz w:val="20"/>
          <w:szCs w:val="20"/>
          <w:color w:val="auto"/>
        </w:rPr>
      </w:pPr>
    </w:p>
    <w:p>
      <w:pPr>
        <w:ind w:right="2019" w:firstLine="648"/>
        <w:spacing w:after="0" w:line="236" w:lineRule="auto"/>
        <w:rPr>
          <w:sz w:val="20"/>
          <w:szCs w:val="20"/>
          <w:color w:val="auto"/>
        </w:rPr>
      </w:pPr>
      <w:r>
        <w:rPr>
          <w:rFonts w:ascii="Arial" w:cs="Arial" w:eastAsia="Arial" w:hAnsi="Arial"/>
          <w:sz w:val="22"/>
          <w:szCs w:val="22"/>
          <w:color w:val="auto"/>
        </w:rPr>
        <w:t>On July 25, 2007 and January 31, 2008, the U.S. Attorney for the District of Utah indicted two of our former officers, Frances Flood (“Flood”) and Susie Strohm (“Strohm”), for allegedly causing us to issue materially misstated financial statements for our 2001 and 2002 fiscal years and for perjury in connection with the investigation by the SEC into the alleged misstatements.</w:t>
      </w:r>
    </w:p>
    <w:p>
      <w:pPr>
        <w:spacing w:after="0" w:line="66" w:lineRule="exact"/>
        <w:rPr>
          <w:sz w:val="20"/>
          <w:szCs w:val="20"/>
          <w:color w:val="auto"/>
        </w:rPr>
      </w:pPr>
    </w:p>
    <w:p>
      <w:pPr>
        <w:ind w:right="1859" w:firstLine="648"/>
        <w:spacing w:after="0" w:line="236" w:lineRule="auto"/>
        <w:rPr>
          <w:sz w:val="20"/>
          <w:szCs w:val="20"/>
          <w:color w:val="auto"/>
        </w:rPr>
      </w:pPr>
      <w:r>
        <w:rPr>
          <w:rFonts w:ascii="Arial" w:cs="Arial" w:eastAsia="Arial" w:hAnsi="Arial"/>
          <w:sz w:val="22"/>
          <w:szCs w:val="22"/>
          <w:color w:val="auto"/>
        </w:rPr>
        <w:t>In December 2003, we entered into indemnification agreements with each former officer, requiring payment of all reasonable attorneys’ fees and costs incurred in defending against the charges in certain circumstances consistent with and subject to limitations imposed by our bylaws and applicable law. To date, we have paid approximately $2.9 million in attorneys’ fees and costs to defend against the charges.</w:t>
      </w:r>
    </w:p>
    <w:p>
      <w:pPr>
        <w:sectPr>
          <w:pgSz w:w="11900" w:h="16838" w:orient="portrait"/>
          <w:cols w:equalWidth="0" w:num="1">
            <w:col w:w="10219"/>
          </w:cols>
          <w:pgMar w:left="240" w:top="355" w:right="1440" w:bottom="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5351145" cy="85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355" w:right="1440" w:bottom="78" w:gutter="0" w:footer="0" w:header="0"/>
          <w:type w:val="continuous"/>
        </w:sectPr>
      </w:pPr>
    </w:p>
    <w:bookmarkStart w:id="20" w:name="page21"/>
    <w:bookmarkEnd w:id="20"/>
    <w:p>
      <w:pPr>
        <w:spacing w:after="0" w:line="79" w:lineRule="exact"/>
        <w:rPr>
          <w:sz w:val="20"/>
          <w:szCs w:val="20"/>
          <w:color w:val="auto"/>
        </w:rPr>
      </w:pPr>
    </w:p>
    <w:p>
      <w:pPr>
        <w:ind w:right="1819" w:firstLine="648"/>
        <w:spacing w:after="0" w:line="245" w:lineRule="auto"/>
        <w:rPr>
          <w:sz w:val="20"/>
          <w:szCs w:val="20"/>
          <w:color w:val="auto"/>
        </w:rPr>
      </w:pPr>
      <w:r>
        <w:rPr>
          <w:rFonts w:ascii="Arial" w:cs="Arial" w:eastAsia="Arial" w:hAnsi="Arial"/>
          <w:sz w:val="21"/>
          <w:szCs w:val="21"/>
          <w:color w:val="auto"/>
        </w:rPr>
        <w:t>On February 27, 2009, Flood was convicted on nine counts, including conspiracy to willfully falsify our books and records, willfully making false statements in quarterly and annual reports, willfully making and causing to be made misleading and false statements to our accountants in connection with the accountants’ audits, federal securities fraud, and perjury in connection with testimony given under oath in an official proceeding brought by the SEC in 2003. Strohm was convicted on one count of perjury in connection with testimony given under oath in an official proceeding brought by the SEC in 2003.On June 2, 2010, Flood was sentenced to 4 years in prison plus 3 years of probation and Strohm was sentenced to 2 years’ probation plus 150 hours of community service. Flood began serving her prison sentence on November 3, 2010.</w:t>
      </w:r>
    </w:p>
    <w:p>
      <w:pPr>
        <w:spacing w:after="0" w:line="209" w:lineRule="exact"/>
        <w:rPr>
          <w:sz w:val="20"/>
          <w:szCs w:val="20"/>
          <w:color w:val="auto"/>
        </w:rPr>
      </w:pPr>
    </w:p>
    <w:p>
      <w:pPr>
        <w:ind w:right="2119" w:firstLine="648"/>
        <w:spacing w:after="0" w:line="248" w:lineRule="auto"/>
        <w:rPr>
          <w:sz w:val="20"/>
          <w:szCs w:val="20"/>
          <w:color w:val="auto"/>
        </w:rPr>
      </w:pPr>
      <w:r>
        <w:rPr>
          <w:rFonts w:ascii="Arial" w:cs="Arial" w:eastAsia="Arial" w:hAnsi="Arial"/>
          <w:sz w:val="21"/>
          <w:szCs w:val="21"/>
          <w:color w:val="auto"/>
        </w:rPr>
        <w:t>On April 4, 2011, the Tenth Circuit Court of Appeals in Denver affirmed Flood’s conviction, but has allowed her to assert in a collateral proceeding her claim that she received ineffective assistance of counsel because her trial counsel allegedly labored under actual conflicts of interest. On June 5, 2012, Judge Benson denied Flood’s motion to vacate and set aside her conviction based on this theory. On November 8, 2011, the Tenth Circuit affirmed Strohm’s perjury conviction as well.</w:t>
      </w:r>
    </w:p>
    <w:p>
      <w:pPr>
        <w:spacing w:after="0" w:line="198" w:lineRule="exact"/>
        <w:rPr>
          <w:sz w:val="20"/>
          <w:szCs w:val="20"/>
          <w:color w:val="auto"/>
        </w:rPr>
      </w:pPr>
    </w:p>
    <w:p>
      <w:pPr>
        <w:ind w:right="1779" w:firstLine="648"/>
        <w:spacing w:after="0" w:line="236" w:lineRule="auto"/>
        <w:rPr>
          <w:sz w:val="20"/>
          <w:szCs w:val="20"/>
          <w:color w:val="auto"/>
        </w:rPr>
      </w:pPr>
      <w:r>
        <w:rPr>
          <w:rFonts w:ascii="Arial" w:cs="Arial" w:eastAsia="Arial" w:hAnsi="Arial"/>
          <w:sz w:val="22"/>
          <w:szCs w:val="22"/>
          <w:b w:val="1"/>
          <w:bCs w:val="1"/>
          <w:color w:val="auto"/>
        </w:rPr>
        <w:t>Flood</w:t>
      </w:r>
      <w:r>
        <w:rPr>
          <w:rFonts w:ascii="Arial" w:cs="Arial" w:eastAsia="Arial" w:hAnsi="Arial"/>
          <w:sz w:val="22"/>
          <w:szCs w:val="22"/>
          <w:color w:val="auto"/>
        </w:rPr>
        <w:t>: On August 21, 2008, Flood filed a lawsuit in Federal District Court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District of Utah, seeking to compel us to pay her attorneys’ fees and costs to defend against the criminal charges. On January 12, 2009, the District Court issued a preliminary injunction requiring us to pay Flood’s criminal legal fees and costs through trial. Pursuant to the Court’s order, we paid approximately $373,000 to Flood’s attorneys and approximately $248,000 into the Court’s escrow.</w:t>
      </w:r>
    </w:p>
    <w:p>
      <w:pPr>
        <w:spacing w:after="0" w:line="215" w:lineRule="exact"/>
        <w:rPr>
          <w:sz w:val="20"/>
          <w:szCs w:val="20"/>
          <w:color w:val="auto"/>
        </w:rPr>
      </w:pPr>
    </w:p>
    <w:p>
      <w:pPr>
        <w:ind w:right="1799" w:firstLine="648"/>
        <w:spacing w:after="0" w:line="236" w:lineRule="auto"/>
        <w:rPr>
          <w:sz w:val="20"/>
          <w:szCs w:val="20"/>
          <w:color w:val="auto"/>
        </w:rPr>
      </w:pPr>
      <w:r>
        <w:rPr>
          <w:rFonts w:ascii="Arial" w:cs="Arial" w:eastAsia="Arial" w:hAnsi="Arial"/>
          <w:sz w:val="22"/>
          <w:szCs w:val="22"/>
          <w:color w:val="auto"/>
        </w:rPr>
        <w:t>On August 30, 2010, the Tenth Circuit Court of Appeals issued a ruling vacating the District Court’s preliminary injunction on the grounds that it rested on a legally erroneous interpretation of Flood’s Employment Separation Agreement. On November 29, 2010, ClearOne filed a motion in the United States District Court for the District of Utah seeking a return of the monies paid by ClearOne pursuant to the Court’s order.</w:t>
      </w:r>
    </w:p>
    <w:p>
      <w:pPr>
        <w:spacing w:after="0" w:line="215" w:lineRule="exact"/>
        <w:rPr>
          <w:sz w:val="20"/>
          <w:szCs w:val="20"/>
          <w:color w:val="auto"/>
        </w:rPr>
      </w:pPr>
    </w:p>
    <w:p>
      <w:pPr>
        <w:ind w:right="1819" w:firstLine="648"/>
        <w:spacing w:after="0" w:line="247" w:lineRule="auto"/>
        <w:rPr>
          <w:sz w:val="20"/>
          <w:szCs w:val="20"/>
          <w:color w:val="auto"/>
        </w:rPr>
      </w:pPr>
      <w:r>
        <w:rPr>
          <w:rFonts w:ascii="Arial" w:cs="Arial" w:eastAsia="Arial" w:hAnsi="Arial"/>
          <w:sz w:val="21"/>
          <w:szCs w:val="21"/>
          <w:color w:val="auto"/>
        </w:rPr>
        <w:t>On January 23, 2012, the District Court granted ClearOne’s motion for return of the $248 held in the Court’s escrow, but denied ClearOne’s motion with respect to the $373,000 paid to Flood’s attorneys. On February 21, 2012, ClearOne filed a writ of mandamus with the Tenth Circuit seeking an order requiring Flood’s attorneys to return the $373,000 paid pursuant to the Court’s order. On April 30, 2012, the Tenth Circuit denied ClearOne’s writ of mandamus on the grounds that ClearOne’s request for restitution should be reviewed on appeal after entry of a final order by the District Court.</w:t>
      </w:r>
    </w:p>
    <w:p>
      <w:pPr>
        <w:spacing w:after="0" w:line="205" w:lineRule="exact"/>
        <w:rPr>
          <w:sz w:val="20"/>
          <w:szCs w:val="20"/>
          <w:color w:val="auto"/>
        </w:rPr>
      </w:pPr>
    </w:p>
    <w:p>
      <w:pPr>
        <w:ind w:right="1839" w:firstLine="648"/>
        <w:spacing w:after="0" w:line="297" w:lineRule="auto"/>
        <w:rPr>
          <w:sz w:val="20"/>
          <w:szCs w:val="20"/>
          <w:color w:val="auto"/>
        </w:rPr>
      </w:pPr>
      <w:r>
        <w:rPr>
          <w:rFonts w:ascii="Arial" w:cs="Arial" w:eastAsia="Arial" w:hAnsi="Arial"/>
          <w:sz w:val="19"/>
          <w:szCs w:val="19"/>
          <w:color w:val="auto"/>
        </w:rPr>
        <w:t>Also pending in the District Court is ClearOne’s counterclaim for approximately $2.9 million seeking to enforce Flood’s August 2003 promise to repay all advanced expenses if it was ultimately adjudged that she did not meet the requisite standard of conduct.</w:t>
      </w:r>
    </w:p>
    <w:p>
      <w:pPr>
        <w:spacing w:after="0" w:line="155" w:lineRule="exact"/>
        <w:rPr>
          <w:sz w:val="20"/>
          <w:szCs w:val="20"/>
          <w:color w:val="auto"/>
        </w:rPr>
      </w:pPr>
    </w:p>
    <w:p>
      <w:pPr>
        <w:ind w:right="1959" w:firstLine="648"/>
        <w:spacing w:after="0" w:line="239" w:lineRule="auto"/>
        <w:rPr>
          <w:sz w:val="20"/>
          <w:szCs w:val="20"/>
          <w:color w:val="auto"/>
        </w:rPr>
      </w:pPr>
      <w:r>
        <w:rPr>
          <w:rFonts w:ascii="Arial" w:cs="Arial" w:eastAsia="Arial" w:hAnsi="Arial"/>
          <w:sz w:val="22"/>
          <w:szCs w:val="22"/>
          <w:b w:val="1"/>
          <w:bCs w:val="1"/>
          <w:color w:val="auto"/>
        </w:rPr>
        <w:t>Strohm</w:t>
      </w:r>
      <w:r>
        <w:rPr>
          <w:rFonts w:ascii="Arial" w:cs="Arial" w:eastAsia="Arial" w:hAnsi="Arial"/>
          <w:sz w:val="22"/>
          <w:szCs w:val="22"/>
          <w:color w:val="auto"/>
        </w:rPr>
        <w:t>: On August 21, 2008, Strohm and her counsel (“Dorsey”) filed a lawsuit in the</w:t>
      </w:r>
      <w:r>
        <w:rPr>
          <w:rFonts w:ascii="Arial" w:cs="Arial" w:eastAsia="Arial" w:hAnsi="Arial"/>
          <w:sz w:val="22"/>
          <w:szCs w:val="22"/>
          <w:b w:val="1"/>
          <w:bCs w:val="1"/>
          <w:color w:val="auto"/>
        </w:rPr>
        <w:t xml:space="preserve"> </w:t>
      </w:r>
      <w:r>
        <w:rPr>
          <w:rFonts w:ascii="Arial" w:cs="Arial" w:eastAsia="Arial" w:hAnsi="Arial"/>
          <w:sz w:val="22"/>
          <w:szCs w:val="22"/>
          <w:color w:val="auto"/>
        </w:rPr>
        <w:t>Third Judicial District Court in Salt Lake City, Utah seeking to compel us to pay Strohm’s attorneys’ fees and costs to defend against the criminal charges, plus interest, and for attorneys’ fees in connection with the civil action.</w:t>
      </w:r>
    </w:p>
    <w:p>
      <w:pPr>
        <w:spacing w:after="0" w:line="214" w:lineRule="exact"/>
        <w:rPr>
          <w:sz w:val="20"/>
          <w:szCs w:val="20"/>
          <w:color w:val="auto"/>
        </w:rPr>
      </w:pPr>
    </w:p>
    <w:p>
      <w:pPr>
        <w:ind w:right="1799" w:firstLine="648"/>
        <w:spacing w:after="0" w:line="246" w:lineRule="auto"/>
        <w:rPr>
          <w:sz w:val="20"/>
          <w:szCs w:val="20"/>
          <w:color w:val="auto"/>
        </w:rPr>
      </w:pPr>
      <w:r>
        <w:rPr>
          <w:rFonts w:ascii="Arial" w:cs="Arial" w:eastAsia="Arial" w:hAnsi="Arial"/>
          <w:sz w:val="21"/>
          <w:szCs w:val="21"/>
          <w:color w:val="auto"/>
        </w:rPr>
        <w:t>October 26, 2009, the Court granted Strohm’s motion for mandatory indemnification, ruling that we were required to indemnify Strohm for her reasonable attorneys’ fees and expenses to the extent that she was successful on the merits at trial. On March 2, 2010, the Court ruled that the Dorsey engagement letter provided an alternative basis requiring the Company to pay Strohm’s reasonable attorneys’ fees and costs incurred in connection with the federal criminal proceedings. The Court also ruled that ClearOne is required to pay Dorsey’s reasonable attorneys’ fees and costs incurred in bringing the civil lawsuit against the Company, subject to certain deductions.</w:t>
      </w:r>
    </w:p>
    <w:p>
      <w:pPr>
        <w:spacing w:after="0" w:line="208" w:lineRule="exact"/>
        <w:rPr>
          <w:sz w:val="20"/>
          <w:szCs w:val="20"/>
          <w:color w:val="auto"/>
        </w:rPr>
      </w:pPr>
    </w:p>
    <w:p>
      <w:pPr>
        <w:jc w:val="both"/>
        <w:ind w:right="1819" w:firstLine="648"/>
        <w:spacing w:after="0" w:line="238" w:lineRule="auto"/>
        <w:rPr>
          <w:sz w:val="20"/>
          <w:szCs w:val="20"/>
          <w:color w:val="auto"/>
        </w:rPr>
      </w:pPr>
      <w:r>
        <w:rPr>
          <w:rFonts w:ascii="Arial" w:cs="Arial" w:eastAsia="Arial" w:hAnsi="Arial"/>
          <w:sz w:val="22"/>
          <w:szCs w:val="22"/>
          <w:color w:val="auto"/>
        </w:rPr>
        <w:t>On January 24, 2011, the Court ruled that ClearOne was required to pay Dorsey at Court-determined rates for all criminal defense services rendered and costs incurred through the federal jury verdict in the criminal case on February 27, 2009, but that ClearOne was not required to pay for any post-verdict criminal defense services.</w:t>
      </w:r>
    </w:p>
    <w:p>
      <w:pPr>
        <w:spacing w:after="0" w:line="212" w:lineRule="exact"/>
        <w:rPr>
          <w:sz w:val="20"/>
          <w:szCs w:val="20"/>
          <w:color w:val="auto"/>
        </w:rPr>
      </w:pPr>
    </w:p>
    <w:p>
      <w:pPr>
        <w:ind w:right="1939" w:firstLine="648"/>
        <w:spacing w:after="0" w:line="282" w:lineRule="auto"/>
        <w:rPr>
          <w:sz w:val="20"/>
          <w:szCs w:val="20"/>
          <w:color w:val="auto"/>
        </w:rPr>
      </w:pPr>
      <w:r>
        <w:rPr>
          <w:rFonts w:ascii="Arial" w:cs="Arial" w:eastAsia="Arial" w:hAnsi="Arial"/>
          <w:sz w:val="19"/>
          <w:szCs w:val="19"/>
          <w:color w:val="auto"/>
        </w:rPr>
        <w:t>On June 8, 2011, the District Court entered Judgment against ClearOne for $973,000 in fees and expenses in the criminal case, plus $362,000 in interest at 18% through February 1, 2011, which amounts were paid by ClearOne under protest to Dorsey on February 1, 2011. The Judgment also included $865,000 in civil case fees and expenses plus interest. ClearOne has posted a cash bond to cover the civil case fees and interest pending ClearOne’s appeal.On</w:t>
      </w:r>
    </w:p>
    <w:p>
      <w:pPr>
        <w:sectPr>
          <w:pgSz w:w="11900" w:h="16917" w:orient="portrait"/>
          <w:cols w:equalWidth="0" w:num="1">
            <w:col w:w="10219"/>
          </w:cols>
          <w:pgMar w:left="240" w:top="361" w:right="1440" w:bottom="0" w:gutter="0" w:footer="0" w:header="0"/>
        </w:sectPr>
      </w:pPr>
    </w:p>
    <w:bookmarkStart w:id="21" w:name="page22"/>
    <w:bookmarkEnd w:id="21"/>
    <w:p>
      <w:pPr>
        <w:ind w:right="1939"/>
        <w:spacing w:after="0" w:line="329" w:lineRule="auto"/>
        <w:rPr>
          <w:sz w:val="20"/>
          <w:szCs w:val="20"/>
          <w:color w:val="auto"/>
        </w:rPr>
      </w:pPr>
      <w:r>
        <w:rPr>
          <w:rFonts w:ascii="Arial" w:cs="Arial" w:eastAsia="Arial" w:hAnsi="Arial"/>
          <w:sz w:val="19"/>
          <w:szCs w:val="19"/>
          <w:color w:val="auto"/>
        </w:rPr>
        <w:t>August 4, 2011, the Utah Supreme Court decided that it would hear ClearOne’s appeal. Dorsey has appealed as well. The Utah Supreme Court heard oral arguments on September 6,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5351145"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22" w:name="page23"/>
    <w:bookmarkEnd w:id="22"/>
    <w:p>
      <w:pPr>
        <w:ind w:left="1640"/>
        <w:spacing w:after="0"/>
        <w:rPr>
          <w:sz w:val="20"/>
          <w:szCs w:val="20"/>
          <w:color w:val="auto"/>
        </w:rPr>
      </w:pPr>
      <w:r>
        <w:rPr>
          <w:rFonts w:ascii="Arial" w:cs="Arial" w:eastAsia="Arial" w:hAnsi="Arial"/>
          <w:sz w:val="22"/>
          <w:szCs w:val="22"/>
          <w:b w:val="1"/>
          <w:bCs w:val="1"/>
          <w:color w:val="auto"/>
        </w:rPr>
        <w:t>AUDIT AND COMPLIANCE COMMITTEE REPORT</w:t>
      </w:r>
    </w:p>
    <w:p>
      <w:pPr>
        <w:spacing w:after="0" w:line="91" w:lineRule="exact"/>
        <w:rPr>
          <w:sz w:val="20"/>
          <w:szCs w:val="20"/>
          <w:color w:val="auto"/>
        </w:rPr>
      </w:pPr>
    </w:p>
    <w:p>
      <w:pPr>
        <w:jc w:val="both"/>
        <w:ind w:right="2039" w:firstLine="648"/>
        <w:spacing w:after="0" w:line="273" w:lineRule="auto"/>
        <w:rPr>
          <w:sz w:val="20"/>
          <w:szCs w:val="20"/>
          <w:color w:val="auto"/>
        </w:rPr>
      </w:pPr>
      <w:r>
        <w:rPr>
          <w:rFonts w:ascii="Arial" w:cs="Arial" w:eastAsia="Arial" w:hAnsi="Arial"/>
          <w:sz w:val="19"/>
          <w:szCs w:val="19"/>
          <w:color w:val="auto"/>
        </w:rPr>
        <w:t>The Audit and Compliance Committee of the Board of Directors is comprised of three directors, all of whom are independent as defined in NASDAQ and SEC rules and regulations. The members of the Audit and Compliance Committee are Scott M. Huntsman, Brad R.</w:t>
      </w:r>
    </w:p>
    <w:p>
      <w:pPr>
        <w:spacing w:after="0" w:line="2" w:lineRule="exact"/>
        <w:rPr>
          <w:sz w:val="20"/>
          <w:szCs w:val="20"/>
          <w:color w:val="auto"/>
        </w:rPr>
      </w:pPr>
    </w:p>
    <w:p>
      <w:pPr>
        <w:ind w:right="2239"/>
        <w:spacing w:after="0" w:line="308" w:lineRule="auto"/>
        <w:rPr>
          <w:sz w:val="20"/>
          <w:szCs w:val="20"/>
          <w:color w:val="auto"/>
        </w:rPr>
      </w:pPr>
      <w:r>
        <w:rPr>
          <w:rFonts w:ascii="Arial" w:cs="Arial" w:eastAsia="Arial" w:hAnsi="Arial"/>
          <w:sz w:val="19"/>
          <w:szCs w:val="19"/>
          <w:color w:val="auto"/>
        </w:rPr>
        <w:t>Baldwin, and Larry R. Hendricks. Scott M. Huntsman is the Board of Directors’ designated “audit committee financial expert” as that term is defined in the securities laws.</w:t>
      </w:r>
    </w:p>
    <w:p>
      <w:pPr>
        <w:spacing w:after="0" w:line="96" w:lineRule="exact"/>
        <w:rPr>
          <w:sz w:val="20"/>
          <w:szCs w:val="20"/>
          <w:color w:val="auto"/>
        </w:rPr>
      </w:pPr>
    </w:p>
    <w:p>
      <w:pPr>
        <w:ind w:right="1859" w:firstLine="648"/>
        <w:spacing w:after="0" w:line="275" w:lineRule="auto"/>
        <w:rPr>
          <w:sz w:val="20"/>
          <w:szCs w:val="20"/>
          <w:color w:val="auto"/>
        </w:rPr>
      </w:pPr>
      <w:r>
        <w:rPr>
          <w:rFonts w:ascii="Arial" w:cs="Arial" w:eastAsia="Arial" w:hAnsi="Arial"/>
          <w:sz w:val="19"/>
          <w:szCs w:val="19"/>
          <w:color w:val="auto"/>
        </w:rPr>
        <w:t>We are responsible for our internal controls and the financial reporting process. Our independent registered public accounting firm is responsible for performing an audit of our financial statements in accordance with generally accepted auditing standards in the United States of America and for expressing an opinion on those financial statements based on its audit. The Audit and Compliance Committee reviews these processes on behalf of the Board of Directors. The Audit Committee has reviewed and discussed with management and our independent registered public accounting firm the audited financial statements contained in our Annual Report on Form 10-K for the year ended December 31, 2011.</w:t>
      </w:r>
    </w:p>
    <w:p>
      <w:pPr>
        <w:spacing w:after="0" w:line="131" w:lineRule="exact"/>
        <w:rPr>
          <w:sz w:val="20"/>
          <w:szCs w:val="20"/>
          <w:color w:val="auto"/>
        </w:rPr>
      </w:pPr>
    </w:p>
    <w:p>
      <w:pPr>
        <w:ind w:right="1899" w:firstLine="648"/>
        <w:spacing w:after="0" w:line="246" w:lineRule="auto"/>
        <w:rPr>
          <w:sz w:val="20"/>
          <w:szCs w:val="20"/>
          <w:color w:val="auto"/>
        </w:rPr>
      </w:pPr>
      <w:r>
        <w:rPr>
          <w:rFonts w:ascii="Arial" w:cs="Arial" w:eastAsia="Arial" w:hAnsi="Arial"/>
          <w:sz w:val="21"/>
          <w:szCs w:val="21"/>
          <w:color w:val="auto"/>
        </w:rPr>
        <w:t>Additionally, the Audit and Compliance Committee has discussed with the principal accountants the auditors’ independence from management and our company, including the matters in the written disclosure and the letter received from the principal accountants required by applicable requirements of the Public Company Accounting Oversight Board regarding independence discussions with Audit Committees and considered the compatibility of non-audit services with the accountants’ independence. The Audit and Compliance Committee also discussed with the principal accountants any matters required to be discussed by PCAOB AU Section No. 380, as currently in effect.</w:t>
      </w:r>
    </w:p>
    <w:p>
      <w:pPr>
        <w:spacing w:after="0" w:line="154" w:lineRule="exact"/>
        <w:rPr>
          <w:sz w:val="20"/>
          <w:szCs w:val="20"/>
          <w:color w:val="auto"/>
        </w:rPr>
      </w:pPr>
    </w:p>
    <w:p>
      <w:pPr>
        <w:ind w:right="1959" w:firstLine="648"/>
        <w:spacing w:after="0" w:line="287" w:lineRule="auto"/>
        <w:rPr>
          <w:sz w:val="20"/>
          <w:szCs w:val="20"/>
          <w:color w:val="auto"/>
        </w:rPr>
      </w:pPr>
      <w:r>
        <w:rPr>
          <w:rFonts w:ascii="Arial" w:cs="Arial" w:eastAsia="Arial" w:hAnsi="Arial"/>
          <w:sz w:val="19"/>
          <w:szCs w:val="19"/>
          <w:color w:val="auto"/>
        </w:rPr>
        <w:t>In reliance on the reviews and discussions referred to above, the Audit and Compliance Committee recommended to the Board of Directors (and the Board has approved) that the audited financial statements be included in the Annual Report on Form 10-K for the year ended December 31, 2011 for filing with the Securities and Exchange Commission.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Respectfully submitted by the members of the Audit and Compliance Committee.</w:t>
      </w:r>
    </w:p>
    <w:p>
      <w:pPr>
        <w:spacing w:after="0" w:line="191" w:lineRule="exact"/>
        <w:rPr>
          <w:sz w:val="20"/>
          <w:szCs w:val="20"/>
          <w:color w:val="auto"/>
        </w:rPr>
      </w:pPr>
    </w:p>
    <w:p>
      <w:pPr>
        <w:ind w:left="660"/>
        <w:spacing w:after="0"/>
        <w:tabs>
          <w:tab w:leader="none" w:pos="3220" w:val="left"/>
          <w:tab w:leader="none" w:pos="5140" w:val="left"/>
        </w:tabs>
        <w:rPr>
          <w:sz w:val="20"/>
          <w:szCs w:val="20"/>
          <w:color w:val="auto"/>
        </w:rPr>
      </w:pPr>
      <w:r>
        <w:rPr>
          <w:rFonts w:ascii="Arial" w:cs="Arial" w:eastAsia="Arial" w:hAnsi="Arial"/>
          <w:sz w:val="22"/>
          <w:szCs w:val="22"/>
          <w:color w:val="auto"/>
        </w:rPr>
        <w:t>Scott M. Huntsman (Chair)</w:t>
        <w:tab/>
        <w:t>Brad R. Baldwin</w:t>
      </w:r>
      <w:r>
        <w:rPr>
          <w:sz w:val="20"/>
          <w:szCs w:val="20"/>
          <w:color w:val="auto"/>
        </w:rPr>
        <w:tab/>
      </w:r>
      <w:r>
        <w:rPr>
          <w:rFonts w:ascii="Arial" w:cs="Arial" w:eastAsia="Arial" w:hAnsi="Arial"/>
          <w:sz w:val="19"/>
          <w:szCs w:val="19"/>
          <w:color w:val="auto"/>
        </w:rPr>
        <w:t>Larry R. Hendricks</w:t>
      </w:r>
    </w:p>
    <w:p>
      <w:pPr>
        <w:spacing w:after="0" w:line="200" w:lineRule="exact"/>
        <w:rPr>
          <w:sz w:val="20"/>
          <w:szCs w:val="20"/>
          <w:color w:val="auto"/>
        </w:rPr>
      </w:pPr>
    </w:p>
    <w:p>
      <w:pPr>
        <w:spacing w:after="0" w:line="216" w:lineRule="exact"/>
        <w:rPr>
          <w:sz w:val="20"/>
          <w:szCs w:val="20"/>
          <w:color w:val="auto"/>
        </w:rPr>
      </w:pPr>
    </w:p>
    <w:p>
      <w:pPr>
        <w:jc w:val="center"/>
        <w:ind w:right="1759"/>
        <w:spacing w:after="0"/>
        <w:rPr>
          <w:sz w:val="20"/>
          <w:szCs w:val="20"/>
          <w:color w:val="auto"/>
        </w:rPr>
      </w:pPr>
      <w:r>
        <w:rPr>
          <w:rFonts w:ascii="Arial" w:cs="Arial" w:eastAsia="Arial" w:hAnsi="Arial"/>
          <w:sz w:val="22"/>
          <w:szCs w:val="22"/>
          <w:b w:val="1"/>
          <w:bCs w:val="1"/>
          <w:color w:val="auto"/>
        </w:rPr>
        <w:t>SECURITY OWNERSHIP OF CERTAIN BENEFICIAL OWNERS AND</w:t>
      </w:r>
    </w:p>
    <w:p>
      <w:pPr>
        <w:spacing w:after="0" w:line="14" w:lineRule="exact"/>
        <w:rPr>
          <w:sz w:val="20"/>
          <w:szCs w:val="20"/>
          <w:color w:val="auto"/>
        </w:rPr>
      </w:pPr>
    </w:p>
    <w:p>
      <w:pPr>
        <w:jc w:val="center"/>
        <w:ind w:right="1759"/>
        <w:spacing w:after="0"/>
        <w:rPr>
          <w:sz w:val="20"/>
          <w:szCs w:val="20"/>
          <w:color w:val="auto"/>
        </w:rPr>
      </w:pPr>
      <w:r>
        <w:rPr>
          <w:rFonts w:ascii="Arial" w:cs="Arial" w:eastAsia="Arial" w:hAnsi="Arial"/>
          <w:sz w:val="22"/>
          <w:szCs w:val="22"/>
          <w:b w:val="1"/>
          <w:bCs w:val="1"/>
          <w:color w:val="auto"/>
        </w:rPr>
        <w:t>MANAGEMENT</w:t>
      </w:r>
    </w:p>
    <w:p>
      <w:pPr>
        <w:spacing w:after="0" w:line="215" w:lineRule="exact"/>
        <w:rPr>
          <w:sz w:val="20"/>
          <w:szCs w:val="20"/>
          <w:color w:val="auto"/>
        </w:rPr>
      </w:pPr>
    </w:p>
    <w:p>
      <w:pPr>
        <w:ind w:right="1879" w:firstLine="1297"/>
        <w:spacing w:after="0" w:line="287" w:lineRule="auto"/>
        <w:rPr>
          <w:sz w:val="20"/>
          <w:szCs w:val="20"/>
          <w:color w:val="auto"/>
        </w:rPr>
      </w:pPr>
      <w:r>
        <w:rPr>
          <w:rFonts w:ascii="Arial" w:cs="Arial" w:eastAsia="Arial" w:hAnsi="Arial"/>
          <w:sz w:val="19"/>
          <w:szCs w:val="19"/>
          <w:color w:val="auto"/>
        </w:rPr>
        <w:t>The following table sets forth certain information regarding ownership of our common stock as of October 2, 2012 by (i) each director, (ii) the named executive officers, (iii) all of our named executive officers and directors as a group, and (iv) each person known to us to be the beneficial owner of more than 5% of our outstanding common stock.</w:t>
      </w:r>
    </w:p>
    <w:p>
      <w:pPr>
        <w:spacing w:after="0" w:line="34" w:lineRule="exact"/>
        <w:rPr>
          <w:sz w:val="20"/>
          <w:szCs w:val="20"/>
          <w:color w:val="auto"/>
        </w:rPr>
      </w:pPr>
    </w:p>
    <w:tbl>
      <w:tblPr>
        <w:tblLayout w:type="fixed"/>
        <w:tblInd w:w="30" w:type="dxa"/>
        <w:tblCellMar>
          <w:top w:w="0" w:type="dxa"/>
          <w:left w:w="0" w:type="dxa"/>
          <w:bottom w:w="0" w:type="dxa"/>
          <w:right w:w="0" w:type="dxa"/>
        </w:tblCellMar>
      </w:tblPr>
      <w:tr>
        <w:trPr>
          <w:trHeight w:val="260"/>
        </w:trPr>
        <w:tc>
          <w:tcPr>
            <w:tcW w:w="4100" w:type="dxa"/>
            <w:vAlign w:val="bottom"/>
            <w:tcBorders>
              <w:top w:val="single" w:sz="8" w:color="808080"/>
              <w:left w:val="single" w:sz="8" w:color="808080"/>
            </w:tcBorders>
          </w:tcPr>
          <w:p>
            <w:pPr>
              <w:ind w:left="60"/>
              <w:spacing w:after="0" w:line="259" w:lineRule="exact"/>
              <w:rPr>
                <w:sz w:val="20"/>
                <w:szCs w:val="20"/>
                <w:color w:val="auto"/>
              </w:rPr>
            </w:pPr>
            <w:r>
              <w:rPr>
                <w:rFonts w:ascii="Arial" w:cs="Arial" w:eastAsia="Arial" w:hAnsi="Arial"/>
                <w:sz w:val="14"/>
                <w:szCs w:val="14"/>
                <w:b w:val="1"/>
                <w:bCs w:val="1"/>
                <w:color w:val="auto"/>
              </w:rPr>
              <w:t xml:space="preserve">Name of Beneficial Owner </w:t>
            </w:r>
            <w:r>
              <w:rPr>
                <w:rFonts w:ascii="Arial" w:cs="Arial" w:eastAsia="Arial" w:hAnsi="Arial"/>
                <w:sz w:val="30"/>
                <w:szCs w:val="30"/>
                <w:b w:val="1"/>
                <w:bCs w:val="1"/>
                <w:color w:val="auto"/>
                <w:vertAlign w:val="superscript"/>
              </w:rPr>
              <w:t>(1)</w:t>
            </w:r>
          </w:p>
        </w:tc>
        <w:tc>
          <w:tcPr>
            <w:tcW w:w="180" w:type="dxa"/>
            <w:vAlign w:val="bottom"/>
            <w:tcBorders>
              <w:top w:val="single" w:sz="8" w:color="808080"/>
            </w:tcBorders>
          </w:tcPr>
          <w:p>
            <w:pPr>
              <w:spacing w:after="0"/>
              <w:rPr>
                <w:sz w:val="22"/>
                <w:szCs w:val="22"/>
                <w:color w:val="auto"/>
              </w:rPr>
            </w:pPr>
          </w:p>
        </w:tc>
        <w:tc>
          <w:tcPr>
            <w:tcW w:w="2560" w:type="dxa"/>
            <w:vAlign w:val="bottom"/>
            <w:tcBorders>
              <w:top w:val="single" w:sz="8" w:color="808080"/>
              <w:right w:val="single" w:sz="8" w:color="808080"/>
            </w:tcBorders>
            <w:gridSpan w:val="4"/>
          </w:tcPr>
          <w:p>
            <w:pPr>
              <w:ind w:left="440"/>
              <w:spacing w:after="0"/>
              <w:rPr>
                <w:sz w:val="20"/>
                <w:szCs w:val="20"/>
                <w:color w:val="auto"/>
              </w:rPr>
            </w:pPr>
            <w:r>
              <w:rPr>
                <w:rFonts w:ascii="Arial" w:cs="Arial" w:eastAsia="Arial" w:hAnsi="Arial"/>
                <w:sz w:val="14"/>
                <w:szCs w:val="14"/>
                <w:b w:val="1"/>
                <w:bCs w:val="1"/>
                <w:color w:val="auto"/>
              </w:rPr>
              <w:t>Shares Beneficially Owned</w:t>
            </w:r>
          </w:p>
        </w:tc>
      </w:tr>
      <w:tr>
        <w:trPr>
          <w:trHeight w:val="230"/>
        </w:trPr>
        <w:tc>
          <w:tcPr>
            <w:tcW w:w="4100" w:type="dxa"/>
            <w:vAlign w:val="bottom"/>
            <w:tcBorders>
              <w:top w:val="single" w:sz="8" w:color="auto"/>
              <w:left w:val="single" w:sz="8" w:color="808080"/>
            </w:tcBorders>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128"/>
              <w:spacing w:after="0" w:line="223" w:lineRule="exact"/>
              <w:rPr>
                <w:sz w:val="20"/>
                <w:szCs w:val="20"/>
                <w:color w:val="auto"/>
              </w:rPr>
            </w:pPr>
            <w:r>
              <w:rPr>
                <w:rFonts w:ascii="Arial" w:cs="Arial" w:eastAsia="Arial" w:hAnsi="Arial"/>
                <w:sz w:val="13"/>
                <w:szCs w:val="13"/>
                <w:b w:val="1"/>
                <w:bCs w:val="1"/>
                <w:color w:val="auto"/>
              </w:rPr>
              <w:t xml:space="preserve">Number </w:t>
            </w:r>
            <w:r>
              <w:rPr>
                <w:rFonts w:ascii="Arial" w:cs="Arial" w:eastAsia="Arial" w:hAnsi="Arial"/>
                <w:sz w:val="25"/>
                <w:szCs w:val="25"/>
                <w:b w:val="1"/>
                <w:bCs w:val="1"/>
                <w:color w:val="auto"/>
                <w:vertAlign w:val="superscript"/>
              </w:rPr>
              <w:t>(2)</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188"/>
              <w:spacing w:after="0" w:line="223" w:lineRule="exact"/>
              <w:rPr>
                <w:sz w:val="20"/>
                <w:szCs w:val="20"/>
                <w:color w:val="auto"/>
              </w:rPr>
            </w:pPr>
            <w:r>
              <w:rPr>
                <w:rFonts w:ascii="Arial" w:cs="Arial" w:eastAsia="Arial" w:hAnsi="Arial"/>
                <w:sz w:val="13"/>
                <w:szCs w:val="13"/>
                <w:b w:val="1"/>
                <w:bCs w:val="1"/>
                <w:color w:val="auto"/>
              </w:rPr>
              <w:t xml:space="preserve">Percent </w:t>
            </w:r>
            <w:r>
              <w:rPr>
                <w:rFonts w:ascii="Arial" w:cs="Arial" w:eastAsia="Arial" w:hAnsi="Arial"/>
                <w:sz w:val="25"/>
                <w:szCs w:val="25"/>
                <w:b w:val="1"/>
                <w:bCs w:val="1"/>
                <w:color w:val="auto"/>
                <w:vertAlign w:val="superscript"/>
              </w:rPr>
              <w:t>(2)</w:t>
            </w:r>
          </w:p>
        </w:tc>
        <w:tc>
          <w:tcPr>
            <w:tcW w:w="40" w:type="dxa"/>
            <w:vAlign w:val="bottom"/>
            <w:tcBorders>
              <w:right w:val="single" w:sz="8" w:color="808080"/>
            </w:tcBorders>
          </w:tcPr>
          <w:p>
            <w:pPr>
              <w:spacing w:after="0"/>
              <w:rPr>
                <w:sz w:val="20"/>
                <w:szCs w:val="20"/>
                <w:color w:val="auto"/>
              </w:rPr>
            </w:pPr>
          </w:p>
        </w:tc>
      </w:tr>
      <w:tr>
        <w:trPr>
          <w:trHeight w:val="210"/>
        </w:trPr>
        <w:tc>
          <w:tcPr>
            <w:tcW w:w="4100" w:type="dxa"/>
            <w:vAlign w:val="bottom"/>
            <w:tcBorders>
              <w:left w:val="single" w:sz="8" w:color="808080"/>
            </w:tcBorders>
          </w:tcPr>
          <w:p>
            <w:pPr>
              <w:ind w:left="20"/>
              <w:spacing w:after="0"/>
              <w:rPr>
                <w:sz w:val="20"/>
                <w:szCs w:val="20"/>
                <w:color w:val="auto"/>
              </w:rPr>
            </w:pPr>
            <w:r>
              <w:rPr>
                <w:rFonts w:ascii="Arial" w:cs="Arial" w:eastAsia="Arial" w:hAnsi="Arial"/>
                <w:sz w:val="16"/>
                <w:szCs w:val="16"/>
                <w:b w:val="1"/>
                <w:bCs w:val="1"/>
                <w:color w:val="auto"/>
              </w:rPr>
              <w:t>Directors and Executive Officers: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33"/>
        </w:trPr>
        <w:tc>
          <w:tcPr>
            <w:tcW w:w="4100" w:type="dxa"/>
            <w:vAlign w:val="bottom"/>
            <w:tcBorders>
              <w:left w:val="single" w:sz="8" w:color="808080"/>
            </w:tcBorders>
          </w:tcPr>
          <w:p>
            <w:pPr>
              <w:spacing w:after="0"/>
              <w:rPr>
                <w:sz w:val="2"/>
                <w:szCs w:val="2"/>
                <w:color w:val="auto"/>
              </w:rPr>
            </w:pPr>
          </w:p>
        </w:tc>
        <w:tc>
          <w:tcPr>
            <w:tcW w:w="132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40" w:type="dxa"/>
            <w:vAlign w:val="bottom"/>
            <w:tcBorders>
              <w:right w:val="single" w:sz="8" w:color="808080"/>
            </w:tcBorders>
          </w:tcPr>
          <w:p>
            <w:pPr>
              <w:spacing w:after="0"/>
              <w:rPr>
                <w:sz w:val="2"/>
                <w:szCs w:val="2"/>
                <w:color w:val="auto"/>
              </w:rPr>
            </w:pPr>
          </w:p>
        </w:tc>
      </w:tr>
      <w:tr>
        <w:trPr>
          <w:trHeight w:val="230"/>
        </w:trPr>
        <w:tc>
          <w:tcPr>
            <w:tcW w:w="410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 xml:space="preserve">Zeynep “Zee” Hakimoglu </w:t>
            </w:r>
            <w:r>
              <w:rPr>
                <w:rFonts w:ascii="Arial" w:cs="Arial" w:eastAsia="Arial" w:hAnsi="Arial"/>
                <w:sz w:val="10"/>
                <w:szCs w:val="10"/>
                <w:b w:val="1"/>
                <w:bCs w:val="1"/>
                <w:color w:val="auto"/>
              </w:rPr>
              <w:t>(3)</w:t>
            </w:r>
          </w:p>
        </w:tc>
        <w:tc>
          <w:tcPr>
            <w:tcW w:w="132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589,875</w:t>
            </w:r>
          </w:p>
        </w:tc>
        <w:tc>
          <w:tcPr>
            <w:tcW w:w="1380" w:type="dxa"/>
            <w:vAlign w:val="bottom"/>
            <w:gridSpan w:val="2"/>
            <w:shd w:val="clear" w:color="auto" w:fill="B6DDE8"/>
          </w:tcPr>
          <w:p>
            <w:pPr>
              <w:jc w:val="right"/>
              <w:ind w:right="248"/>
              <w:spacing w:after="0"/>
              <w:rPr>
                <w:sz w:val="20"/>
                <w:szCs w:val="20"/>
                <w:color w:val="auto"/>
              </w:rPr>
            </w:pPr>
            <w:r>
              <w:rPr>
                <w:rFonts w:ascii="Arial" w:cs="Arial" w:eastAsia="Arial" w:hAnsi="Arial"/>
                <w:sz w:val="16"/>
                <w:szCs w:val="16"/>
                <w:color w:val="auto"/>
              </w:rPr>
              <w:t>5.9%</w:t>
            </w:r>
          </w:p>
        </w:tc>
        <w:tc>
          <w:tcPr>
            <w:tcW w:w="40" w:type="dxa"/>
            <w:vAlign w:val="bottom"/>
            <w:tcBorders>
              <w:right w:val="single" w:sz="8" w:color="808080"/>
            </w:tcBorders>
          </w:tcPr>
          <w:p>
            <w:pPr>
              <w:spacing w:after="0"/>
              <w:rPr>
                <w:sz w:val="19"/>
                <w:szCs w:val="19"/>
                <w:color w:val="auto"/>
              </w:rPr>
            </w:pPr>
          </w:p>
        </w:tc>
      </w:tr>
      <w:tr>
        <w:trPr>
          <w:trHeight w:val="227"/>
        </w:trPr>
        <w:tc>
          <w:tcPr>
            <w:tcW w:w="4100" w:type="dxa"/>
            <w:vAlign w:val="bottom"/>
            <w:tcBorders>
              <w:left w:val="single" w:sz="8" w:color="808080"/>
            </w:tcBorders>
          </w:tcPr>
          <w:p>
            <w:pPr>
              <w:ind w:left="20"/>
              <w:spacing w:after="0"/>
              <w:rPr>
                <w:sz w:val="20"/>
                <w:szCs w:val="20"/>
                <w:color w:val="auto"/>
              </w:rPr>
            </w:pPr>
            <w:r>
              <w:rPr>
                <w:rFonts w:ascii="Arial" w:cs="Arial" w:eastAsia="Arial" w:hAnsi="Arial"/>
                <w:sz w:val="16"/>
                <w:szCs w:val="16"/>
                <w:color w:val="auto"/>
              </w:rPr>
              <w:t xml:space="preserve">E. Bryan Bagley </w:t>
            </w:r>
            <w:r>
              <w:rPr>
                <w:rFonts w:ascii="Arial" w:cs="Arial" w:eastAsia="Arial" w:hAnsi="Arial"/>
                <w:sz w:val="10"/>
                <w:szCs w:val="10"/>
                <w:b w:val="1"/>
                <w:bCs w:val="1"/>
                <w:color w:val="auto"/>
              </w:rPr>
              <w:t>(4)</w:t>
            </w:r>
          </w:p>
        </w:tc>
        <w:tc>
          <w:tcPr>
            <w:tcW w:w="1320" w:type="dxa"/>
            <w:vAlign w:val="bottom"/>
            <w:gridSpan w:val="2"/>
          </w:tcPr>
          <w:p>
            <w:pPr>
              <w:jc w:val="right"/>
              <w:ind w:right="228"/>
              <w:spacing w:after="0"/>
              <w:rPr>
                <w:sz w:val="20"/>
                <w:szCs w:val="20"/>
                <w:color w:val="auto"/>
              </w:rPr>
            </w:pPr>
            <w:r>
              <w:rPr>
                <w:rFonts w:ascii="Arial" w:cs="Arial" w:eastAsia="Arial" w:hAnsi="Arial"/>
                <w:sz w:val="16"/>
                <w:szCs w:val="16"/>
                <w:color w:val="auto"/>
              </w:rPr>
              <w:t>351,296</w:t>
            </w:r>
          </w:p>
        </w:tc>
        <w:tc>
          <w:tcPr>
            <w:tcW w:w="1380" w:type="dxa"/>
            <w:vAlign w:val="bottom"/>
            <w:gridSpan w:val="2"/>
          </w:tcPr>
          <w:p>
            <w:pPr>
              <w:jc w:val="right"/>
              <w:ind w:right="248"/>
              <w:spacing w:after="0"/>
              <w:rPr>
                <w:sz w:val="20"/>
                <w:szCs w:val="20"/>
                <w:color w:val="auto"/>
              </w:rPr>
            </w:pPr>
            <w:r>
              <w:rPr>
                <w:rFonts w:ascii="Arial" w:cs="Arial" w:eastAsia="Arial" w:hAnsi="Arial"/>
                <w:sz w:val="16"/>
                <w:szCs w:val="16"/>
                <w:color w:val="auto"/>
              </w:rPr>
              <w:t>3.5%</w:t>
            </w:r>
          </w:p>
        </w:tc>
        <w:tc>
          <w:tcPr>
            <w:tcW w:w="40" w:type="dxa"/>
            <w:vAlign w:val="bottom"/>
            <w:tcBorders>
              <w:right w:val="single" w:sz="8" w:color="808080"/>
            </w:tcBorders>
          </w:tcPr>
          <w:p>
            <w:pPr>
              <w:spacing w:after="0"/>
              <w:rPr>
                <w:sz w:val="19"/>
                <w:szCs w:val="19"/>
                <w:color w:val="auto"/>
              </w:rPr>
            </w:pPr>
          </w:p>
        </w:tc>
      </w:tr>
      <w:tr>
        <w:trPr>
          <w:trHeight w:val="233"/>
        </w:trPr>
        <w:tc>
          <w:tcPr>
            <w:tcW w:w="410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 xml:space="preserve">Brad R. Baldwin </w:t>
            </w:r>
            <w:r>
              <w:rPr>
                <w:rFonts w:ascii="Arial" w:cs="Arial" w:eastAsia="Arial" w:hAnsi="Arial"/>
                <w:sz w:val="10"/>
                <w:szCs w:val="10"/>
                <w:b w:val="1"/>
                <w:bCs w:val="1"/>
                <w:color w:val="auto"/>
              </w:rPr>
              <w:t>(5)</w:t>
            </w:r>
          </w:p>
        </w:tc>
        <w:tc>
          <w:tcPr>
            <w:tcW w:w="132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185,082</w:t>
            </w:r>
          </w:p>
        </w:tc>
        <w:tc>
          <w:tcPr>
            <w:tcW w:w="1380" w:type="dxa"/>
            <w:vAlign w:val="bottom"/>
            <w:gridSpan w:val="2"/>
            <w:shd w:val="clear" w:color="auto" w:fill="B6DDE8"/>
          </w:tcPr>
          <w:p>
            <w:pPr>
              <w:jc w:val="right"/>
              <w:ind w:right="248"/>
              <w:spacing w:after="0"/>
              <w:rPr>
                <w:sz w:val="20"/>
                <w:szCs w:val="20"/>
                <w:color w:val="auto"/>
              </w:rPr>
            </w:pPr>
            <w:r>
              <w:rPr>
                <w:rFonts w:ascii="Arial" w:cs="Arial" w:eastAsia="Arial" w:hAnsi="Arial"/>
                <w:sz w:val="16"/>
                <w:szCs w:val="16"/>
                <w:color w:val="auto"/>
              </w:rPr>
              <w:t>1.8%</w:t>
            </w:r>
          </w:p>
        </w:tc>
        <w:tc>
          <w:tcPr>
            <w:tcW w:w="40" w:type="dxa"/>
            <w:vAlign w:val="bottom"/>
            <w:tcBorders>
              <w:right w:val="single" w:sz="8" w:color="808080"/>
            </w:tcBorders>
          </w:tcPr>
          <w:p>
            <w:pPr>
              <w:spacing w:after="0"/>
              <w:rPr>
                <w:sz w:val="20"/>
                <w:szCs w:val="20"/>
                <w:color w:val="auto"/>
              </w:rPr>
            </w:pPr>
          </w:p>
        </w:tc>
      </w:tr>
      <w:tr>
        <w:trPr>
          <w:trHeight w:val="227"/>
        </w:trPr>
        <w:tc>
          <w:tcPr>
            <w:tcW w:w="4100" w:type="dxa"/>
            <w:vAlign w:val="bottom"/>
            <w:tcBorders>
              <w:left w:val="single" w:sz="8" w:color="808080"/>
            </w:tcBorders>
          </w:tcPr>
          <w:p>
            <w:pPr>
              <w:ind w:left="20"/>
              <w:spacing w:after="0"/>
              <w:rPr>
                <w:sz w:val="20"/>
                <w:szCs w:val="20"/>
                <w:color w:val="auto"/>
              </w:rPr>
            </w:pPr>
            <w:r>
              <w:rPr>
                <w:rFonts w:ascii="Arial" w:cs="Arial" w:eastAsia="Arial" w:hAnsi="Arial"/>
                <w:sz w:val="16"/>
                <w:szCs w:val="16"/>
                <w:color w:val="auto"/>
              </w:rPr>
              <w:t xml:space="preserve">Larry R. Hendricks </w:t>
            </w:r>
            <w:r>
              <w:rPr>
                <w:rFonts w:ascii="Arial" w:cs="Arial" w:eastAsia="Arial" w:hAnsi="Arial"/>
                <w:sz w:val="10"/>
                <w:szCs w:val="10"/>
                <w:b w:val="1"/>
                <w:bCs w:val="1"/>
                <w:color w:val="auto"/>
              </w:rPr>
              <w:t>(6)</w:t>
            </w:r>
          </w:p>
        </w:tc>
        <w:tc>
          <w:tcPr>
            <w:tcW w:w="1320" w:type="dxa"/>
            <w:vAlign w:val="bottom"/>
            <w:gridSpan w:val="2"/>
          </w:tcPr>
          <w:p>
            <w:pPr>
              <w:jc w:val="right"/>
              <w:ind w:right="228"/>
              <w:spacing w:after="0"/>
              <w:rPr>
                <w:sz w:val="20"/>
                <w:szCs w:val="20"/>
                <w:color w:val="auto"/>
              </w:rPr>
            </w:pPr>
            <w:r>
              <w:rPr>
                <w:rFonts w:ascii="Arial" w:cs="Arial" w:eastAsia="Arial" w:hAnsi="Arial"/>
                <w:sz w:val="16"/>
                <w:szCs w:val="16"/>
                <w:color w:val="auto"/>
              </w:rPr>
              <w:t>86,916</w:t>
            </w:r>
          </w:p>
        </w:tc>
        <w:tc>
          <w:tcPr>
            <w:tcW w:w="1380" w:type="dxa"/>
            <w:vAlign w:val="bottom"/>
            <w:gridSpan w:val="2"/>
          </w:tcPr>
          <w:p>
            <w:pPr>
              <w:jc w:val="right"/>
              <w:ind w:right="248"/>
              <w:spacing w:after="0"/>
              <w:rPr>
                <w:sz w:val="20"/>
                <w:szCs w:val="20"/>
                <w:color w:val="auto"/>
              </w:rPr>
            </w:pPr>
            <w:r>
              <w:rPr>
                <w:rFonts w:ascii="Arial" w:cs="Arial" w:eastAsia="Arial" w:hAnsi="Arial"/>
                <w:sz w:val="16"/>
                <w:szCs w:val="16"/>
                <w:color w:val="auto"/>
              </w:rPr>
              <w:t>0.9%</w:t>
            </w:r>
          </w:p>
        </w:tc>
        <w:tc>
          <w:tcPr>
            <w:tcW w:w="40" w:type="dxa"/>
            <w:vAlign w:val="bottom"/>
            <w:tcBorders>
              <w:right w:val="single" w:sz="8" w:color="808080"/>
            </w:tcBorders>
          </w:tcPr>
          <w:p>
            <w:pPr>
              <w:spacing w:after="0"/>
              <w:rPr>
                <w:sz w:val="19"/>
                <w:szCs w:val="19"/>
                <w:color w:val="auto"/>
              </w:rPr>
            </w:pPr>
          </w:p>
        </w:tc>
      </w:tr>
      <w:tr>
        <w:trPr>
          <w:trHeight w:val="233"/>
        </w:trPr>
        <w:tc>
          <w:tcPr>
            <w:tcW w:w="410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 xml:space="preserve">Scott M. Huntsman </w:t>
            </w:r>
            <w:r>
              <w:rPr>
                <w:rFonts w:ascii="Arial" w:cs="Arial" w:eastAsia="Arial" w:hAnsi="Arial"/>
                <w:sz w:val="10"/>
                <w:szCs w:val="10"/>
                <w:b w:val="1"/>
                <w:bCs w:val="1"/>
                <w:color w:val="auto"/>
              </w:rPr>
              <w:t>(7)</w:t>
            </w:r>
          </w:p>
        </w:tc>
        <w:tc>
          <w:tcPr>
            <w:tcW w:w="132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94,916</w:t>
            </w:r>
          </w:p>
        </w:tc>
        <w:tc>
          <w:tcPr>
            <w:tcW w:w="1380" w:type="dxa"/>
            <w:vAlign w:val="bottom"/>
            <w:gridSpan w:val="2"/>
            <w:shd w:val="clear" w:color="auto" w:fill="B6DDE8"/>
          </w:tcPr>
          <w:p>
            <w:pPr>
              <w:jc w:val="right"/>
              <w:ind w:right="248"/>
              <w:spacing w:after="0"/>
              <w:rPr>
                <w:sz w:val="20"/>
                <w:szCs w:val="20"/>
                <w:color w:val="auto"/>
              </w:rPr>
            </w:pPr>
            <w:r>
              <w:rPr>
                <w:rFonts w:ascii="Arial" w:cs="Arial" w:eastAsia="Arial" w:hAnsi="Arial"/>
                <w:sz w:val="16"/>
                <w:szCs w:val="16"/>
                <w:color w:val="auto"/>
              </w:rPr>
              <w:t>0.9%</w:t>
            </w:r>
          </w:p>
        </w:tc>
        <w:tc>
          <w:tcPr>
            <w:tcW w:w="40" w:type="dxa"/>
            <w:vAlign w:val="bottom"/>
            <w:tcBorders>
              <w:right w:val="single" w:sz="8" w:color="808080"/>
            </w:tcBorders>
          </w:tcPr>
          <w:p>
            <w:pPr>
              <w:spacing w:after="0"/>
              <w:rPr>
                <w:sz w:val="20"/>
                <w:szCs w:val="20"/>
                <w:color w:val="auto"/>
              </w:rPr>
            </w:pPr>
          </w:p>
        </w:tc>
      </w:tr>
      <w:tr>
        <w:trPr>
          <w:trHeight w:val="227"/>
        </w:trPr>
        <w:tc>
          <w:tcPr>
            <w:tcW w:w="4100" w:type="dxa"/>
            <w:vAlign w:val="bottom"/>
            <w:tcBorders>
              <w:left w:val="single" w:sz="8" w:color="808080"/>
            </w:tcBorders>
          </w:tcPr>
          <w:p>
            <w:pPr>
              <w:ind w:left="20"/>
              <w:spacing w:after="0"/>
              <w:rPr>
                <w:sz w:val="20"/>
                <w:szCs w:val="20"/>
                <w:color w:val="auto"/>
              </w:rPr>
            </w:pPr>
            <w:r>
              <w:rPr>
                <w:rFonts w:ascii="Arial" w:cs="Arial" w:eastAsia="Arial" w:hAnsi="Arial"/>
                <w:sz w:val="16"/>
                <w:szCs w:val="16"/>
                <w:color w:val="auto"/>
              </w:rPr>
              <w:t xml:space="preserve">Narsi Narayanan </w:t>
            </w:r>
            <w:r>
              <w:rPr>
                <w:rFonts w:ascii="Arial" w:cs="Arial" w:eastAsia="Arial" w:hAnsi="Arial"/>
                <w:sz w:val="10"/>
                <w:szCs w:val="10"/>
                <w:b w:val="1"/>
                <w:bCs w:val="1"/>
                <w:color w:val="auto"/>
              </w:rPr>
              <w:t>(8)</w:t>
            </w:r>
          </w:p>
        </w:tc>
        <w:tc>
          <w:tcPr>
            <w:tcW w:w="1320" w:type="dxa"/>
            <w:vAlign w:val="bottom"/>
            <w:gridSpan w:val="2"/>
          </w:tcPr>
          <w:p>
            <w:pPr>
              <w:jc w:val="right"/>
              <w:ind w:right="228"/>
              <w:spacing w:after="0"/>
              <w:rPr>
                <w:sz w:val="20"/>
                <w:szCs w:val="20"/>
                <w:color w:val="auto"/>
              </w:rPr>
            </w:pPr>
            <w:r>
              <w:rPr>
                <w:rFonts w:ascii="Arial" w:cs="Arial" w:eastAsia="Arial" w:hAnsi="Arial"/>
                <w:sz w:val="16"/>
                <w:szCs w:val="16"/>
                <w:color w:val="auto"/>
              </w:rPr>
              <w:t>42,499</w:t>
            </w:r>
          </w:p>
        </w:tc>
        <w:tc>
          <w:tcPr>
            <w:tcW w:w="1380" w:type="dxa"/>
            <w:vAlign w:val="bottom"/>
            <w:gridSpan w:val="2"/>
          </w:tcPr>
          <w:p>
            <w:pPr>
              <w:jc w:val="right"/>
              <w:ind w:right="248"/>
              <w:spacing w:after="0"/>
              <w:rPr>
                <w:sz w:val="20"/>
                <w:szCs w:val="20"/>
                <w:color w:val="auto"/>
              </w:rPr>
            </w:pPr>
            <w:r>
              <w:rPr>
                <w:rFonts w:ascii="Arial" w:cs="Arial" w:eastAsia="Arial" w:hAnsi="Arial"/>
                <w:sz w:val="16"/>
                <w:szCs w:val="16"/>
                <w:color w:val="auto"/>
              </w:rPr>
              <w:t>0.4%</w:t>
            </w:r>
          </w:p>
        </w:tc>
        <w:tc>
          <w:tcPr>
            <w:tcW w:w="40" w:type="dxa"/>
            <w:vAlign w:val="bottom"/>
            <w:tcBorders>
              <w:right w:val="single" w:sz="8" w:color="808080"/>
            </w:tcBorders>
          </w:tcPr>
          <w:p>
            <w:pPr>
              <w:spacing w:after="0"/>
              <w:rPr>
                <w:sz w:val="19"/>
                <w:szCs w:val="19"/>
                <w:color w:val="auto"/>
              </w:rPr>
            </w:pPr>
          </w:p>
        </w:tc>
      </w:tr>
      <w:tr>
        <w:trPr>
          <w:trHeight w:val="233"/>
        </w:trPr>
        <w:tc>
          <w:tcPr>
            <w:tcW w:w="410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 xml:space="preserve">Michael J. Braithwaite </w:t>
            </w:r>
            <w:r>
              <w:rPr>
                <w:rFonts w:ascii="Arial" w:cs="Arial" w:eastAsia="Arial" w:hAnsi="Arial"/>
                <w:sz w:val="10"/>
                <w:szCs w:val="10"/>
                <w:b w:val="1"/>
                <w:bCs w:val="1"/>
                <w:color w:val="auto"/>
              </w:rPr>
              <w:t>(9)</w:t>
            </w:r>
          </w:p>
        </w:tc>
        <w:tc>
          <w:tcPr>
            <w:tcW w:w="180" w:type="dxa"/>
            <w:vAlign w:val="bottom"/>
            <w:shd w:val="clear" w:color="auto" w:fill="B6DDE8"/>
          </w:tcPr>
          <w:p>
            <w:pPr>
              <w:spacing w:after="0"/>
              <w:rPr>
                <w:sz w:val="20"/>
                <w:szCs w:val="20"/>
                <w:color w:val="auto"/>
              </w:rPr>
            </w:pPr>
          </w:p>
        </w:tc>
        <w:tc>
          <w:tcPr>
            <w:tcW w:w="1140" w:type="dxa"/>
            <w:vAlign w:val="bottom"/>
            <w:tcBorders>
              <w:bottom w:val="single" w:sz="8" w:color="auto"/>
            </w:tcBorders>
            <w:shd w:val="clear" w:color="auto" w:fill="B6DDE8"/>
          </w:tcPr>
          <w:p>
            <w:pPr>
              <w:jc w:val="right"/>
              <w:ind w:right="228"/>
              <w:spacing w:after="0"/>
              <w:rPr>
                <w:sz w:val="20"/>
                <w:szCs w:val="20"/>
                <w:color w:val="auto"/>
              </w:rPr>
            </w:pPr>
            <w:r>
              <w:rPr>
                <w:rFonts w:ascii="Arial" w:cs="Arial" w:eastAsia="Arial" w:hAnsi="Arial"/>
                <w:sz w:val="16"/>
                <w:szCs w:val="16"/>
                <w:color w:val="auto"/>
              </w:rPr>
              <w:t>43,099</w:t>
            </w:r>
          </w:p>
        </w:tc>
        <w:tc>
          <w:tcPr>
            <w:tcW w:w="180" w:type="dxa"/>
            <w:vAlign w:val="bottom"/>
            <w:shd w:val="clear" w:color="auto" w:fill="B6DDE8"/>
          </w:tcPr>
          <w:p>
            <w:pPr>
              <w:spacing w:after="0"/>
              <w:rPr>
                <w:sz w:val="20"/>
                <w:szCs w:val="20"/>
                <w:color w:val="auto"/>
              </w:rPr>
            </w:pPr>
          </w:p>
        </w:tc>
        <w:tc>
          <w:tcPr>
            <w:tcW w:w="1200" w:type="dxa"/>
            <w:vAlign w:val="bottom"/>
            <w:tcBorders>
              <w:bottom w:val="single" w:sz="8" w:color="auto"/>
            </w:tcBorders>
            <w:shd w:val="clear" w:color="auto" w:fill="B6DDE8"/>
          </w:tcPr>
          <w:p>
            <w:pPr>
              <w:jc w:val="right"/>
              <w:ind w:right="248"/>
              <w:spacing w:after="0"/>
              <w:rPr>
                <w:sz w:val="20"/>
                <w:szCs w:val="20"/>
                <w:color w:val="auto"/>
              </w:rPr>
            </w:pPr>
            <w:r>
              <w:rPr>
                <w:rFonts w:ascii="Arial" w:cs="Arial" w:eastAsia="Arial" w:hAnsi="Arial"/>
                <w:sz w:val="16"/>
                <w:szCs w:val="16"/>
                <w:color w:val="auto"/>
              </w:rPr>
              <w:t>0.4%</w:t>
            </w:r>
          </w:p>
        </w:tc>
        <w:tc>
          <w:tcPr>
            <w:tcW w:w="40" w:type="dxa"/>
            <w:vAlign w:val="bottom"/>
            <w:tcBorders>
              <w:right w:val="single" w:sz="8" w:color="808080"/>
            </w:tcBorders>
          </w:tcPr>
          <w:p>
            <w:pPr>
              <w:spacing w:after="0"/>
              <w:rPr>
                <w:sz w:val="20"/>
                <w:szCs w:val="20"/>
                <w:color w:val="auto"/>
              </w:rPr>
            </w:pPr>
          </w:p>
        </w:tc>
      </w:tr>
      <w:tr>
        <w:trPr>
          <w:trHeight w:val="207"/>
        </w:trPr>
        <w:tc>
          <w:tcPr>
            <w:tcW w:w="4100" w:type="dxa"/>
            <w:vAlign w:val="bottom"/>
            <w:tcBorders>
              <w:left w:val="single" w:sz="8" w:color="808080"/>
            </w:tcBorders>
          </w:tcPr>
          <w:p>
            <w:pPr>
              <w:ind w:left="20"/>
              <w:spacing w:after="0"/>
              <w:rPr>
                <w:sz w:val="20"/>
                <w:szCs w:val="20"/>
                <w:color w:val="auto"/>
              </w:rPr>
            </w:pPr>
            <w:r>
              <w:rPr>
                <w:rFonts w:ascii="Arial" w:cs="Arial" w:eastAsia="Arial" w:hAnsi="Arial"/>
                <w:sz w:val="16"/>
                <w:szCs w:val="16"/>
                <w:color w:val="auto"/>
                <w:w w:val="99"/>
              </w:rPr>
              <w:t>All directors and executive officers as a group (7 persons)</w:t>
            </w:r>
          </w:p>
        </w:tc>
        <w:tc>
          <w:tcPr>
            <w:tcW w:w="1320" w:type="dxa"/>
            <w:vAlign w:val="bottom"/>
            <w:gridSpan w:val="2"/>
          </w:tcPr>
          <w:p>
            <w:pPr>
              <w:jc w:val="right"/>
              <w:ind w:right="228"/>
              <w:spacing w:after="0"/>
              <w:rPr>
                <w:sz w:val="20"/>
                <w:szCs w:val="20"/>
                <w:color w:val="auto"/>
              </w:rPr>
            </w:pPr>
            <w:r>
              <w:rPr>
                <w:rFonts w:ascii="Arial" w:cs="Arial" w:eastAsia="Arial" w:hAnsi="Arial"/>
                <w:sz w:val="16"/>
                <w:szCs w:val="16"/>
                <w:color w:val="auto"/>
              </w:rPr>
              <w:t>1,393,683</w:t>
            </w:r>
          </w:p>
        </w:tc>
        <w:tc>
          <w:tcPr>
            <w:tcW w:w="1380" w:type="dxa"/>
            <w:vAlign w:val="bottom"/>
            <w:gridSpan w:val="2"/>
          </w:tcPr>
          <w:p>
            <w:pPr>
              <w:jc w:val="right"/>
              <w:ind w:right="248"/>
              <w:spacing w:after="0"/>
              <w:rPr>
                <w:sz w:val="20"/>
                <w:szCs w:val="20"/>
                <w:color w:val="auto"/>
              </w:rPr>
            </w:pPr>
            <w:r>
              <w:rPr>
                <w:rFonts w:ascii="Arial" w:cs="Arial" w:eastAsia="Arial" w:hAnsi="Arial"/>
                <w:sz w:val="16"/>
                <w:szCs w:val="16"/>
                <w:color w:val="auto"/>
              </w:rPr>
              <w:t>13.9%</w:t>
            </w:r>
          </w:p>
        </w:tc>
        <w:tc>
          <w:tcPr>
            <w:tcW w:w="40" w:type="dxa"/>
            <w:vAlign w:val="bottom"/>
            <w:tcBorders>
              <w:right w:val="single" w:sz="8" w:color="808080"/>
            </w:tcBorders>
          </w:tcPr>
          <w:p>
            <w:pPr>
              <w:spacing w:after="0"/>
              <w:rPr>
                <w:sz w:val="17"/>
                <w:szCs w:val="17"/>
                <w:color w:val="auto"/>
              </w:rPr>
            </w:pPr>
          </w:p>
        </w:tc>
      </w:tr>
      <w:tr>
        <w:trPr>
          <w:trHeight w:val="226"/>
        </w:trPr>
        <w:tc>
          <w:tcPr>
            <w:tcW w:w="410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b w:val="1"/>
                <w:bCs w:val="1"/>
                <w:color w:val="auto"/>
              </w:rPr>
              <w:t>5% Shareholders:</w:t>
            </w:r>
          </w:p>
        </w:tc>
        <w:tc>
          <w:tcPr>
            <w:tcW w:w="180" w:type="dxa"/>
            <w:vAlign w:val="bottom"/>
            <w:shd w:val="clear" w:color="auto" w:fill="B6DDE8"/>
          </w:tcPr>
          <w:p>
            <w:pPr>
              <w:spacing w:after="0"/>
              <w:rPr>
                <w:sz w:val="19"/>
                <w:szCs w:val="19"/>
                <w:color w:val="auto"/>
              </w:rPr>
            </w:pPr>
          </w:p>
        </w:tc>
        <w:tc>
          <w:tcPr>
            <w:tcW w:w="1140" w:type="dxa"/>
            <w:vAlign w:val="bottom"/>
            <w:tcBorders>
              <w:top w:val="single" w:sz="8" w:color="auto"/>
            </w:tcBorders>
            <w:shd w:val="clear" w:color="auto" w:fill="B6DDE8"/>
          </w:tcPr>
          <w:p>
            <w:pPr>
              <w:spacing w:after="0"/>
              <w:rPr>
                <w:sz w:val="19"/>
                <w:szCs w:val="19"/>
                <w:color w:val="auto"/>
              </w:rPr>
            </w:pPr>
          </w:p>
        </w:tc>
        <w:tc>
          <w:tcPr>
            <w:tcW w:w="180" w:type="dxa"/>
            <w:vAlign w:val="bottom"/>
            <w:shd w:val="clear" w:color="auto" w:fill="B6DDE8"/>
          </w:tcPr>
          <w:p>
            <w:pPr>
              <w:spacing w:after="0"/>
              <w:rPr>
                <w:sz w:val="19"/>
                <w:szCs w:val="19"/>
                <w:color w:val="auto"/>
              </w:rPr>
            </w:pPr>
          </w:p>
        </w:tc>
        <w:tc>
          <w:tcPr>
            <w:tcW w:w="1200" w:type="dxa"/>
            <w:vAlign w:val="bottom"/>
            <w:tcBorders>
              <w:top w:val="single" w:sz="8" w:color="auto"/>
            </w:tcBorders>
            <w:shd w:val="clear" w:color="auto" w:fill="B6DDE8"/>
          </w:tcPr>
          <w:p>
            <w:pPr>
              <w:spacing w:after="0"/>
              <w:rPr>
                <w:sz w:val="19"/>
                <w:szCs w:val="19"/>
                <w:color w:val="auto"/>
              </w:rPr>
            </w:pPr>
          </w:p>
        </w:tc>
        <w:tc>
          <w:tcPr>
            <w:tcW w:w="40" w:type="dxa"/>
            <w:vAlign w:val="bottom"/>
            <w:tcBorders>
              <w:right w:val="single" w:sz="8" w:color="808080"/>
            </w:tcBorders>
          </w:tcPr>
          <w:p>
            <w:pPr>
              <w:spacing w:after="0"/>
              <w:rPr>
                <w:sz w:val="19"/>
                <w:szCs w:val="19"/>
                <w:color w:val="auto"/>
              </w:rPr>
            </w:pPr>
          </w:p>
        </w:tc>
      </w:tr>
      <w:tr>
        <w:trPr>
          <w:trHeight w:val="227"/>
        </w:trPr>
        <w:tc>
          <w:tcPr>
            <w:tcW w:w="4100" w:type="dxa"/>
            <w:vAlign w:val="bottom"/>
            <w:tcBorders>
              <w:left w:val="single" w:sz="8" w:color="808080"/>
            </w:tcBorders>
          </w:tcPr>
          <w:p>
            <w:pPr>
              <w:ind w:left="20"/>
              <w:spacing w:after="0"/>
              <w:rPr>
                <w:sz w:val="20"/>
                <w:szCs w:val="20"/>
                <w:color w:val="auto"/>
              </w:rPr>
            </w:pPr>
            <w:r>
              <w:rPr>
                <w:rFonts w:ascii="Arial" w:cs="Arial" w:eastAsia="Arial" w:hAnsi="Arial"/>
                <w:sz w:val="16"/>
                <w:szCs w:val="16"/>
                <w:color w:val="auto"/>
              </w:rPr>
              <w:t xml:space="preserve">Edward Dallin Bagley </w:t>
            </w:r>
            <w:r>
              <w:rPr>
                <w:rFonts w:ascii="Arial" w:cs="Arial" w:eastAsia="Arial" w:hAnsi="Arial"/>
                <w:sz w:val="10"/>
                <w:szCs w:val="10"/>
                <w:b w:val="1"/>
                <w:bCs w:val="1"/>
                <w:color w:val="auto"/>
              </w:rPr>
              <w:t>(10)</w:t>
            </w:r>
          </w:p>
        </w:tc>
        <w:tc>
          <w:tcPr>
            <w:tcW w:w="1320" w:type="dxa"/>
            <w:vAlign w:val="bottom"/>
            <w:gridSpan w:val="2"/>
          </w:tcPr>
          <w:p>
            <w:pPr>
              <w:jc w:val="right"/>
              <w:ind w:right="228"/>
              <w:spacing w:after="0"/>
              <w:rPr>
                <w:sz w:val="20"/>
                <w:szCs w:val="20"/>
                <w:color w:val="auto"/>
              </w:rPr>
            </w:pPr>
            <w:r>
              <w:rPr>
                <w:rFonts w:ascii="Arial" w:cs="Arial" w:eastAsia="Arial" w:hAnsi="Arial"/>
                <w:sz w:val="16"/>
                <w:szCs w:val="16"/>
                <w:color w:val="auto"/>
              </w:rPr>
              <w:t>2,611,625</w:t>
            </w:r>
          </w:p>
        </w:tc>
        <w:tc>
          <w:tcPr>
            <w:tcW w:w="1380" w:type="dxa"/>
            <w:vAlign w:val="bottom"/>
            <w:gridSpan w:val="2"/>
          </w:tcPr>
          <w:p>
            <w:pPr>
              <w:jc w:val="right"/>
              <w:ind w:right="248"/>
              <w:spacing w:after="0"/>
              <w:rPr>
                <w:sz w:val="20"/>
                <w:szCs w:val="20"/>
                <w:color w:val="auto"/>
              </w:rPr>
            </w:pPr>
            <w:r>
              <w:rPr>
                <w:rFonts w:ascii="Arial" w:cs="Arial" w:eastAsia="Arial" w:hAnsi="Arial"/>
                <w:sz w:val="16"/>
                <w:szCs w:val="16"/>
                <w:color w:val="auto"/>
              </w:rPr>
              <w:t>26.0%</w:t>
            </w:r>
          </w:p>
        </w:tc>
        <w:tc>
          <w:tcPr>
            <w:tcW w:w="40" w:type="dxa"/>
            <w:vAlign w:val="bottom"/>
            <w:tcBorders>
              <w:right w:val="single" w:sz="8" w:color="808080"/>
            </w:tcBorders>
          </w:tcPr>
          <w:p>
            <w:pPr>
              <w:spacing w:after="0"/>
              <w:rPr>
                <w:sz w:val="19"/>
                <w:szCs w:val="19"/>
                <w:color w:val="auto"/>
              </w:rPr>
            </w:pPr>
          </w:p>
        </w:tc>
      </w:tr>
      <w:tr>
        <w:trPr>
          <w:trHeight w:val="233"/>
        </w:trPr>
        <w:tc>
          <w:tcPr>
            <w:tcW w:w="410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 xml:space="preserve">Royce &amp; Associates Inc. </w:t>
            </w:r>
            <w:r>
              <w:rPr>
                <w:rFonts w:ascii="Arial" w:cs="Arial" w:eastAsia="Arial" w:hAnsi="Arial"/>
                <w:sz w:val="10"/>
                <w:szCs w:val="10"/>
                <w:b w:val="1"/>
                <w:bCs w:val="1"/>
                <w:color w:val="auto"/>
              </w:rPr>
              <w:t>(11)</w:t>
            </w:r>
          </w:p>
        </w:tc>
        <w:tc>
          <w:tcPr>
            <w:tcW w:w="132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697,684</w:t>
            </w:r>
          </w:p>
        </w:tc>
        <w:tc>
          <w:tcPr>
            <w:tcW w:w="1380" w:type="dxa"/>
            <w:vAlign w:val="bottom"/>
            <w:gridSpan w:val="2"/>
            <w:shd w:val="clear" w:color="auto" w:fill="B6DDE8"/>
          </w:tcPr>
          <w:p>
            <w:pPr>
              <w:jc w:val="right"/>
              <w:ind w:right="248"/>
              <w:spacing w:after="0"/>
              <w:rPr>
                <w:sz w:val="20"/>
                <w:szCs w:val="20"/>
                <w:color w:val="auto"/>
              </w:rPr>
            </w:pPr>
            <w:r>
              <w:rPr>
                <w:rFonts w:ascii="Arial" w:cs="Arial" w:eastAsia="Arial" w:hAnsi="Arial"/>
                <w:sz w:val="16"/>
                <w:szCs w:val="16"/>
                <w:color w:val="auto"/>
              </w:rPr>
              <w:t>7.0%</w:t>
            </w:r>
          </w:p>
        </w:tc>
        <w:tc>
          <w:tcPr>
            <w:tcW w:w="40" w:type="dxa"/>
            <w:vAlign w:val="bottom"/>
            <w:tcBorders>
              <w:right w:val="single" w:sz="8" w:color="808080"/>
            </w:tcBorders>
          </w:tcPr>
          <w:p>
            <w:pPr>
              <w:spacing w:after="0"/>
              <w:rPr>
                <w:sz w:val="20"/>
                <w:szCs w:val="20"/>
                <w:color w:val="auto"/>
              </w:rPr>
            </w:pPr>
          </w:p>
        </w:tc>
      </w:tr>
      <w:tr>
        <w:trPr>
          <w:trHeight w:val="20"/>
        </w:trPr>
        <w:tc>
          <w:tcPr>
            <w:tcW w:w="4100" w:type="dxa"/>
            <w:vAlign w:val="bottom"/>
            <w:tcBorders>
              <w:left w:val="single" w:sz="8" w:color="808080"/>
              <w:bottom w:val="single" w:sz="8" w:color="808080"/>
            </w:tcBorders>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1140" w:type="dxa"/>
            <w:vAlign w:val="bottom"/>
            <w:tcBorders>
              <w:bottom w:val="single" w:sz="8" w:color="808080"/>
            </w:tcBorders>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120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355" w:right="1440" w:bottom="9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5351145" cy="85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355" w:right="1440" w:bottom="982" w:gutter="0" w:footer="0" w:header="0"/>
          <w:type w:val="continuous"/>
        </w:sectPr>
      </w:pPr>
    </w:p>
    <w:bookmarkStart w:id="23" w:name="page24"/>
    <w:bookmarkEnd w:id="23"/>
    <w:p>
      <w:pPr>
        <w:ind w:left="660" w:right="1939" w:hanging="652"/>
        <w:spacing w:after="0" w:line="282" w:lineRule="auto"/>
        <w:tabs>
          <w:tab w:leader="none" w:pos="633" w:val="left"/>
        </w:tabs>
        <w:numPr>
          <w:ilvl w:val="0"/>
          <w:numId w:val="14"/>
        </w:numPr>
        <w:rPr>
          <w:rFonts w:ascii="Arial" w:cs="Arial" w:eastAsia="Arial" w:hAnsi="Arial"/>
          <w:sz w:val="19"/>
          <w:szCs w:val="19"/>
          <w:color w:val="auto"/>
        </w:rPr>
      </w:pPr>
      <w:r>
        <w:rPr>
          <w:rFonts w:ascii="Arial" w:cs="Arial" w:eastAsia="Arial" w:hAnsi="Arial"/>
          <w:sz w:val="19"/>
          <w:szCs w:val="19"/>
          <w:color w:val="auto"/>
        </w:rPr>
        <w:t>Except as otherwise indicated, each person named in the table has sole voting and investment power with respect to all common stock beneficially owned, subject to applicable community property law. Except as otherwise indicated, each person may be reached at our corporate offices c/o ClearOne Communications, Inc., 5225 Wiley Post Way, Suite 500, Salt Lake City, Utah 84116.</w:t>
      </w:r>
    </w:p>
    <w:p>
      <w:pPr>
        <w:spacing w:after="0" w:line="66" w:lineRule="exact"/>
        <w:rPr>
          <w:rFonts w:ascii="Arial" w:cs="Arial" w:eastAsia="Arial" w:hAnsi="Arial"/>
          <w:sz w:val="19"/>
          <w:szCs w:val="19"/>
          <w:color w:val="auto"/>
        </w:rPr>
      </w:pPr>
    </w:p>
    <w:p>
      <w:pPr>
        <w:ind w:left="660" w:right="1799" w:hanging="652"/>
        <w:spacing w:after="0" w:line="275" w:lineRule="auto"/>
        <w:tabs>
          <w:tab w:leader="none" w:pos="633"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percentages shown are calculated based on 9,175,774 shares of common stock outstanding on October 2, 2012. The numbers and percentages shown include the shares of common stock actually owned as of October 2, 2012 and the shares of common stock that the identified person or group had the right to acquire within 60 days of such date. In calculating the percentage of ownership, all shares of common stock that each identified person or group had the right to acquire within 60 days of October 2, 2012 upon the exercise of options are deemed to be outstanding for the purpose of computing the percentage of the shares of common stock owned by the persons or groups listed above.</w:t>
      </w:r>
    </w:p>
    <w:p>
      <w:pPr>
        <w:spacing w:after="0" w:line="77" w:lineRule="exact"/>
        <w:rPr>
          <w:rFonts w:ascii="Arial" w:cs="Arial" w:eastAsia="Arial" w:hAnsi="Arial"/>
          <w:sz w:val="19"/>
          <w:szCs w:val="19"/>
          <w:color w:val="auto"/>
        </w:rPr>
      </w:pPr>
    </w:p>
    <w:p>
      <w:pPr>
        <w:ind w:left="620" w:hanging="612"/>
        <w:spacing w:after="0"/>
        <w:tabs>
          <w:tab w:leader="none" w:pos="620" w:val="left"/>
        </w:tabs>
        <w:numPr>
          <w:ilvl w:val="0"/>
          <w:numId w:val="14"/>
        </w:numPr>
        <w:rPr>
          <w:rFonts w:ascii="Arial" w:cs="Arial" w:eastAsia="Arial" w:hAnsi="Arial"/>
          <w:sz w:val="21"/>
          <w:szCs w:val="21"/>
          <w:color w:val="auto"/>
        </w:rPr>
      </w:pPr>
      <w:r>
        <w:rPr>
          <w:rFonts w:ascii="Arial" w:cs="Arial" w:eastAsia="Arial" w:hAnsi="Arial"/>
          <w:sz w:val="21"/>
          <w:szCs w:val="21"/>
          <w:color w:val="auto"/>
        </w:rPr>
        <w:t>Includes 512,499 shares of common stock issuable upon exercise of stock options.</w:t>
      </w:r>
    </w:p>
    <w:p>
      <w:pPr>
        <w:spacing w:after="0" w:line="136" w:lineRule="exact"/>
        <w:rPr>
          <w:rFonts w:ascii="Arial" w:cs="Arial" w:eastAsia="Arial" w:hAnsi="Arial"/>
          <w:sz w:val="21"/>
          <w:szCs w:val="21"/>
          <w:color w:val="auto"/>
        </w:rPr>
      </w:pPr>
    </w:p>
    <w:p>
      <w:pPr>
        <w:ind w:left="660" w:right="1839" w:hanging="652"/>
        <w:spacing w:after="0"/>
        <w:tabs>
          <w:tab w:leader="none" w:pos="633"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Includes 1,000 shares held by E. Bryan Bagley’s spouse with respect to which he disclaims beneficial ownership and 6,945 shares of common stock issuable upon exercise of stock options.</w:t>
      </w:r>
    </w:p>
    <w:p>
      <w:pPr>
        <w:spacing w:after="0" w:line="105" w:lineRule="exact"/>
        <w:rPr>
          <w:rFonts w:ascii="Arial" w:cs="Arial" w:eastAsia="Arial" w:hAnsi="Arial"/>
          <w:sz w:val="22"/>
          <w:szCs w:val="22"/>
          <w:color w:val="auto"/>
        </w:rPr>
      </w:pPr>
    </w:p>
    <w:p>
      <w:pPr>
        <w:ind w:left="660" w:right="1919" w:hanging="652"/>
        <w:spacing w:after="0"/>
        <w:tabs>
          <w:tab w:leader="none" w:pos="633"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Includes 88,666 shares held in the Baldwin Family Trust; 11,000 shares owned directly, which are held in an IRA under the name of Mr. Baldwin, and 85,416 shares of common stock issuable upon exercise of stock options.</w:t>
      </w:r>
    </w:p>
    <w:p>
      <w:pPr>
        <w:spacing w:after="0" w:line="105" w:lineRule="exact"/>
        <w:rPr>
          <w:rFonts w:ascii="Arial" w:cs="Arial" w:eastAsia="Arial" w:hAnsi="Arial"/>
          <w:sz w:val="22"/>
          <w:szCs w:val="22"/>
          <w:color w:val="auto"/>
        </w:rPr>
      </w:pPr>
    </w:p>
    <w:p>
      <w:pPr>
        <w:ind w:left="620" w:hanging="612"/>
        <w:spacing w:after="0"/>
        <w:tabs>
          <w:tab w:leader="none" w:pos="620" w:val="left"/>
        </w:tabs>
        <w:numPr>
          <w:ilvl w:val="0"/>
          <w:numId w:val="14"/>
        </w:numPr>
        <w:rPr>
          <w:rFonts w:ascii="Arial" w:cs="Arial" w:eastAsia="Arial" w:hAnsi="Arial"/>
          <w:sz w:val="21"/>
          <w:szCs w:val="21"/>
          <w:color w:val="auto"/>
        </w:rPr>
      </w:pPr>
      <w:r>
        <w:rPr>
          <w:rFonts w:ascii="Arial" w:cs="Arial" w:eastAsia="Arial" w:hAnsi="Arial"/>
          <w:sz w:val="21"/>
          <w:szCs w:val="21"/>
          <w:color w:val="auto"/>
        </w:rPr>
        <w:t>Includes 75,416 shares of common stock issuable upon exercise of stock options.</w:t>
      </w:r>
    </w:p>
    <w:p>
      <w:pPr>
        <w:spacing w:after="0" w:line="136" w:lineRule="exact"/>
        <w:rPr>
          <w:rFonts w:ascii="Arial" w:cs="Arial" w:eastAsia="Arial" w:hAnsi="Arial"/>
          <w:sz w:val="21"/>
          <w:szCs w:val="21"/>
          <w:color w:val="auto"/>
        </w:rPr>
      </w:pPr>
    </w:p>
    <w:p>
      <w:pPr>
        <w:ind w:left="620" w:hanging="612"/>
        <w:spacing w:after="0"/>
        <w:tabs>
          <w:tab w:leader="none" w:pos="620" w:val="left"/>
        </w:tabs>
        <w:numPr>
          <w:ilvl w:val="0"/>
          <w:numId w:val="14"/>
        </w:numPr>
        <w:rPr>
          <w:rFonts w:ascii="Arial" w:cs="Arial" w:eastAsia="Arial" w:hAnsi="Arial"/>
          <w:sz w:val="21"/>
          <w:szCs w:val="21"/>
          <w:color w:val="auto"/>
        </w:rPr>
      </w:pPr>
      <w:r>
        <w:rPr>
          <w:rFonts w:ascii="Arial" w:cs="Arial" w:eastAsia="Arial" w:hAnsi="Arial"/>
          <w:sz w:val="21"/>
          <w:szCs w:val="21"/>
          <w:color w:val="auto"/>
        </w:rPr>
        <w:t>Includes 70,416 shares of common stock issuable upon exercise of stock options.</w:t>
      </w:r>
    </w:p>
    <w:p>
      <w:pPr>
        <w:spacing w:after="0" w:line="136" w:lineRule="exact"/>
        <w:rPr>
          <w:rFonts w:ascii="Arial" w:cs="Arial" w:eastAsia="Arial" w:hAnsi="Arial"/>
          <w:sz w:val="21"/>
          <w:szCs w:val="21"/>
          <w:color w:val="auto"/>
        </w:rPr>
      </w:pPr>
    </w:p>
    <w:p>
      <w:pPr>
        <w:ind w:left="620" w:hanging="612"/>
        <w:spacing w:after="0"/>
        <w:tabs>
          <w:tab w:leader="none" w:pos="6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Represents shares of common stock issuable upon exercise of stock options.</w:t>
      </w:r>
    </w:p>
    <w:p>
      <w:pPr>
        <w:spacing w:after="0" w:line="125" w:lineRule="exact"/>
        <w:rPr>
          <w:rFonts w:ascii="Arial" w:cs="Arial" w:eastAsia="Arial" w:hAnsi="Arial"/>
          <w:sz w:val="22"/>
          <w:szCs w:val="22"/>
          <w:color w:val="auto"/>
        </w:rPr>
      </w:pPr>
    </w:p>
    <w:p>
      <w:pPr>
        <w:ind w:left="620" w:hanging="612"/>
        <w:spacing w:after="0"/>
        <w:tabs>
          <w:tab w:leader="none" w:pos="620" w:val="left"/>
        </w:tabs>
        <w:numPr>
          <w:ilvl w:val="0"/>
          <w:numId w:val="14"/>
        </w:numPr>
        <w:rPr>
          <w:rFonts w:ascii="Arial" w:cs="Arial" w:eastAsia="Arial" w:hAnsi="Arial"/>
          <w:sz w:val="21"/>
          <w:szCs w:val="21"/>
          <w:color w:val="auto"/>
        </w:rPr>
      </w:pPr>
      <w:r>
        <w:rPr>
          <w:rFonts w:ascii="Arial" w:cs="Arial" w:eastAsia="Arial" w:hAnsi="Arial"/>
          <w:sz w:val="21"/>
          <w:szCs w:val="21"/>
          <w:color w:val="auto"/>
        </w:rPr>
        <w:t>Includes 42,499 shares of common stock issuable upon exercise of stock options.</w:t>
      </w:r>
    </w:p>
    <w:p>
      <w:pPr>
        <w:spacing w:after="0" w:line="136" w:lineRule="exact"/>
        <w:rPr>
          <w:rFonts w:ascii="Arial" w:cs="Arial" w:eastAsia="Arial" w:hAnsi="Arial"/>
          <w:sz w:val="21"/>
          <w:szCs w:val="21"/>
          <w:color w:val="auto"/>
        </w:rPr>
      </w:pPr>
    </w:p>
    <w:p>
      <w:pPr>
        <w:ind w:left="660" w:right="1999" w:hanging="652"/>
        <w:spacing w:after="0" w:line="275" w:lineRule="auto"/>
        <w:tabs>
          <w:tab w:leader="none" w:pos="633" w:val="left"/>
        </w:tabs>
        <w:numPr>
          <w:ilvl w:val="0"/>
          <w:numId w:val="14"/>
        </w:numPr>
        <w:rPr>
          <w:rFonts w:ascii="Arial" w:cs="Arial" w:eastAsia="Arial" w:hAnsi="Arial"/>
          <w:sz w:val="19"/>
          <w:szCs w:val="19"/>
          <w:color w:val="auto"/>
        </w:rPr>
      </w:pPr>
      <w:r>
        <w:rPr>
          <w:rFonts w:ascii="Arial" w:cs="Arial" w:eastAsia="Arial" w:hAnsi="Arial"/>
          <w:sz w:val="19"/>
          <w:szCs w:val="19"/>
          <w:color w:val="auto"/>
        </w:rPr>
        <w:t>E. Bryan Bagley is the son of Edward D. Bagley, and each of them disclaims beneficial ownership of common stock beneficially owned by the other. Amounts for Mr. Edward D. Bagley include 126,166 shares held by Edward D. Bagley’s spouse with respect to which he disclaims beneficial ownership and 1,945 shares of common stock issuable upon exercise of stock options. Mr. Edward D. Bagley has sole voting and dispositive power over 2,485,459 shares (including the shares that may be acquired pursuant to the exercise of stock options) and shared voting and dispositive power over the 126,166 shares held by Mr. Edward D. Bagley’s spouse.</w:t>
      </w:r>
    </w:p>
    <w:p>
      <w:pPr>
        <w:spacing w:after="0" w:line="36" w:lineRule="exact"/>
        <w:rPr>
          <w:rFonts w:ascii="Arial" w:cs="Arial" w:eastAsia="Arial" w:hAnsi="Arial"/>
          <w:sz w:val="19"/>
          <w:szCs w:val="19"/>
          <w:color w:val="auto"/>
        </w:rPr>
      </w:pPr>
    </w:p>
    <w:p>
      <w:pPr>
        <w:ind w:left="660" w:right="1839" w:hanging="652"/>
        <w:spacing w:after="0" w:line="235" w:lineRule="auto"/>
        <w:tabs>
          <w:tab w:leader="none" w:pos="633" w:val="left"/>
        </w:tabs>
        <w:numPr>
          <w:ilvl w:val="0"/>
          <w:numId w:val="14"/>
        </w:numPr>
        <w:rPr>
          <w:rFonts w:ascii="Arial" w:cs="Arial" w:eastAsia="Arial" w:hAnsi="Arial"/>
          <w:sz w:val="22"/>
          <w:szCs w:val="22"/>
          <w:color w:val="auto"/>
        </w:rPr>
      </w:pPr>
      <w:r>
        <w:rPr>
          <w:rFonts w:ascii="Arial" w:cs="Arial" w:eastAsia="Arial" w:hAnsi="Arial"/>
          <w:sz w:val="22"/>
          <w:szCs w:val="22"/>
          <w:color w:val="auto"/>
        </w:rPr>
        <w:t>Represents 697,684 shares of our common stock beneficially owned by Royce &amp; Associates, Inc. in its capacity as investment advisor on behalf of its clients. Royce &amp; Associates, Inc. has sole voting and dispositive power over all of such shares. The address of Royce &amp; Associates, Inc. is 1414 Avenue of the Americas, New York, NY 10019. This information is based upon a Schedule 13G/A, as filed and amended with the SEC as of January 10, 2012.</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PROPOSAL TWO</w:t>
      </w:r>
    </w:p>
    <w:p>
      <w:pPr>
        <w:spacing w:after="0" w:line="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RATIFICATION OF THE APPOINTMENT OF THE COMPANY’S INDEPENDENT</w:t>
      </w:r>
    </w:p>
    <w:p>
      <w:pPr>
        <w:jc w:val="center"/>
        <w:ind w:right="1779"/>
        <w:spacing w:after="0"/>
        <w:rPr>
          <w:sz w:val="20"/>
          <w:szCs w:val="20"/>
          <w:color w:val="auto"/>
        </w:rPr>
      </w:pPr>
      <w:r>
        <w:rPr>
          <w:rFonts w:ascii="Arial" w:cs="Arial" w:eastAsia="Arial" w:hAnsi="Arial"/>
          <w:sz w:val="22"/>
          <w:szCs w:val="22"/>
          <w:b w:val="1"/>
          <w:bCs w:val="1"/>
          <w:color w:val="auto"/>
        </w:rPr>
        <w:t>PUBLIC ACCOUNTANTS</w:t>
      </w:r>
    </w:p>
    <w:p>
      <w:pPr>
        <w:spacing w:after="0" w:line="161" w:lineRule="exact"/>
        <w:rPr>
          <w:sz w:val="20"/>
          <w:szCs w:val="20"/>
          <w:color w:val="auto"/>
        </w:rPr>
      </w:pPr>
    </w:p>
    <w:p>
      <w:pPr>
        <w:ind w:right="2219" w:firstLine="648"/>
        <w:spacing w:after="0" w:line="318" w:lineRule="auto"/>
        <w:rPr>
          <w:sz w:val="20"/>
          <w:szCs w:val="20"/>
          <w:color w:val="auto"/>
        </w:rPr>
      </w:pPr>
      <w:r>
        <w:rPr>
          <w:rFonts w:ascii="Arial" w:cs="Arial" w:eastAsia="Arial" w:hAnsi="Arial"/>
          <w:sz w:val="19"/>
          <w:szCs w:val="19"/>
          <w:color w:val="auto"/>
        </w:rPr>
        <w:t>We previously retained Jones Simkins, P.C. (“Jones Simkins”) as our auditor and independent registered public accountants for the years ended December 31, 2011 and 2010.</w:t>
      </w:r>
    </w:p>
    <w:p>
      <w:pPr>
        <w:spacing w:after="0" w:line="2" w:lineRule="exact"/>
        <w:rPr>
          <w:sz w:val="20"/>
          <w:szCs w:val="20"/>
          <w:color w:val="auto"/>
        </w:rPr>
      </w:pPr>
    </w:p>
    <w:p>
      <w:pPr>
        <w:jc w:val="both"/>
        <w:ind w:right="2479" w:firstLine="648"/>
        <w:spacing w:after="0" w:line="238" w:lineRule="auto"/>
        <w:rPr>
          <w:sz w:val="20"/>
          <w:szCs w:val="20"/>
          <w:color w:val="auto"/>
        </w:rPr>
      </w:pPr>
      <w:r>
        <w:rPr>
          <w:rFonts w:ascii="Arial" w:cs="Arial" w:eastAsia="Arial" w:hAnsi="Arial"/>
          <w:sz w:val="22"/>
          <w:szCs w:val="22"/>
          <w:color w:val="auto"/>
        </w:rPr>
        <w:t>On July 23, 2012, ClearOne Communications, Inc. (the “Company”) replaced its independent registered public accounting firm, Jones Simkins, with McGladrey LLP. The decision to replace Jones Simkins was approved by the Audit Committee of the Board of Directors of the Company.</w:t>
      </w:r>
    </w:p>
    <w:p>
      <w:pPr>
        <w:spacing w:after="0" w:line="63" w:lineRule="exact"/>
        <w:rPr>
          <w:sz w:val="20"/>
          <w:szCs w:val="20"/>
          <w:color w:val="auto"/>
        </w:rPr>
      </w:pPr>
    </w:p>
    <w:p>
      <w:pPr>
        <w:jc w:val="both"/>
        <w:ind w:right="1959" w:firstLine="702"/>
        <w:spacing w:after="0" w:line="238" w:lineRule="auto"/>
        <w:rPr>
          <w:sz w:val="20"/>
          <w:szCs w:val="20"/>
          <w:color w:val="auto"/>
        </w:rPr>
      </w:pPr>
      <w:r>
        <w:rPr>
          <w:rFonts w:ascii="Arial" w:cs="Arial" w:eastAsia="Arial" w:hAnsi="Arial"/>
          <w:sz w:val="22"/>
          <w:szCs w:val="22"/>
          <w:color w:val="auto"/>
        </w:rPr>
        <w:t>Jones Simkins’ reports on the Company’s consolidated financial statements for each of the years ended December 31, 2011 and December 31, 2010 did not contain an adverse opinion or a disclaimer of opinion, nor were they qualified or modified as to uncertainty, audit scope or accounting principles.</w:t>
      </w:r>
    </w:p>
    <w:p>
      <w:pPr>
        <w:sectPr>
          <w:pgSz w:w="11900" w:h="16838" w:orient="portrait"/>
          <w:cols w:equalWidth="0" w:num="1">
            <w:col w:w="10219"/>
          </w:cols>
          <w:pgMar w:left="240" w:top="36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14</w:t>
      </w:r>
    </w:p>
    <w:p>
      <w:pPr>
        <w:sectPr>
          <w:pgSz w:w="11900" w:h="16838" w:orient="portrait"/>
          <w:cols w:equalWidth="0" w:num="1">
            <w:col w:w="10219"/>
          </w:cols>
          <w:pgMar w:left="240" w:top="361" w:right="1440" w:bottom="0" w:gutter="0" w:footer="0" w:header="0"/>
          <w:type w:val="continuous"/>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351145" cy="85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ind w:right="1839" w:firstLine="648"/>
        <w:spacing w:after="0" w:line="277" w:lineRule="auto"/>
        <w:rPr>
          <w:sz w:val="20"/>
          <w:szCs w:val="20"/>
          <w:color w:val="auto"/>
        </w:rPr>
      </w:pPr>
      <w:r>
        <w:rPr>
          <w:rFonts w:ascii="Arial" w:cs="Arial" w:eastAsia="Arial" w:hAnsi="Arial"/>
          <w:sz w:val="19"/>
          <w:szCs w:val="19"/>
          <w:color w:val="auto"/>
        </w:rPr>
        <w:t>During the years ended December 31, 2011 and December 31, 2010 and through July 23, 2012, there were no disagreements between the Company and Jones Simkins on any matter of accounting principles or practices, financial statement disclosure or auditing scope or procedure which, if not resolved to Jones Simkins’ satisfaction, would have caused Jones Simkins to make a reference to the subject matter of the disagreement in connection with its report for such years and subsequent interim periods; and there were no reportable events as defined in Item 304(a)(1) (v) of Regulation S-K for such years and subsequent interim periods through July 23, 2012.</w:t>
      </w:r>
    </w:p>
    <w:p>
      <w:pPr>
        <w:spacing w:after="0" w:line="31" w:lineRule="exact"/>
        <w:rPr>
          <w:sz w:val="20"/>
          <w:szCs w:val="20"/>
          <w:color w:val="auto"/>
        </w:rPr>
      </w:pPr>
    </w:p>
    <w:p>
      <w:pPr>
        <w:ind w:right="1859" w:firstLine="648"/>
        <w:spacing w:after="0" w:line="279" w:lineRule="auto"/>
        <w:rPr>
          <w:sz w:val="20"/>
          <w:szCs w:val="20"/>
          <w:color w:val="auto"/>
        </w:rPr>
      </w:pPr>
      <w:r>
        <w:rPr>
          <w:rFonts w:ascii="Arial" w:cs="Arial" w:eastAsia="Arial" w:hAnsi="Arial"/>
          <w:sz w:val="19"/>
          <w:szCs w:val="19"/>
          <w:color w:val="auto"/>
        </w:rPr>
        <w:t>During the years ended December 31, 2011 and December 31, 2010 and through July 23, 2012, neither the Company nor anyone acting on its behalf consulted McGladrey LLP with respect to the application of accounting principles to a specified transaction, either completed or proposed, or the type of audit opinion that might be rendered on the Company’s consolidated financial statements, or any matter that was the subject of a disagreement or reportable event as defined in Items 304(a)(1)(iv) and (v) of Regulation S-K.</w:t>
      </w:r>
    </w:p>
    <w:p>
      <w:pPr>
        <w:spacing w:after="0" w:line="29" w:lineRule="exact"/>
        <w:rPr>
          <w:sz w:val="20"/>
          <w:szCs w:val="20"/>
          <w:color w:val="auto"/>
        </w:rPr>
      </w:pPr>
    </w:p>
    <w:p>
      <w:pPr>
        <w:ind w:right="1839" w:firstLine="648"/>
        <w:spacing w:after="0" w:line="287" w:lineRule="auto"/>
        <w:rPr>
          <w:sz w:val="20"/>
          <w:szCs w:val="20"/>
          <w:color w:val="auto"/>
        </w:rPr>
      </w:pPr>
      <w:r>
        <w:rPr>
          <w:rFonts w:ascii="Arial" w:cs="Arial" w:eastAsia="Arial" w:hAnsi="Arial"/>
          <w:sz w:val="19"/>
          <w:szCs w:val="19"/>
          <w:color w:val="auto"/>
        </w:rPr>
        <w:t>The Board of Directors of the Company has approved the appointment of McGladrey LLP as our auditor and independent certified public accountants for the year ending December 31, 2012. The ratification of the selection of McGladrey LLP as our auditors for the current year ending on December 31, 2012 is being submitted to the shareholders for their consideration.</w:t>
      </w:r>
    </w:p>
    <w:p>
      <w:pPr>
        <w:spacing w:after="0" w:line="22" w:lineRule="exact"/>
        <w:rPr>
          <w:sz w:val="20"/>
          <w:szCs w:val="20"/>
          <w:color w:val="auto"/>
        </w:rPr>
      </w:pPr>
    </w:p>
    <w:p>
      <w:pPr>
        <w:ind w:right="1919" w:firstLine="648"/>
        <w:spacing w:after="0" w:line="238" w:lineRule="auto"/>
        <w:rPr>
          <w:sz w:val="20"/>
          <w:szCs w:val="20"/>
          <w:color w:val="auto"/>
        </w:rPr>
      </w:pPr>
      <w:r>
        <w:rPr>
          <w:rFonts w:ascii="Arial" w:cs="Arial" w:eastAsia="Arial" w:hAnsi="Arial"/>
          <w:sz w:val="22"/>
          <w:szCs w:val="22"/>
          <w:color w:val="auto"/>
        </w:rPr>
        <w:t>It is anticipated that a representative of McGladrey LLP will attend the meeting and will be available to respond to questions. It is not anticipated that the representative will make any statement or presentation, although the representative will have an opportunity to do so if he or she desires.</w:t>
      </w:r>
    </w:p>
    <w:p>
      <w:pPr>
        <w:spacing w:after="0" w:line="57" w:lineRule="exact"/>
        <w:rPr>
          <w:sz w:val="20"/>
          <w:szCs w:val="20"/>
          <w:color w:val="auto"/>
        </w:rPr>
      </w:pPr>
    </w:p>
    <w:p>
      <w:pPr>
        <w:ind w:right="1799" w:firstLine="648"/>
        <w:spacing w:after="0" w:line="280" w:lineRule="auto"/>
        <w:rPr>
          <w:sz w:val="20"/>
          <w:szCs w:val="20"/>
          <w:color w:val="auto"/>
        </w:rPr>
      </w:pPr>
      <w:r>
        <w:rPr>
          <w:rFonts w:ascii="Arial" w:cs="Arial" w:eastAsia="Arial" w:hAnsi="Arial"/>
          <w:sz w:val="21"/>
          <w:szCs w:val="21"/>
          <w:b w:val="1"/>
          <w:bCs w:val="1"/>
          <w:color w:val="auto"/>
        </w:rPr>
        <w:t>The Board of Directors unanimously recommends a vote “for” the ratification of the appointment of McGladrey LLP as our independent public accountants.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Principle Accountant Fees and Services</w:t>
      </w:r>
    </w:p>
    <w:p>
      <w:pPr>
        <w:spacing w:after="0" w:line="185" w:lineRule="exact"/>
        <w:rPr>
          <w:sz w:val="20"/>
          <w:szCs w:val="20"/>
          <w:color w:val="auto"/>
        </w:rPr>
      </w:pPr>
    </w:p>
    <w:p>
      <w:pPr>
        <w:ind w:right="2199" w:firstLine="648"/>
        <w:spacing w:after="0" w:line="251" w:lineRule="auto"/>
        <w:rPr>
          <w:sz w:val="20"/>
          <w:szCs w:val="20"/>
          <w:color w:val="auto"/>
        </w:rPr>
      </w:pPr>
      <w:r>
        <w:rPr>
          <w:rFonts w:ascii="Arial" w:cs="Arial" w:eastAsia="Arial" w:hAnsi="Arial"/>
          <w:sz w:val="22"/>
          <w:szCs w:val="22"/>
          <w:color w:val="auto"/>
        </w:rPr>
        <w:t>The following table presents aggregate fees billed by the principal accountants to our company:</w:t>
      </w:r>
    </w:p>
    <w:p>
      <w:pPr>
        <w:spacing w:after="0" w:line="158" w:lineRule="exact"/>
        <w:rPr>
          <w:sz w:val="20"/>
          <w:szCs w:val="20"/>
          <w:color w:val="auto"/>
        </w:rPr>
      </w:pPr>
    </w:p>
    <w:tbl>
      <w:tblPr>
        <w:tblLayout w:type="fixed"/>
        <w:tblInd w:w="30" w:type="dxa"/>
        <w:tblCellMar>
          <w:top w:w="0" w:type="dxa"/>
          <w:left w:w="0" w:type="dxa"/>
          <w:bottom w:w="0" w:type="dxa"/>
          <w:right w:w="0" w:type="dxa"/>
        </w:tblCellMar>
      </w:tblPr>
      <w:tr>
        <w:trPr>
          <w:trHeight w:val="275"/>
        </w:trPr>
        <w:tc>
          <w:tcPr>
            <w:tcW w:w="2160" w:type="dxa"/>
            <w:vAlign w:val="bottom"/>
            <w:tcBorders>
              <w:top w:val="single" w:sz="8" w:color="808080"/>
              <w:left w:val="single" w:sz="8" w:color="808080"/>
            </w:tcBorders>
          </w:tcPr>
          <w:p>
            <w:pPr>
              <w:spacing w:after="0"/>
              <w:rPr>
                <w:sz w:val="23"/>
                <w:szCs w:val="23"/>
                <w:color w:val="auto"/>
              </w:rPr>
            </w:pPr>
          </w:p>
        </w:tc>
        <w:tc>
          <w:tcPr>
            <w:tcW w:w="2320" w:type="dxa"/>
            <w:vAlign w:val="bottom"/>
            <w:tcBorders>
              <w:top w:val="single" w:sz="8" w:color="808080"/>
              <w:right w:val="single" w:sz="8" w:color="808080"/>
            </w:tcBorders>
            <w:gridSpan w:val="3"/>
          </w:tcPr>
          <w:p>
            <w:pPr>
              <w:ind w:left="540"/>
              <w:spacing w:after="0"/>
              <w:rPr>
                <w:sz w:val="20"/>
                <w:szCs w:val="20"/>
                <w:color w:val="auto"/>
              </w:rPr>
            </w:pPr>
            <w:r>
              <w:rPr>
                <w:rFonts w:ascii="Arial" w:cs="Arial" w:eastAsia="Arial" w:hAnsi="Arial"/>
                <w:sz w:val="14"/>
                <w:szCs w:val="14"/>
                <w:b w:val="1"/>
                <w:bCs w:val="1"/>
                <w:color w:val="auto"/>
              </w:rPr>
              <w:t>Year ended December 31,</w:t>
            </w:r>
          </w:p>
        </w:tc>
      </w:tr>
      <w:tr>
        <w:trPr>
          <w:trHeight w:val="201"/>
        </w:trPr>
        <w:tc>
          <w:tcPr>
            <w:tcW w:w="2160" w:type="dxa"/>
            <w:vAlign w:val="bottom"/>
            <w:tcBorders>
              <w:left w:val="single" w:sz="8" w:color="808080"/>
            </w:tcBorders>
          </w:tcPr>
          <w:p>
            <w:pPr>
              <w:spacing w:after="0"/>
              <w:rPr>
                <w:sz w:val="17"/>
                <w:szCs w:val="17"/>
                <w:color w:val="auto"/>
              </w:rPr>
            </w:pP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40" w:type="dxa"/>
            <w:vAlign w:val="bottom"/>
            <w:tcBorders>
              <w:right w:val="single" w:sz="8" w:color="808080"/>
            </w:tcBorders>
          </w:tcPr>
          <w:p>
            <w:pPr>
              <w:spacing w:after="0"/>
              <w:rPr>
                <w:sz w:val="17"/>
                <w:szCs w:val="17"/>
                <w:color w:val="auto"/>
              </w:rPr>
            </w:pPr>
          </w:p>
        </w:tc>
      </w:tr>
      <w:tr>
        <w:trPr>
          <w:trHeight w:val="250"/>
        </w:trPr>
        <w:tc>
          <w:tcPr>
            <w:tcW w:w="2160" w:type="dxa"/>
            <w:vAlign w:val="bottom"/>
            <w:tcBorders>
              <w:left w:val="single" w:sz="8" w:color="808080"/>
            </w:tcBorders>
            <w:shd w:val="clear" w:color="auto" w:fill="B6DDE8"/>
          </w:tcPr>
          <w:p>
            <w:pPr>
              <w:ind w:left="20"/>
              <w:spacing w:after="0" w:line="250" w:lineRule="exact"/>
              <w:rPr>
                <w:sz w:val="20"/>
                <w:szCs w:val="20"/>
                <w:color w:val="auto"/>
              </w:rPr>
            </w:pPr>
            <w:r>
              <w:rPr>
                <w:rFonts w:ascii="Arial" w:cs="Arial" w:eastAsia="Arial" w:hAnsi="Arial"/>
                <w:sz w:val="17"/>
                <w:szCs w:val="17"/>
                <w:color w:val="auto"/>
              </w:rPr>
              <w:t xml:space="preserve">Audit Fees </w:t>
            </w:r>
            <w:r>
              <w:rPr>
                <w:rFonts w:ascii="Arial" w:cs="Arial" w:eastAsia="Arial" w:hAnsi="Arial"/>
                <w:sz w:val="28"/>
                <w:szCs w:val="28"/>
                <w:color w:val="auto"/>
                <w:vertAlign w:val="superscript"/>
              </w:rPr>
              <w:t>(1)</w:t>
            </w:r>
          </w:p>
        </w:tc>
        <w:tc>
          <w:tcPr>
            <w:tcW w:w="1040" w:type="dxa"/>
            <w:vAlign w:val="bottom"/>
            <w:shd w:val="clear" w:color="auto" w:fill="B6DDE8"/>
          </w:tcPr>
          <w:p>
            <w:pPr>
              <w:jc w:val="right"/>
              <w:ind w:right="115"/>
              <w:spacing w:after="0"/>
              <w:rPr>
                <w:sz w:val="20"/>
                <w:szCs w:val="20"/>
                <w:color w:val="auto"/>
              </w:rPr>
            </w:pPr>
            <w:r>
              <w:rPr>
                <w:rFonts w:ascii="Arial" w:cs="Arial" w:eastAsia="Arial" w:hAnsi="Arial"/>
                <w:sz w:val="18"/>
                <w:szCs w:val="18"/>
                <w:color w:val="auto"/>
              </w:rPr>
              <w:t>$ 191,632</w:t>
            </w:r>
          </w:p>
        </w:tc>
        <w:tc>
          <w:tcPr>
            <w:tcW w:w="1240" w:type="dxa"/>
            <w:vAlign w:val="bottom"/>
            <w:shd w:val="clear" w:color="auto" w:fill="B6DDE8"/>
          </w:tcPr>
          <w:p>
            <w:pPr>
              <w:jc w:val="right"/>
              <w:ind w:right="213"/>
              <w:spacing w:after="0"/>
              <w:rPr>
                <w:sz w:val="20"/>
                <w:szCs w:val="20"/>
                <w:color w:val="auto"/>
              </w:rPr>
            </w:pPr>
            <w:r>
              <w:rPr>
                <w:rFonts w:ascii="Arial" w:cs="Arial" w:eastAsia="Arial" w:hAnsi="Arial"/>
                <w:sz w:val="18"/>
                <w:szCs w:val="18"/>
                <w:color w:val="auto"/>
              </w:rPr>
              <w:t>$ 174,179</w:t>
            </w:r>
          </w:p>
        </w:tc>
        <w:tc>
          <w:tcPr>
            <w:tcW w:w="40" w:type="dxa"/>
            <w:vAlign w:val="bottom"/>
            <w:tcBorders>
              <w:right w:val="single" w:sz="8" w:color="808080"/>
            </w:tcBorders>
          </w:tcPr>
          <w:p>
            <w:pPr>
              <w:spacing w:after="0"/>
              <w:rPr>
                <w:sz w:val="21"/>
                <w:szCs w:val="21"/>
                <w:color w:val="auto"/>
              </w:rPr>
            </w:pPr>
          </w:p>
        </w:tc>
      </w:tr>
      <w:tr>
        <w:trPr>
          <w:trHeight w:val="230"/>
        </w:trPr>
        <w:tc>
          <w:tcPr>
            <w:tcW w:w="2160" w:type="dxa"/>
            <w:vAlign w:val="bottom"/>
            <w:tcBorders>
              <w:left w:val="single" w:sz="8" w:color="808080"/>
            </w:tcBorders>
          </w:tcPr>
          <w:p>
            <w:pPr>
              <w:ind w:left="20"/>
              <w:spacing w:after="0"/>
              <w:rPr>
                <w:sz w:val="20"/>
                <w:szCs w:val="20"/>
                <w:color w:val="auto"/>
              </w:rPr>
            </w:pPr>
            <w:r>
              <w:rPr>
                <w:rFonts w:ascii="Arial" w:cs="Arial" w:eastAsia="Arial" w:hAnsi="Arial"/>
                <w:sz w:val="18"/>
                <w:szCs w:val="18"/>
                <w:color w:val="auto"/>
              </w:rPr>
              <w:t>Audit-related Fees</w:t>
            </w: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808080"/>
            </w:tcBorders>
          </w:tcPr>
          <w:p>
            <w:pPr>
              <w:spacing w:after="0"/>
              <w:rPr>
                <w:sz w:val="19"/>
                <w:szCs w:val="19"/>
                <w:color w:val="auto"/>
              </w:rPr>
            </w:pPr>
          </w:p>
        </w:tc>
      </w:tr>
      <w:tr>
        <w:trPr>
          <w:trHeight w:val="257"/>
        </w:trPr>
        <w:tc>
          <w:tcPr>
            <w:tcW w:w="2160" w:type="dxa"/>
            <w:vAlign w:val="bottom"/>
            <w:tcBorders>
              <w:left w:val="single" w:sz="8" w:color="808080"/>
            </w:tcBorders>
            <w:shd w:val="clear" w:color="auto" w:fill="B6DDE8"/>
          </w:tcPr>
          <w:p>
            <w:pPr>
              <w:ind w:left="20"/>
              <w:spacing w:after="0" w:line="25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9"/>
                <w:szCs w:val="29"/>
                <w:color w:val="auto"/>
                <w:vertAlign w:val="superscript"/>
              </w:rPr>
              <w:t>(2)</w:t>
            </w:r>
          </w:p>
        </w:tc>
        <w:tc>
          <w:tcPr>
            <w:tcW w:w="1040" w:type="dxa"/>
            <w:vAlign w:val="bottom"/>
            <w:shd w:val="clear" w:color="auto" w:fill="B6DDE8"/>
          </w:tcPr>
          <w:p>
            <w:pPr>
              <w:jc w:val="right"/>
              <w:ind w:right="115"/>
              <w:spacing w:after="0"/>
              <w:rPr>
                <w:sz w:val="20"/>
                <w:szCs w:val="20"/>
                <w:color w:val="auto"/>
              </w:rPr>
            </w:pPr>
            <w:r>
              <w:rPr>
                <w:rFonts w:ascii="Arial" w:cs="Arial" w:eastAsia="Arial" w:hAnsi="Arial"/>
                <w:sz w:val="18"/>
                <w:szCs w:val="18"/>
                <w:color w:val="auto"/>
              </w:rPr>
              <w:t>41,629</w:t>
            </w:r>
          </w:p>
        </w:tc>
        <w:tc>
          <w:tcPr>
            <w:tcW w:w="1240" w:type="dxa"/>
            <w:vAlign w:val="bottom"/>
            <w:shd w:val="clear" w:color="auto" w:fill="B6DDE8"/>
          </w:tcPr>
          <w:p>
            <w:pPr>
              <w:jc w:val="right"/>
              <w:ind w:right="213"/>
              <w:spacing w:after="0"/>
              <w:rPr>
                <w:sz w:val="20"/>
                <w:szCs w:val="20"/>
                <w:color w:val="auto"/>
              </w:rPr>
            </w:pPr>
            <w:r>
              <w:rPr>
                <w:rFonts w:ascii="Arial" w:cs="Arial" w:eastAsia="Arial" w:hAnsi="Arial"/>
                <w:sz w:val="18"/>
                <w:szCs w:val="18"/>
                <w:color w:val="auto"/>
              </w:rPr>
              <w:t>99,388</w:t>
            </w:r>
          </w:p>
        </w:tc>
        <w:tc>
          <w:tcPr>
            <w:tcW w:w="40" w:type="dxa"/>
            <w:vAlign w:val="bottom"/>
            <w:tcBorders>
              <w:right w:val="single" w:sz="8" w:color="808080"/>
            </w:tcBorders>
          </w:tcPr>
          <w:p>
            <w:pPr>
              <w:spacing w:after="0"/>
              <w:rPr>
                <w:sz w:val="22"/>
                <w:szCs w:val="22"/>
                <w:color w:val="auto"/>
              </w:rPr>
            </w:pPr>
          </w:p>
        </w:tc>
      </w:tr>
      <w:tr>
        <w:trPr>
          <w:trHeight w:val="257"/>
        </w:trPr>
        <w:tc>
          <w:tcPr>
            <w:tcW w:w="2160" w:type="dxa"/>
            <w:vAlign w:val="bottom"/>
            <w:tcBorders>
              <w:left w:val="single" w:sz="8" w:color="808080"/>
              <w:bottom w:val="single" w:sz="8" w:color="B6DDE8"/>
            </w:tcBorders>
          </w:tcPr>
          <w:p>
            <w:pPr>
              <w:ind w:left="20"/>
              <w:spacing w:after="0" w:line="256"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9"/>
                <w:szCs w:val="29"/>
                <w:color w:val="auto"/>
                <w:vertAlign w:val="superscript"/>
              </w:rPr>
              <w:t>(3)</w:t>
            </w: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808080"/>
            </w:tcBorders>
          </w:tcPr>
          <w:p>
            <w:pPr>
              <w:spacing w:after="0"/>
              <w:rPr>
                <w:sz w:val="22"/>
                <w:szCs w:val="22"/>
                <w:color w:val="auto"/>
              </w:rPr>
            </w:pPr>
          </w:p>
        </w:tc>
      </w:tr>
      <w:tr>
        <w:trPr>
          <w:trHeight w:val="223"/>
        </w:trPr>
        <w:tc>
          <w:tcPr>
            <w:tcW w:w="2160" w:type="dxa"/>
            <w:vAlign w:val="bottom"/>
            <w:tcBorders>
              <w:left w:val="single" w:sz="8" w:color="808080"/>
              <w:bottom w:val="single" w:sz="8" w:color="B6DDE8"/>
            </w:tcBorders>
            <w:shd w:val="clear" w:color="auto" w:fill="B6DDE8"/>
          </w:tcPr>
          <w:p>
            <w:pPr>
              <w:ind w:left="200"/>
              <w:spacing w:after="0" w:line="182" w:lineRule="exact"/>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B6DDE8"/>
          </w:tcPr>
          <w:p>
            <w:pPr>
              <w:jc w:val="right"/>
              <w:ind w:right="115"/>
              <w:spacing w:after="0" w:line="182" w:lineRule="exact"/>
              <w:rPr>
                <w:sz w:val="20"/>
                <w:szCs w:val="20"/>
                <w:color w:val="auto"/>
              </w:rPr>
            </w:pPr>
            <w:r>
              <w:rPr>
                <w:rFonts w:ascii="Arial" w:cs="Arial" w:eastAsia="Arial" w:hAnsi="Arial"/>
                <w:sz w:val="18"/>
                <w:szCs w:val="18"/>
                <w:color w:val="auto"/>
              </w:rPr>
              <w:t>$ 233,261</w:t>
            </w:r>
          </w:p>
        </w:tc>
        <w:tc>
          <w:tcPr>
            <w:tcW w:w="1240" w:type="dxa"/>
            <w:vAlign w:val="bottom"/>
            <w:tcBorders>
              <w:bottom w:val="single" w:sz="8" w:color="auto"/>
            </w:tcBorders>
            <w:shd w:val="clear" w:color="auto" w:fill="B6DDE8"/>
          </w:tcPr>
          <w:p>
            <w:pPr>
              <w:jc w:val="right"/>
              <w:ind w:right="213"/>
              <w:spacing w:after="0" w:line="182" w:lineRule="exact"/>
              <w:rPr>
                <w:sz w:val="20"/>
                <w:szCs w:val="20"/>
                <w:color w:val="auto"/>
              </w:rPr>
            </w:pPr>
            <w:r>
              <w:rPr>
                <w:rFonts w:ascii="Arial" w:cs="Arial" w:eastAsia="Arial" w:hAnsi="Arial"/>
                <w:sz w:val="18"/>
                <w:szCs w:val="18"/>
                <w:color w:val="auto"/>
              </w:rPr>
              <w:t>$ 273,567</w:t>
            </w:r>
          </w:p>
        </w:tc>
        <w:tc>
          <w:tcPr>
            <w:tcW w:w="40" w:type="dxa"/>
            <w:vAlign w:val="bottom"/>
            <w:tcBorders>
              <w:right w:val="single" w:sz="8" w:color="808080"/>
            </w:tcBorders>
          </w:tcPr>
          <w:p>
            <w:pPr>
              <w:spacing w:after="0"/>
              <w:rPr>
                <w:sz w:val="19"/>
                <w:szCs w:val="19"/>
                <w:color w:val="auto"/>
              </w:rPr>
            </w:pPr>
          </w:p>
        </w:tc>
      </w:tr>
      <w:tr>
        <w:trPr>
          <w:trHeight w:val="20"/>
        </w:trPr>
        <w:tc>
          <w:tcPr>
            <w:tcW w:w="2160" w:type="dxa"/>
            <w:vAlign w:val="bottom"/>
            <w:tcBorders>
              <w:left w:val="single" w:sz="8" w:color="808080"/>
              <w:bottom w:val="single" w:sz="8" w:color="808080"/>
            </w:tcBorders>
          </w:tcPr>
          <w:p>
            <w:pPr>
              <w:spacing w:after="0" w:line="20" w:lineRule="exact"/>
              <w:rPr>
                <w:sz w:val="1"/>
                <w:szCs w:val="1"/>
                <w:color w:val="auto"/>
              </w:rPr>
            </w:pPr>
          </w:p>
        </w:tc>
        <w:tc>
          <w:tcPr>
            <w:tcW w:w="1040" w:type="dxa"/>
            <w:vAlign w:val="bottom"/>
            <w:tcBorders>
              <w:bottom w:val="single" w:sz="8" w:color="808080"/>
            </w:tcBorders>
          </w:tcPr>
          <w:p>
            <w:pPr>
              <w:spacing w:after="0" w:line="20" w:lineRule="exact"/>
              <w:rPr>
                <w:sz w:val="1"/>
                <w:szCs w:val="1"/>
                <w:color w:val="auto"/>
              </w:rPr>
            </w:pPr>
          </w:p>
        </w:tc>
        <w:tc>
          <w:tcPr>
            <w:tcW w:w="124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r>
    </w:tbl>
    <w:p>
      <w:pPr>
        <w:spacing w:after="0" w:line="70" w:lineRule="exact"/>
        <w:rPr>
          <w:sz w:val="20"/>
          <w:szCs w:val="20"/>
          <w:color w:val="auto"/>
        </w:rPr>
      </w:pPr>
    </w:p>
    <w:p>
      <w:pPr>
        <w:ind w:left="660" w:right="1939" w:hanging="598"/>
        <w:spacing w:after="0" w:line="274" w:lineRule="auto"/>
        <w:tabs>
          <w:tab w:leader="none" w:pos="633" w:val="left"/>
        </w:tabs>
        <w:numPr>
          <w:ilvl w:val="1"/>
          <w:numId w:val="15"/>
        </w:numPr>
        <w:rPr>
          <w:rFonts w:ascii="Arial" w:cs="Arial" w:eastAsia="Arial" w:hAnsi="Arial"/>
          <w:sz w:val="21"/>
          <w:szCs w:val="21"/>
          <w:color w:val="auto"/>
        </w:rPr>
      </w:pPr>
      <w:r>
        <w:rPr>
          <w:rFonts w:ascii="Arial" w:cs="Arial" w:eastAsia="Arial" w:hAnsi="Arial"/>
          <w:sz w:val="21"/>
          <w:szCs w:val="21"/>
          <w:color w:val="auto"/>
        </w:rPr>
        <w:t>Represents fees billed for professional services rendered for the audit and reviews of our financial statements filed with the SEC on Forms 10-K and 10-Q.</w:t>
      </w:r>
    </w:p>
    <w:p>
      <w:pPr>
        <w:spacing w:after="0" w:line="29" w:lineRule="exact"/>
        <w:rPr>
          <w:rFonts w:ascii="Arial" w:cs="Arial" w:eastAsia="Arial" w:hAnsi="Arial"/>
          <w:sz w:val="21"/>
          <w:szCs w:val="21"/>
          <w:color w:val="auto"/>
        </w:rPr>
      </w:pPr>
    </w:p>
    <w:p>
      <w:pPr>
        <w:ind w:left="620" w:hanging="612"/>
        <w:spacing w:after="0"/>
        <w:tabs>
          <w:tab w:leader="none" w:pos="6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Represents fees billed for tax filing, preparation, and tax advisory services.</w:t>
      </w:r>
    </w:p>
    <w:p>
      <w:pPr>
        <w:spacing w:after="0" w:line="84" w:lineRule="exact"/>
        <w:rPr>
          <w:rFonts w:ascii="Arial" w:cs="Arial" w:eastAsia="Arial" w:hAnsi="Arial"/>
          <w:sz w:val="22"/>
          <w:szCs w:val="22"/>
          <w:color w:val="auto"/>
        </w:rPr>
      </w:pPr>
    </w:p>
    <w:p>
      <w:pPr>
        <w:ind w:left="660" w:right="2219" w:hanging="652"/>
        <w:spacing w:after="0" w:line="251" w:lineRule="auto"/>
        <w:tabs>
          <w:tab w:leader="none" w:pos="633" w:val="left"/>
        </w:tabs>
        <w:numPr>
          <w:ilvl w:val="0"/>
          <w:numId w:val="16"/>
        </w:numPr>
        <w:rPr>
          <w:rFonts w:ascii="Arial" w:cs="Arial" w:eastAsia="Arial" w:hAnsi="Arial"/>
          <w:sz w:val="22"/>
          <w:szCs w:val="22"/>
          <w:color w:val="auto"/>
        </w:rPr>
      </w:pPr>
      <w:r>
        <w:rPr>
          <w:rFonts w:ascii="Arial" w:cs="Arial" w:eastAsia="Arial" w:hAnsi="Arial"/>
          <w:sz w:val="22"/>
          <w:szCs w:val="22"/>
          <w:color w:val="auto"/>
        </w:rPr>
        <w:t>Represents fees billed for all other non-audit services, such as consulting on potential acquisitions or dispositions.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Pre-Approval Policies and Procedures</w:t>
      </w:r>
    </w:p>
    <w:p>
      <w:pPr>
        <w:spacing w:after="0" w:line="91" w:lineRule="exact"/>
        <w:rPr>
          <w:sz w:val="20"/>
          <w:szCs w:val="20"/>
          <w:color w:val="auto"/>
        </w:rPr>
      </w:pPr>
    </w:p>
    <w:p>
      <w:pPr>
        <w:ind w:right="1859" w:firstLine="486"/>
        <w:spacing w:after="0" w:line="272" w:lineRule="auto"/>
        <w:rPr>
          <w:sz w:val="20"/>
          <w:szCs w:val="20"/>
          <w:color w:val="auto"/>
        </w:rPr>
      </w:pPr>
      <w:r>
        <w:rPr>
          <w:rFonts w:ascii="Arial" w:cs="Arial" w:eastAsia="Arial" w:hAnsi="Arial"/>
          <w:sz w:val="19"/>
          <w:szCs w:val="19"/>
          <w:color w:val="auto"/>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2011,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sectPr>
          <w:pgSz w:w="11900" w:h="16838" w:orient="portrait"/>
          <w:cols w:equalWidth="0" w:num="1">
            <w:col w:w="10219"/>
          </w:cols>
          <w:pgMar w:left="240" w:top="361" w:right="1440" w:bottom="7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5351145" cy="85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361" w:right="1440" w:bottom="753" w:gutter="0" w:footer="0" w:header="0"/>
          <w:type w:val="continuous"/>
        </w:sectPr>
      </w:pPr>
    </w:p>
    <w:bookmarkStart w:id="26" w:name="page27"/>
    <w:bookmarkEnd w:id="26"/>
    <w:p>
      <w:pPr>
        <w:jc w:val="center"/>
        <w:ind w:right="1779"/>
        <w:spacing w:after="0"/>
        <w:rPr>
          <w:sz w:val="20"/>
          <w:szCs w:val="20"/>
          <w:color w:val="auto"/>
        </w:rPr>
      </w:pPr>
      <w:r>
        <w:rPr>
          <w:rFonts w:ascii="Arial" w:cs="Arial" w:eastAsia="Arial" w:hAnsi="Arial"/>
          <w:sz w:val="22"/>
          <w:szCs w:val="22"/>
          <w:b w:val="1"/>
          <w:bCs w:val="1"/>
          <w:color w:val="auto"/>
        </w:rPr>
        <w:t>PROPOSAL THREE</w:t>
      </w:r>
    </w:p>
    <w:p>
      <w:pPr>
        <w:spacing w:after="0" w:line="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AMENDMENT OF THE ARTICLES OF INCORPORATION OF THE COMPANY TO</w:t>
      </w:r>
    </w:p>
    <w:p>
      <w:pPr>
        <w:jc w:val="center"/>
        <w:ind w:right="1779"/>
        <w:spacing w:after="0"/>
        <w:rPr>
          <w:sz w:val="20"/>
          <w:szCs w:val="20"/>
          <w:color w:val="auto"/>
        </w:rPr>
      </w:pPr>
      <w:r>
        <w:rPr>
          <w:rFonts w:ascii="Arial" w:cs="Arial" w:eastAsia="Arial" w:hAnsi="Arial"/>
          <w:sz w:val="22"/>
          <w:szCs w:val="22"/>
          <w:b w:val="1"/>
          <w:bCs w:val="1"/>
          <w:color w:val="auto"/>
        </w:rPr>
        <w:t>CHANGE THE NAME OF THE COMPANY</w:t>
      </w:r>
    </w:p>
    <w:p>
      <w:pPr>
        <w:spacing w:after="0" w:line="161" w:lineRule="exact"/>
        <w:rPr>
          <w:sz w:val="20"/>
          <w:szCs w:val="20"/>
          <w:color w:val="auto"/>
        </w:rPr>
      </w:pPr>
    </w:p>
    <w:p>
      <w:pPr>
        <w:ind w:right="1819" w:firstLine="702"/>
        <w:spacing w:after="0" w:line="287" w:lineRule="auto"/>
        <w:rPr>
          <w:sz w:val="20"/>
          <w:szCs w:val="20"/>
          <w:color w:val="auto"/>
        </w:rPr>
      </w:pPr>
      <w:r>
        <w:rPr>
          <w:rFonts w:ascii="Arial" w:cs="Arial" w:eastAsia="Arial" w:hAnsi="Arial"/>
          <w:sz w:val="19"/>
          <w:szCs w:val="19"/>
          <w:color w:val="auto"/>
        </w:rPr>
        <w:t>The Board of Directors of the Company has approved and recommended an Amendment to Article I of the Articles of Incorporation to change the name of the Company from “ClearOne Communications, Inc.”, to “ClearOne Inc.” The name change is proposed to reflect the expansion of ClearOne’s business and its focus on multiple product lines.</w:t>
      </w:r>
    </w:p>
    <w:p>
      <w:pPr>
        <w:spacing w:after="0" w:line="22" w:lineRule="exact"/>
        <w:rPr>
          <w:sz w:val="20"/>
          <w:szCs w:val="20"/>
          <w:color w:val="auto"/>
        </w:rPr>
      </w:pPr>
    </w:p>
    <w:p>
      <w:pPr>
        <w:ind w:right="1919" w:firstLine="648"/>
        <w:spacing w:after="0" w:line="251" w:lineRule="auto"/>
        <w:rPr>
          <w:sz w:val="20"/>
          <w:szCs w:val="20"/>
          <w:color w:val="auto"/>
        </w:rPr>
      </w:pPr>
      <w:r>
        <w:rPr>
          <w:rFonts w:ascii="Arial" w:cs="Arial" w:eastAsia="Arial" w:hAnsi="Arial"/>
          <w:sz w:val="22"/>
          <w:szCs w:val="22"/>
          <w:color w:val="auto"/>
        </w:rPr>
        <w:t xml:space="preserve">The form of the proposed amendment to our Articles of Incorporation to effect the name change is attached to this Proxy Statement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52" w:lineRule="exact"/>
        <w:rPr>
          <w:sz w:val="20"/>
          <w:szCs w:val="20"/>
          <w:color w:val="auto"/>
        </w:rPr>
      </w:pPr>
    </w:p>
    <w:p>
      <w:pPr>
        <w:ind w:right="1839" w:firstLine="648"/>
        <w:spacing w:after="0" w:line="247" w:lineRule="auto"/>
        <w:rPr>
          <w:sz w:val="20"/>
          <w:szCs w:val="20"/>
          <w:color w:val="auto"/>
        </w:rPr>
      </w:pPr>
      <w:r>
        <w:rPr>
          <w:rFonts w:ascii="Arial" w:cs="Arial" w:eastAsia="Arial" w:hAnsi="Arial"/>
          <w:sz w:val="21"/>
          <w:szCs w:val="21"/>
          <w:color w:val="auto"/>
        </w:rPr>
        <w:t>The name change will become effective upon the filing of an Amendment to our Articles of Incorporation which we refer to as the effective time (Effective Time). At the Effective Time, all newly issued stock certificates representing shares of stock will be evidenced by the name ClearOne, Inc. Current holders of certificates representing shares of stock will not be required to exchange stock certificates for new stock certificates bearing the name ClearOne, Inc. All stock certificates issued prior to the Effective Date will continue to be recognized by the Company and the Company’s transfer agent.</w:t>
      </w:r>
    </w:p>
    <w:p>
      <w:pPr>
        <w:spacing w:after="0" w:line="145" w:lineRule="exact"/>
        <w:rPr>
          <w:sz w:val="20"/>
          <w:szCs w:val="20"/>
          <w:color w:val="auto"/>
        </w:rPr>
      </w:pPr>
    </w:p>
    <w:p>
      <w:pPr>
        <w:ind w:right="2079" w:firstLine="648"/>
        <w:spacing w:after="0" w:line="243" w:lineRule="auto"/>
        <w:rPr>
          <w:sz w:val="20"/>
          <w:szCs w:val="20"/>
          <w:color w:val="auto"/>
        </w:rPr>
      </w:pPr>
      <w:r>
        <w:rPr>
          <w:rFonts w:ascii="Arial" w:cs="Arial" w:eastAsia="Arial" w:hAnsi="Arial"/>
          <w:sz w:val="22"/>
          <w:szCs w:val="22"/>
          <w:b w:val="1"/>
          <w:bCs w:val="1"/>
          <w:color w:val="auto"/>
        </w:rPr>
        <w:t>The Board of Directors unanimously recommends a vote “for” the amendment of the Articles of Incorporation to change the name of the Company from “ClearOne Communications, Inc.” to “ClearOne, Inc.”</w:t>
      </w:r>
    </w:p>
    <w:p>
      <w:pPr>
        <w:spacing w:after="0" w:line="150"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auto"/>
        </w:rPr>
        <w:t>DEADLINE FOR RECEIPT OF SHAREHOLDER PROPOSALS</w:t>
      </w:r>
    </w:p>
    <w:p>
      <w:pPr>
        <w:spacing w:after="0" w:line="91" w:lineRule="exact"/>
        <w:rPr>
          <w:sz w:val="20"/>
          <w:szCs w:val="20"/>
          <w:color w:val="auto"/>
        </w:rPr>
      </w:pPr>
    </w:p>
    <w:p>
      <w:pPr>
        <w:ind w:right="1799" w:firstLine="648"/>
        <w:spacing w:after="0" w:line="252" w:lineRule="auto"/>
        <w:rPr>
          <w:sz w:val="20"/>
          <w:szCs w:val="20"/>
          <w:color w:val="auto"/>
        </w:rPr>
      </w:pPr>
      <w:r>
        <w:rPr>
          <w:rFonts w:ascii="Arial" w:cs="Arial" w:eastAsia="Arial" w:hAnsi="Arial"/>
          <w:sz w:val="21"/>
          <w:szCs w:val="21"/>
          <w:color w:val="auto"/>
        </w:rPr>
        <w:t>Any shareholder that wishes to present any proposal for shareholder action at our Annual Meeting of Shareholders to be held during calendar year 2013 must notify us at our principal executive offices no later than June 17, 2013 in order for the proposal to be included in our proxy statement and form of proxy relating to that meeting.</w:t>
      </w:r>
    </w:p>
    <w:p>
      <w:pPr>
        <w:spacing w:after="0" w:line="53" w:lineRule="exact"/>
        <w:rPr>
          <w:sz w:val="20"/>
          <w:szCs w:val="20"/>
          <w:color w:val="auto"/>
        </w:rPr>
      </w:pPr>
    </w:p>
    <w:p>
      <w:pPr>
        <w:ind w:right="1799" w:firstLine="648"/>
        <w:spacing w:after="0" w:line="235" w:lineRule="auto"/>
        <w:rPr>
          <w:sz w:val="20"/>
          <w:szCs w:val="20"/>
          <w:color w:val="auto"/>
        </w:rPr>
      </w:pPr>
      <w:r>
        <w:rPr>
          <w:rFonts w:ascii="Arial" w:cs="Arial" w:eastAsia="Arial" w:hAnsi="Arial"/>
          <w:sz w:val="22"/>
          <w:szCs w:val="22"/>
          <w:color w:val="auto"/>
        </w:rPr>
        <w:t>Pursuant to Rule 14a-4 under the Exchange Act, we intend to retain discretionary authority to vote proxies with respect to shareholder proposals for which the proponent does not seek inclusion of the proposed matter in our proxy statement for the annual meeting to be held during calendar 2013, except in circumstances where (i) we receive notice of the proposed matter no later than September 2, 2013 and (ii) the proponent complies with the other requirements set forth in Rule 14a-4.</w:t>
      </w:r>
    </w:p>
    <w:p>
      <w:pPr>
        <w:spacing w:after="0" w:line="155"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OTHER MATTERS</w:t>
      </w:r>
    </w:p>
    <w:p>
      <w:pPr>
        <w:spacing w:after="0" w:line="185" w:lineRule="exact"/>
        <w:rPr>
          <w:sz w:val="20"/>
          <w:szCs w:val="20"/>
          <w:color w:val="auto"/>
        </w:rPr>
      </w:pPr>
    </w:p>
    <w:p>
      <w:pPr>
        <w:ind w:right="1799" w:firstLine="648"/>
        <w:spacing w:after="0" w:line="297" w:lineRule="auto"/>
        <w:rPr>
          <w:sz w:val="20"/>
          <w:szCs w:val="20"/>
          <w:color w:val="auto"/>
        </w:rPr>
      </w:pPr>
      <w:r>
        <w:rPr>
          <w:rFonts w:ascii="Arial" w:cs="Arial" w:eastAsia="Arial" w:hAnsi="Arial"/>
          <w:sz w:val="19"/>
          <w:szCs w:val="19"/>
          <w:color w:val="auto"/>
        </w:rPr>
        <w:t>We know of no other business to be submitted at the meeting. If any other matters should properly come before the meeting, it is the intention of the persons named in the accompanying form of proxy to vote the shares they represent as our Board of Directors may recommend.</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Dated: October 3, 2012</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5351145" cy="85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27" w:name="page28"/>
    <w:bookmarkEnd w:id="27"/>
    <w:p>
      <w:pPr>
        <w:spacing w:after="0" w:line="63" w:lineRule="exact"/>
        <w:rPr>
          <w:sz w:val="20"/>
          <w:szCs w:val="20"/>
          <w:color w:val="auto"/>
        </w:rPr>
      </w:pPr>
    </w:p>
    <w:p>
      <w:pPr>
        <w:jc w:val="right"/>
        <w:ind w:right="1779"/>
        <w:spacing w:after="0"/>
        <w:rPr>
          <w:sz w:val="20"/>
          <w:szCs w:val="20"/>
          <w:color w:val="auto"/>
        </w:rPr>
      </w:pPr>
      <w:r>
        <w:rPr>
          <w:rFonts w:ascii="Arial" w:cs="Arial" w:eastAsia="Arial" w:hAnsi="Arial"/>
          <w:sz w:val="22"/>
          <w:szCs w:val="22"/>
          <w:b w:val="1"/>
          <w:bCs w:val="1"/>
          <w:color w:val="auto"/>
        </w:rPr>
        <w:t>EXHIBIT A</w:t>
      </w:r>
    </w:p>
    <w:p>
      <w:pPr>
        <w:spacing w:after="0" w:line="239" w:lineRule="exact"/>
        <w:rPr>
          <w:sz w:val="20"/>
          <w:szCs w:val="20"/>
          <w:color w:val="auto"/>
        </w:rPr>
      </w:pPr>
    </w:p>
    <w:p>
      <w:pPr>
        <w:jc w:val="center"/>
        <w:ind w:right="1779"/>
        <w:spacing w:after="0"/>
        <w:rPr>
          <w:sz w:val="20"/>
          <w:szCs w:val="20"/>
          <w:color w:val="auto"/>
        </w:rPr>
      </w:pPr>
      <w:r>
        <w:rPr>
          <w:rFonts w:ascii="Arial" w:cs="Arial" w:eastAsia="Arial" w:hAnsi="Arial"/>
          <w:sz w:val="22"/>
          <w:szCs w:val="22"/>
          <w:color w:val="auto"/>
        </w:rPr>
        <w:t>ARTICLES OF AMENDMENT TO</w:t>
      </w:r>
    </w:p>
    <w:p>
      <w:pPr>
        <w:jc w:val="center"/>
        <w:ind w:right="1779"/>
        <w:spacing w:after="0" w:line="238" w:lineRule="auto"/>
        <w:rPr>
          <w:sz w:val="20"/>
          <w:szCs w:val="20"/>
          <w:color w:val="auto"/>
        </w:rPr>
      </w:pPr>
      <w:r>
        <w:rPr>
          <w:rFonts w:ascii="Arial" w:cs="Arial" w:eastAsia="Arial" w:hAnsi="Arial"/>
          <w:sz w:val="22"/>
          <w:szCs w:val="22"/>
          <w:color w:val="auto"/>
        </w:rPr>
        <w:t>THE ARTICLES OF INCORPORATION</w:t>
      </w:r>
    </w:p>
    <w:p>
      <w:pPr>
        <w:jc w:val="center"/>
        <w:ind w:right="1779"/>
        <w:spacing w:after="0" w:line="230" w:lineRule="auto"/>
        <w:rPr>
          <w:sz w:val="20"/>
          <w:szCs w:val="20"/>
          <w:color w:val="auto"/>
        </w:rPr>
      </w:pPr>
      <w:r>
        <w:rPr>
          <w:rFonts w:ascii="Arial" w:cs="Arial" w:eastAsia="Arial" w:hAnsi="Arial"/>
          <w:sz w:val="22"/>
          <w:szCs w:val="22"/>
          <w:color w:val="auto"/>
        </w:rPr>
        <w:t>OF CLEARONE COMMUNICATIONS INC.</w:t>
      </w:r>
    </w:p>
    <w:p>
      <w:pPr>
        <w:spacing w:after="0" w:line="1" w:lineRule="exact"/>
        <w:rPr>
          <w:sz w:val="20"/>
          <w:szCs w:val="20"/>
          <w:color w:val="auto"/>
        </w:rPr>
      </w:pPr>
    </w:p>
    <w:p>
      <w:pPr>
        <w:jc w:val="center"/>
        <w:ind w:right="1779"/>
        <w:spacing w:after="0"/>
        <w:rPr>
          <w:sz w:val="20"/>
          <w:szCs w:val="20"/>
          <w:color w:val="auto"/>
        </w:rPr>
      </w:pPr>
      <w:r>
        <w:rPr>
          <w:rFonts w:ascii="Arial" w:cs="Arial" w:eastAsia="Arial" w:hAnsi="Arial"/>
          <w:sz w:val="22"/>
          <w:szCs w:val="22"/>
          <w:color w:val="auto"/>
        </w:rPr>
        <w:t>(hereafter ClearOne, Inc.)</w:t>
      </w:r>
    </w:p>
    <w:p>
      <w:pPr>
        <w:spacing w:after="0" w:line="200" w:lineRule="exact"/>
        <w:rPr>
          <w:sz w:val="20"/>
          <w:szCs w:val="20"/>
          <w:color w:val="auto"/>
        </w:rPr>
      </w:pPr>
    </w:p>
    <w:p>
      <w:pPr>
        <w:spacing w:after="0" w:line="258" w:lineRule="exact"/>
        <w:rPr>
          <w:sz w:val="20"/>
          <w:szCs w:val="20"/>
          <w:color w:val="auto"/>
        </w:rPr>
      </w:pPr>
    </w:p>
    <w:p>
      <w:pPr>
        <w:ind w:right="2059"/>
        <w:spacing w:after="0" w:line="238" w:lineRule="auto"/>
        <w:rPr>
          <w:sz w:val="20"/>
          <w:szCs w:val="20"/>
          <w:color w:val="auto"/>
        </w:rPr>
      </w:pPr>
      <w:r>
        <w:rPr>
          <w:rFonts w:ascii="Arial" w:cs="Arial" w:eastAsia="Arial" w:hAnsi="Arial"/>
          <w:sz w:val="22"/>
          <w:szCs w:val="22"/>
          <w:color w:val="auto"/>
        </w:rPr>
        <w:t>Pursuant to Sections 16-10a-1003 and 16-10a-1006 of the Utah Revised Business Corporation Act, the undersigned, [insert name of authorized officer], being the [insert title of authorized officer] of ClearOne Communications Inc., a Utah corporation (the "Corporation"), hereby certifies the following:</w:t>
      </w:r>
    </w:p>
    <w:p>
      <w:pPr>
        <w:spacing w:after="0" w:line="212" w:lineRule="exact"/>
        <w:rPr>
          <w:sz w:val="20"/>
          <w:szCs w:val="20"/>
          <w:color w:val="auto"/>
        </w:rPr>
      </w:pPr>
    </w:p>
    <w:p>
      <w:pPr>
        <w:ind w:right="2019" w:firstLine="8"/>
        <w:spacing w:after="0" w:line="251" w:lineRule="auto"/>
        <w:tabs>
          <w:tab w:leader="none" w:pos="621" w:val="left"/>
        </w:tabs>
        <w:numPr>
          <w:ilvl w:val="0"/>
          <w:numId w:val="17"/>
        </w:numPr>
        <w:rPr>
          <w:rFonts w:ascii="Arial" w:cs="Arial" w:eastAsia="Arial" w:hAnsi="Arial"/>
          <w:sz w:val="22"/>
          <w:szCs w:val="22"/>
          <w:color w:val="auto"/>
        </w:rPr>
      </w:pPr>
      <w:r>
        <w:rPr>
          <w:rFonts w:ascii="Arial" w:cs="Arial" w:eastAsia="Arial" w:hAnsi="Arial"/>
          <w:sz w:val="22"/>
          <w:szCs w:val="22"/>
          <w:color w:val="auto"/>
        </w:rPr>
        <w:t>Article I of the Articles of Incorporation of the Corporation is deleted in its entirety and the following is substituted therefore:</w:t>
      </w:r>
    </w:p>
    <w:p>
      <w:pPr>
        <w:spacing w:after="0" w:line="200" w:lineRule="exact"/>
        <w:rPr>
          <w:sz w:val="20"/>
          <w:szCs w:val="20"/>
          <w:color w:val="auto"/>
        </w:rPr>
      </w:pPr>
    </w:p>
    <w:p>
      <w:pPr>
        <w:jc w:val="center"/>
        <w:ind w:right="1779"/>
        <w:spacing w:after="0"/>
        <w:rPr>
          <w:sz w:val="20"/>
          <w:szCs w:val="20"/>
          <w:color w:val="auto"/>
        </w:rPr>
      </w:pPr>
      <w:r>
        <w:rPr>
          <w:rFonts w:ascii="Arial" w:cs="Arial" w:eastAsia="Arial" w:hAnsi="Arial"/>
          <w:sz w:val="22"/>
          <w:szCs w:val="22"/>
          <w:color w:val="auto"/>
        </w:rPr>
        <w:t>ARTICLE I</w:t>
      </w:r>
    </w:p>
    <w:p>
      <w:pPr>
        <w:spacing w:after="0" w:line="233" w:lineRule="exact"/>
        <w:rPr>
          <w:sz w:val="20"/>
          <w:szCs w:val="20"/>
          <w:color w:val="auto"/>
        </w:rPr>
      </w:pPr>
    </w:p>
    <w:p>
      <w:pPr>
        <w:jc w:val="center"/>
        <w:ind w:right="1779"/>
        <w:spacing w:after="0"/>
        <w:rPr>
          <w:sz w:val="20"/>
          <w:szCs w:val="20"/>
          <w:color w:val="auto"/>
        </w:rPr>
      </w:pPr>
      <w:r>
        <w:rPr>
          <w:rFonts w:ascii="Arial" w:cs="Arial" w:eastAsia="Arial" w:hAnsi="Arial"/>
          <w:sz w:val="22"/>
          <w:szCs w:val="22"/>
          <w:color w:val="auto"/>
        </w:rPr>
        <w:t>NAME</w:t>
      </w:r>
    </w:p>
    <w:p>
      <w:pPr>
        <w:spacing w:after="0" w:line="233" w:lineRule="exact"/>
        <w:rPr>
          <w:sz w:val="20"/>
          <w:szCs w:val="20"/>
          <w:color w:val="auto"/>
        </w:rPr>
      </w:pPr>
    </w:p>
    <w:p>
      <w:pPr>
        <w:jc w:val="center"/>
        <w:ind w:right="1779"/>
        <w:spacing w:after="0"/>
        <w:rPr>
          <w:sz w:val="20"/>
          <w:szCs w:val="20"/>
          <w:color w:val="auto"/>
        </w:rPr>
      </w:pPr>
      <w:r>
        <w:rPr>
          <w:rFonts w:ascii="Arial" w:cs="Arial" w:eastAsia="Arial" w:hAnsi="Arial"/>
          <w:sz w:val="22"/>
          <w:szCs w:val="22"/>
          <w:color w:val="auto"/>
        </w:rPr>
        <w:t>The name of this corporation is ClearOne, Inc.</w:t>
      </w:r>
    </w:p>
    <w:p>
      <w:pPr>
        <w:spacing w:after="0" w:line="233"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[End of Article I]</w:t>
      </w:r>
    </w:p>
    <w:p>
      <w:pPr>
        <w:spacing w:after="0" w:line="233" w:lineRule="exact"/>
        <w:rPr>
          <w:sz w:val="20"/>
          <w:szCs w:val="20"/>
          <w:color w:val="auto"/>
        </w:rPr>
      </w:pPr>
    </w:p>
    <w:p>
      <w:pPr>
        <w:ind w:right="1859" w:firstLine="8"/>
        <w:spacing w:after="0" w:line="238" w:lineRule="auto"/>
        <w:tabs>
          <w:tab w:leader="none" w:pos="621"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This Amendment to the Articles of Incorporation (the "Amendment") was adopted (i) by the Board of Directors of the Corporation as of June 8, 2011, and (ii) with the recommendation of the Board of Directors, at a meeting of the shareholders of the Corporation held on November 5, 2012.</w:t>
      </w:r>
    </w:p>
    <w:p>
      <w:pPr>
        <w:spacing w:after="0" w:line="212" w:lineRule="exact"/>
        <w:rPr>
          <w:rFonts w:ascii="Arial" w:cs="Arial" w:eastAsia="Arial" w:hAnsi="Arial"/>
          <w:sz w:val="22"/>
          <w:szCs w:val="22"/>
          <w:color w:val="auto"/>
        </w:rPr>
      </w:pPr>
    </w:p>
    <w:p>
      <w:pPr>
        <w:ind w:right="1779" w:firstLine="8"/>
        <w:spacing w:after="0" w:line="275" w:lineRule="auto"/>
        <w:tabs>
          <w:tab w:leader="none" w:pos="621" w:val="left"/>
        </w:tabs>
        <w:numPr>
          <w:ilvl w:val="0"/>
          <w:numId w:val="18"/>
        </w:numPr>
        <w:rPr>
          <w:rFonts w:ascii="Arial" w:cs="Arial" w:eastAsia="Arial" w:hAnsi="Arial"/>
          <w:sz w:val="19"/>
          <w:szCs w:val="19"/>
          <w:color w:val="auto"/>
        </w:rPr>
      </w:pPr>
      <w:r>
        <w:rPr>
          <w:rFonts w:ascii="Arial" w:cs="Arial" w:eastAsia="Arial" w:hAnsi="Arial"/>
          <w:sz w:val="19"/>
          <w:szCs w:val="19"/>
          <w:color w:val="auto"/>
        </w:rPr>
        <w:t>As of the date of the record date for the shareholders meeting referenced in paragraph 2, the Corporation had 9,175,774 shares of outstanding Common Stock all of which were entitled to vote on the above noted Amendment and __________ of which were indisputably present at the shareholder's meeting at which the vote was taken. Common Stock is the only class of stock of the Corporation. The Amendment was approved, receiving ___________ votes, which constituted more votes of Common Stock of the Corporation cast in favor of the Amendment than votes of Common Stock of the Corporation cast against the Amendment and is sufficient approval by the holders of Common Stock of the Corporation.</w:t>
      </w:r>
    </w:p>
    <w:p>
      <w:pPr>
        <w:spacing w:after="0" w:line="185" w:lineRule="exact"/>
        <w:rPr>
          <w:sz w:val="20"/>
          <w:szCs w:val="20"/>
          <w:color w:val="auto"/>
        </w:rPr>
      </w:pPr>
    </w:p>
    <w:p>
      <w:pPr>
        <w:ind w:right="2139"/>
        <w:spacing w:after="0" w:line="251" w:lineRule="auto"/>
        <w:rPr>
          <w:sz w:val="20"/>
          <w:szCs w:val="20"/>
          <w:color w:val="auto"/>
        </w:rPr>
      </w:pPr>
      <w:r>
        <w:rPr>
          <w:rFonts w:ascii="Arial" w:cs="Arial" w:eastAsia="Arial" w:hAnsi="Arial"/>
          <w:sz w:val="22"/>
          <w:szCs w:val="22"/>
          <w:color w:val="auto"/>
        </w:rPr>
        <w:t>IN WITNESS WHEREOF, the undersigned has executed these Articles of Amendment to the Articles of Incorporation as of this __ day of _________,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147320</wp:posOffset>
            </wp:positionV>
            <wp:extent cx="5338445" cy="7416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38445" cy="741680"/>
                    </a:xfrm>
                    <a:prstGeom prst="rect">
                      <a:avLst/>
                    </a:prstGeom>
                    <a:noFill/>
                  </pic:spPr>
                </pic:pic>
              </a:graphicData>
            </a:graphic>
          </wp:anchor>
        </w:drawing>
      </w:r>
    </w:p>
    <w:p>
      <w:pPr>
        <w:spacing w:after="0" w:line="22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CLEARONE COMMUNICATIONS</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INC., a Utah corporation</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5351145" cy="85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51145" cy="8572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1247140</wp:posOffset>
            </wp:positionV>
            <wp:extent cx="5509895" cy="1796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09895" cy="1796415"/>
                    </a:xfrm>
                    <a:prstGeom prst="rect">
                      <a:avLst/>
                    </a:prstGeom>
                    <a:noFill/>
                  </pic:spPr>
                </pic:pic>
              </a:graphicData>
            </a:graphic>
          </wp:anchor>
        </w:drawing>
      </w:r>
    </w:p>
    <w:p>
      <w:pPr>
        <w:sectPr>
          <w:pgSz w:w="11900" w:h="16901" w:orient="portrait"/>
          <w:cols w:equalWidth="0" w:num="1">
            <w:col w:w="10219"/>
          </w:cols>
          <w:pgMar w:left="24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Arial" w:cs="Arial" w:eastAsia="Arial" w:hAnsi="Arial"/>
          <w:sz w:val="12"/>
          <w:szCs w:val="12"/>
          <w:b w:val="1"/>
          <w:bCs w:val="1"/>
          <w:i w:val="1"/>
          <w:iCs w:val="1"/>
          <w:color w:val="auto"/>
        </w:rPr>
        <w:t>CLEARONE COMMUNICATIONS, INC.</w:t>
      </w:r>
    </w:p>
    <w:p>
      <w:pPr>
        <w:ind w:left="40"/>
        <w:spacing w:after="0" w:line="228" w:lineRule="auto"/>
        <w:rPr>
          <w:sz w:val="20"/>
          <w:szCs w:val="20"/>
          <w:color w:val="auto"/>
        </w:rPr>
      </w:pPr>
      <w:r>
        <w:rPr>
          <w:rFonts w:ascii="Arial" w:cs="Arial" w:eastAsia="Arial" w:hAnsi="Arial"/>
          <w:sz w:val="13"/>
          <w:szCs w:val="13"/>
          <w:b w:val="1"/>
          <w:bCs w:val="1"/>
          <w:i w:val="1"/>
          <w:iCs w:val="1"/>
          <w:color w:val="auto"/>
        </w:rPr>
        <w:t>ATTN: NARSI NARAYANAN</w:t>
      </w:r>
    </w:p>
    <w:p>
      <w:pPr>
        <w:ind w:left="40" w:right="660"/>
        <w:spacing w:after="0" w:line="301" w:lineRule="auto"/>
        <w:rPr>
          <w:sz w:val="20"/>
          <w:szCs w:val="20"/>
          <w:color w:val="auto"/>
        </w:rPr>
      </w:pPr>
      <w:r>
        <w:rPr>
          <w:rFonts w:ascii="Arial" w:cs="Arial" w:eastAsia="Arial" w:hAnsi="Arial"/>
          <w:sz w:val="11"/>
          <w:szCs w:val="11"/>
          <w:b w:val="1"/>
          <w:bCs w:val="1"/>
          <w:i w:val="1"/>
          <w:iCs w:val="1"/>
          <w:color w:val="auto"/>
        </w:rPr>
        <w:t>5225 WILEY POST WAY, SUITE 500 SALT LAKE CITY, UTAH 84116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599"/>
        <w:spacing w:after="0" w:line="227" w:lineRule="auto"/>
        <w:rPr>
          <w:sz w:val="20"/>
          <w:szCs w:val="20"/>
          <w:color w:val="auto"/>
        </w:rPr>
      </w:pPr>
      <w:r>
        <w:rPr>
          <w:rFonts w:ascii="Arial" w:cs="Arial" w:eastAsia="Arial" w:hAnsi="Arial"/>
          <w:sz w:val="13"/>
          <w:szCs w:val="13"/>
          <w:b w:val="1"/>
          <w:bCs w:val="1"/>
          <w:color w:val="auto"/>
        </w:rPr>
        <w:t>VOTE BY INTERNET – www.proxyvote.com</w:t>
      </w:r>
      <w:r>
        <w:rPr>
          <w:rFonts w:ascii="Arial" w:cs="Arial" w:eastAsia="Arial" w:hAnsi="Arial"/>
          <w:sz w:val="13"/>
          <w:szCs w:val="13"/>
          <w:color w:val="auto"/>
        </w:rPr>
        <w:t>Use the Internet to transmit your voting</w:t>
      </w:r>
      <w:r>
        <w:rPr>
          <w:rFonts w:ascii="Arial" w:cs="Arial" w:eastAsia="Arial" w:hAnsi="Arial"/>
          <w:sz w:val="13"/>
          <w:szCs w:val="13"/>
          <w:b w:val="1"/>
          <w:bCs w:val="1"/>
          <w:color w:val="auto"/>
        </w:rPr>
        <w:t xml:space="preserve"> </w:t>
      </w:r>
      <w:r>
        <w:rPr>
          <w:rFonts w:ascii="Arial" w:cs="Arial" w:eastAsia="Arial" w:hAnsi="Arial"/>
          <w:sz w:val="13"/>
          <w:szCs w:val="13"/>
          <w:color w:val="auto"/>
        </w:rPr>
        <w:t>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03" w:lineRule="exact"/>
        <w:rPr>
          <w:sz w:val="20"/>
          <w:szCs w:val="20"/>
          <w:color w:val="auto"/>
        </w:rPr>
      </w:pPr>
    </w:p>
    <w:p>
      <w:pPr>
        <w:ind w:right="1679"/>
        <w:spacing w:after="0" w:line="225" w:lineRule="auto"/>
        <w:rPr>
          <w:sz w:val="20"/>
          <w:szCs w:val="20"/>
          <w:color w:val="auto"/>
        </w:rPr>
      </w:pPr>
      <w:r>
        <w:rPr>
          <w:rFonts w:ascii="Arial" w:cs="Arial" w:eastAsia="Arial" w:hAnsi="Arial"/>
          <w:sz w:val="13"/>
          <w:szCs w:val="13"/>
          <w:b w:val="1"/>
          <w:bCs w:val="1"/>
          <w:color w:val="auto"/>
        </w:rPr>
        <w:t>Electronic Delivery of Future PROXY MATERIALS</w:t>
      </w:r>
      <w:r>
        <w:rPr>
          <w:rFonts w:ascii="Arial" w:cs="Arial" w:eastAsia="Arial" w:hAnsi="Arial"/>
          <w:sz w:val="13"/>
          <w:szCs w:val="13"/>
          <w:color w:val="auto"/>
        </w:rPr>
        <w:t>If you would like to reduce the costs</w:t>
      </w:r>
      <w:r>
        <w:rPr>
          <w:rFonts w:ascii="Arial" w:cs="Arial" w:eastAsia="Arial" w:hAnsi="Arial"/>
          <w:sz w:val="13"/>
          <w:szCs w:val="13"/>
          <w:b w:val="1"/>
          <w:bCs w:val="1"/>
          <w:color w:val="auto"/>
        </w:rPr>
        <w:t xml:space="preserve"> </w:t>
      </w:r>
      <w:r>
        <w:rPr>
          <w:rFonts w:ascii="Arial" w:cs="Arial" w:eastAsia="Arial" w:hAnsi="Arial"/>
          <w:sz w:val="13"/>
          <w:szCs w:val="13"/>
          <w:color w:val="auto"/>
        </w:rPr>
        <w:t>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04" w:lineRule="exact"/>
        <w:rPr>
          <w:sz w:val="20"/>
          <w:szCs w:val="20"/>
          <w:color w:val="auto"/>
        </w:rPr>
      </w:pPr>
    </w:p>
    <w:p>
      <w:pPr>
        <w:ind w:right="1659"/>
        <w:spacing w:after="0" w:line="234" w:lineRule="auto"/>
        <w:rPr>
          <w:sz w:val="20"/>
          <w:szCs w:val="20"/>
          <w:color w:val="auto"/>
        </w:rPr>
      </w:pPr>
      <w:r>
        <w:rPr>
          <w:rFonts w:ascii="Arial" w:cs="Arial" w:eastAsia="Arial" w:hAnsi="Arial"/>
          <w:sz w:val="13"/>
          <w:szCs w:val="13"/>
          <w:b w:val="1"/>
          <w:bCs w:val="1"/>
          <w:color w:val="auto"/>
        </w:rPr>
        <w:t>VOTE BY PHONE - 1-800-690-6903</w:t>
      </w:r>
      <w:r>
        <w:rPr>
          <w:rFonts w:ascii="Arial" w:cs="Arial" w:eastAsia="Arial" w:hAnsi="Arial"/>
          <w:sz w:val="13"/>
          <w:szCs w:val="13"/>
          <w:color w:val="auto"/>
        </w:rPr>
        <w:t>Use any touch-tone telephone to transmit your voting</w:t>
      </w:r>
      <w:r>
        <w:rPr>
          <w:rFonts w:ascii="Arial" w:cs="Arial" w:eastAsia="Arial" w:hAnsi="Arial"/>
          <w:sz w:val="13"/>
          <w:szCs w:val="13"/>
          <w:b w:val="1"/>
          <w:bCs w:val="1"/>
          <w:color w:val="auto"/>
        </w:rPr>
        <w:t xml:space="preserve"> </w:t>
      </w:r>
      <w:r>
        <w:rPr>
          <w:rFonts w:ascii="Arial" w:cs="Arial" w:eastAsia="Arial" w:hAnsi="Arial"/>
          <w:sz w:val="13"/>
          <w:szCs w:val="13"/>
          <w:color w:val="auto"/>
        </w:rPr>
        <w:t>instructions up until 11:59 P.M. Eastern Time the day before the cut-off date or meeting date. Have your proxy card in hand when you call and then follow the instructions.</w:t>
      </w:r>
    </w:p>
    <w:p>
      <w:pPr>
        <w:spacing w:after="0" w:line="103" w:lineRule="exact"/>
        <w:rPr>
          <w:sz w:val="20"/>
          <w:szCs w:val="20"/>
          <w:color w:val="auto"/>
        </w:rPr>
      </w:pPr>
    </w:p>
    <w:p>
      <w:pPr>
        <w:ind w:right="1559"/>
        <w:spacing w:after="0" w:line="234" w:lineRule="auto"/>
        <w:rPr>
          <w:sz w:val="20"/>
          <w:szCs w:val="20"/>
          <w:color w:val="auto"/>
        </w:rPr>
      </w:pPr>
      <w:r>
        <w:rPr>
          <w:rFonts w:ascii="Arial" w:cs="Arial" w:eastAsia="Arial" w:hAnsi="Arial"/>
          <w:sz w:val="13"/>
          <w:szCs w:val="13"/>
          <w:b w:val="1"/>
          <w:bCs w:val="1"/>
          <w:color w:val="auto"/>
        </w:rPr>
        <w:t>VOTE BY MAIL</w:t>
      </w:r>
      <w:r>
        <w:rPr>
          <w:rFonts w:ascii="Arial" w:cs="Arial" w:eastAsia="Arial" w:hAnsi="Arial"/>
          <w:sz w:val="13"/>
          <w:szCs w:val="13"/>
          <w:color w:val="auto"/>
        </w:rPr>
        <w:t>Mark, sign and date your proxy card and return it in the postage-paid envelope</w:t>
      </w:r>
      <w:r>
        <w:rPr>
          <w:rFonts w:ascii="Arial" w:cs="Arial" w:eastAsia="Arial" w:hAnsi="Arial"/>
          <w:sz w:val="13"/>
          <w:szCs w:val="13"/>
          <w:b w:val="1"/>
          <w:bCs w:val="1"/>
          <w:color w:val="auto"/>
        </w:rPr>
        <w:t xml:space="preserve"> </w:t>
      </w:r>
      <w:r>
        <w:rPr>
          <w:rFonts w:ascii="Arial" w:cs="Arial" w:eastAsia="Arial" w:hAnsi="Arial"/>
          <w:sz w:val="13"/>
          <w:szCs w:val="13"/>
          <w:color w:val="auto"/>
        </w:rPr>
        <w:t>we have provided or return it to Vote Processing., c/o Broadridge, 51 Mercedes Way, Edgewood, NY 11717.</w:t>
      </w:r>
    </w:p>
    <w:p>
      <w:pPr>
        <w:spacing w:after="0" w:line="200" w:lineRule="exact"/>
        <w:rPr>
          <w:sz w:val="20"/>
          <w:szCs w:val="20"/>
          <w:color w:val="auto"/>
        </w:rPr>
      </w:pPr>
    </w:p>
    <w:p>
      <w:pPr>
        <w:sectPr>
          <w:pgSz w:w="11900" w:h="16901" w:orient="portrait"/>
          <w:cols w:equalWidth="0" w:num="2">
            <w:col w:w="2660" w:space="720"/>
            <w:col w:w="6839"/>
          </w:cols>
          <w:pgMar w:left="240" w:top="355" w:right="1440" w:bottom="0" w:gutter="0" w:footer="0" w:header="0"/>
          <w:type w:val="continuous"/>
        </w:sectPr>
      </w:pP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sectPr>
          <w:pgSz w:w="11900" w:h="16901" w:orient="portrait"/>
          <w:cols w:equalWidth="0" w:num="1">
            <w:col w:w="10219"/>
          </w:cols>
          <w:pgMar w:left="240" w:top="355" w:right="1440" w:bottom="0" w:gutter="0" w:footer="0" w:header="0"/>
          <w:type w:val="continuous"/>
        </w:sectPr>
      </w:pPr>
    </w:p>
    <w:bookmarkStart w:id="28" w:name="page29"/>
    <w:bookmarkEnd w:id="28"/>
    <w:tbl>
      <w:tblPr>
        <w:tblLayout w:type="fixed"/>
        <w:tblInd w:w="30" w:type="dxa"/>
        <w:tblCellMar>
          <w:top w:w="0" w:type="dxa"/>
          <w:left w:w="0" w:type="dxa"/>
          <w:bottom w:w="0" w:type="dxa"/>
          <w:right w:w="0" w:type="dxa"/>
        </w:tblCellMar>
      </w:tblPr>
      <w:tr>
        <w:trPr>
          <w:trHeight w:val="107"/>
        </w:trPr>
        <w:tc>
          <w:tcPr>
            <w:tcW w:w="5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520" w:type="dxa"/>
            <w:vAlign w:val="bottom"/>
            <w:gridSpan w:val="2"/>
          </w:tcPr>
          <w:p>
            <w:pPr>
              <w:jc w:val="right"/>
              <w:ind w:right="720"/>
              <w:spacing w:after="0"/>
              <w:rPr>
                <w:sz w:val="20"/>
                <w:szCs w:val="20"/>
                <w:color w:val="auto"/>
              </w:rPr>
            </w:pPr>
            <w:r>
              <w:rPr>
                <w:rFonts w:ascii="Arial" w:cs="Arial" w:eastAsia="Arial" w:hAnsi="Arial"/>
                <w:sz w:val="9"/>
                <w:szCs w:val="9"/>
                <w:color w:val="auto"/>
              </w:rPr>
              <w:t>KEEP THIS PORTION FOR YOUR RECORDS</w:t>
            </w:r>
          </w:p>
        </w:tc>
        <w:tc>
          <w:tcPr>
            <w:tcW w:w="0" w:type="dxa"/>
            <w:vAlign w:val="bottom"/>
          </w:tcPr>
          <w:p>
            <w:pPr>
              <w:spacing w:after="0"/>
              <w:rPr>
                <w:sz w:val="1"/>
                <w:szCs w:val="1"/>
                <w:color w:val="auto"/>
              </w:rPr>
            </w:pPr>
          </w:p>
        </w:tc>
      </w:tr>
      <w:tr>
        <w:trPr>
          <w:trHeight w:val="555"/>
        </w:trPr>
        <w:tc>
          <w:tcPr>
            <w:tcW w:w="5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20" w:type="dxa"/>
            <w:vAlign w:val="bottom"/>
            <w:gridSpan w:val="2"/>
          </w:tcPr>
          <w:p>
            <w:pPr>
              <w:jc w:val="right"/>
              <w:ind w:right="720"/>
              <w:spacing w:after="0"/>
              <w:rPr>
                <w:sz w:val="20"/>
                <w:szCs w:val="20"/>
                <w:color w:val="auto"/>
              </w:rPr>
            </w:pPr>
            <w:r>
              <w:rPr>
                <w:rFonts w:ascii="Arial" w:cs="Arial" w:eastAsia="Arial" w:hAnsi="Arial"/>
                <w:sz w:val="9"/>
                <w:szCs w:val="9"/>
                <w:color w:val="auto"/>
              </w:rPr>
              <w:t>DETACH AND RETURN THIS PORTION ONLY</w:t>
            </w:r>
          </w:p>
        </w:tc>
        <w:tc>
          <w:tcPr>
            <w:tcW w:w="0" w:type="dxa"/>
            <w:vAlign w:val="bottom"/>
          </w:tcPr>
          <w:p>
            <w:pPr>
              <w:spacing w:after="0"/>
              <w:rPr>
                <w:sz w:val="1"/>
                <w:szCs w:val="1"/>
                <w:color w:val="auto"/>
              </w:rPr>
            </w:pPr>
          </w:p>
        </w:tc>
      </w:tr>
      <w:tr>
        <w:trPr>
          <w:trHeight w:val="190"/>
        </w:trPr>
        <w:tc>
          <w:tcPr>
            <w:tcW w:w="520" w:type="dxa"/>
            <w:vAlign w:val="bottom"/>
          </w:tcPr>
          <w:p>
            <w:pPr>
              <w:spacing w:after="0"/>
              <w:rPr>
                <w:sz w:val="16"/>
                <w:szCs w:val="16"/>
                <w:color w:val="auto"/>
              </w:rPr>
            </w:pPr>
          </w:p>
        </w:tc>
        <w:tc>
          <w:tcPr>
            <w:tcW w:w="8620" w:type="dxa"/>
            <w:vAlign w:val="bottom"/>
            <w:gridSpan w:val="5"/>
          </w:tcPr>
          <w:p>
            <w:pPr>
              <w:ind w:left="150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0" w:type="dxa"/>
            <w:vAlign w:val="bottom"/>
          </w:tcPr>
          <w:p>
            <w:pPr>
              <w:spacing w:after="0"/>
              <w:rPr>
                <w:sz w:val="1"/>
                <w:szCs w:val="1"/>
                <w:color w:val="auto"/>
              </w:rPr>
            </w:pPr>
          </w:p>
        </w:tc>
      </w:tr>
      <w:tr>
        <w:trPr>
          <w:trHeight w:val="144"/>
        </w:trPr>
        <w:tc>
          <w:tcPr>
            <w:tcW w:w="4040" w:type="dxa"/>
            <w:vAlign w:val="bottom"/>
            <w:tcBorders>
              <w:bottom w:val="single" w:sz="8" w:color="808080"/>
            </w:tcBorders>
            <w:gridSpan w:val="2"/>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680" w:type="dxa"/>
            <w:vAlign w:val="bottom"/>
            <w:tcBorders>
              <w:bottom w:val="single" w:sz="8" w:color="808080"/>
            </w:tcBorders>
          </w:tcPr>
          <w:p>
            <w:pPr>
              <w:spacing w:after="0"/>
              <w:rPr>
                <w:sz w:val="12"/>
                <w:szCs w:val="12"/>
                <w:color w:val="auto"/>
              </w:rPr>
            </w:pPr>
          </w:p>
        </w:tc>
        <w:tc>
          <w:tcPr>
            <w:tcW w:w="34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040" w:type="dxa"/>
            <w:vAlign w:val="bottom"/>
            <w:tcBorders>
              <w:left w:val="single" w:sz="8" w:color="808080"/>
            </w:tcBorders>
            <w:gridSpan w:val="2"/>
          </w:tcPr>
          <w:p>
            <w:pPr>
              <w:ind w:left="20"/>
              <w:spacing w:after="0" w:line="123" w:lineRule="exact"/>
              <w:rPr>
                <w:sz w:val="20"/>
                <w:szCs w:val="20"/>
                <w:color w:val="auto"/>
              </w:rPr>
            </w:pPr>
            <w:r>
              <w:rPr>
                <w:rFonts w:ascii="Arial" w:cs="Arial" w:eastAsia="Arial" w:hAnsi="Arial"/>
                <w:sz w:val="13"/>
                <w:szCs w:val="13"/>
                <w:b w:val="1"/>
                <w:bCs w:val="1"/>
                <w:color w:val="auto"/>
              </w:rPr>
              <w:t>The Board of Directors recommends that you vote FOR   For All</w:t>
            </w:r>
          </w:p>
        </w:tc>
        <w:tc>
          <w:tcPr>
            <w:tcW w:w="90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94"/>
              </w:rPr>
              <w:t>Withhold All</w:t>
            </w:r>
          </w:p>
        </w:tc>
        <w:tc>
          <w:tcPr>
            <w:tcW w:w="680" w:type="dxa"/>
            <w:vAlign w:val="bottom"/>
          </w:tcPr>
          <w:p>
            <w:pPr>
              <w:jc w:val="center"/>
              <w:ind w:right="8"/>
              <w:spacing w:after="0" w:line="123" w:lineRule="exact"/>
              <w:rPr>
                <w:sz w:val="20"/>
                <w:szCs w:val="20"/>
                <w:color w:val="auto"/>
              </w:rPr>
            </w:pPr>
            <w:r>
              <w:rPr>
                <w:rFonts w:ascii="Arial" w:cs="Arial" w:eastAsia="Arial" w:hAnsi="Arial"/>
                <w:sz w:val="13"/>
                <w:szCs w:val="13"/>
                <w:b w:val="1"/>
                <w:bCs w:val="1"/>
                <w:color w:val="auto"/>
                <w:w w:val="97"/>
              </w:rPr>
              <w:t>For All</w:t>
            </w:r>
          </w:p>
        </w:tc>
        <w:tc>
          <w:tcPr>
            <w:tcW w:w="3520" w:type="dxa"/>
            <w:vAlign w:val="bottom"/>
            <w:tcBorders>
              <w:right w:val="single" w:sz="8" w:color="808080"/>
            </w:tcBorders>
            <w:gridSpan w:val="2"/>
          </w:tcPr>
          <w:p>
            <w:pPr>
              <w:ind w:left="80"/>
              <w:spacing w:after="0" w:line="123" w:lineRule="exact"/>
              <w:rPr>
                <w:sz w:val="20"/>
                <w:szCs w:val="20"/>
                <w:color w:val="auto"/>
              </w:rPr>
            </w:pPr>
            <w:r>
              <w:rPr>
                <w:rFonts w:ascii="Arial" w:cs="Arial" w:eastAsia="Arial" w:hAnsi="Arial"/>
                <w:sz w:val="13"/>
                <w:szCs w:val="13"/>
                <w:color w:val="auto"/>
              </w:rPr>
              <w:t>To withhold authority to vote for any individual nominee(s)</w:t>
            </w:r>
          </w:p>
        </w:tc>
        <w:tc>
          <w:tcPr>
            <w:tcW w:w="0" w:type="dxa"/>
            <w:vAlign w:val="bottom"/>
          </w:tcPr>
          <w:p>
            <w:pPr>
              <w:spacing w:after="0"/>
              <w:rPr>
                <w:sz w:val="1"/>
                <w:szCs w:val="1"/>
                <w:color w:val="auto"/>
              </w:rPr>
            </w:pPr>
          </w:p>
        </w:tc>
      </w:tr>
      <w:tr>
        <w:trPr>
          <w:trHeight w:val="151"/>
        </w:trPr>
        <w:tc>
          <w:tcPr>
            <w:tcW w:w="4040" w:type="dxa"/>
            <w:vAlign w:val="bottom"/>
            <w:tcBorders>
              <w:left w:val="single" w:sz="8" w:color="808080"/>
            </w:tcBorders>
            <w:gridSpan w:val="2"/>
          </w:tcPr>
          <w:p>
            <w:pPr>
              <w:ind w:left="20"/>
              <w:spacing w:after="0"/>
              <w:rPr>
                <w:sz w:val="20"/>
                <w:szCs w:val="20"/>
                <w:color w:val="auto"/>
              </w:rPr>
            </w:pPr>
            <w:r>
              <w:rPr>
                <w:rFonts w:ascii="Arial" w:cs="Arial" w:eastAsia="Arial" w:hAnsi="Arial"/>
                <w:sz w:val="13"/>
                <w:szCs w:val="13"/>
                <w:b w:val="1"/>
                <w:bCs w:val="1"/>
                <w:color w:val="auto"/>
              </w:rPr>
              <w:t>the following:</w:t>
            </w:r>
          </w:p>
        </w:tc>
        <w:tc>
          <w:tcPr>
            <w:tcW w:w="9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8"/>
              </w:rPr>
              <w:t>Except</w:t>
            </w:r>
          </w:p>
        </w:tc>
        <w:tc>
          <w:tcPr>
            <w:tcW w:w="3520" w:type="dxa"/>
            <w:vAlign w:val="bottom"/>
            <w:tcBorders>
              <w:right w:val="single" w:sz="8" w:color="808080"/>
            </w:tcBorders>
            <w:gridSpan w:val="2"/>
          </w:tcPr>
          <w:p>
            <w:pPr>
              <w:ind w:left="80"/>
              <w:spacing w:after="0"/>
              <w:rPr>
                <w:sz w:val="20"/>
                <w:szCs w:val="20"/>
                <w:color w:val="auto"/>
              </w:rPr>
            </w:pPr>
            <w:r>
              <w:rPr>
                <w:rFonts w:ascii="Arial" w:cs="Arial" w:eastAsia="Arial" w:hAnsi="Arial"/>
                <w:sz w:val="13"/>
                <w:szCs w:val="13"/>
                <w:color w:val="auto"/>
              </w:rPr>
              <w:t>mark “For all except” and write the number(s) of the</w:t>
            </w:r>
          </w:p>
        </w:tc>
        <w:tc>
          <w:tcPr>
            <w:tcW w:w="0" w:type="dxa"/>
            <w:vAlign w:val="bottom"/>
          </w:tcPr>
          <w:p>
            <w:pPr>
              <w:spacing w:after="0"/>
              <w:rPr>
                <w:sz w:val="1"/>
                <w:szCs w:val="1"/>
                <w:color w:val="auto"/>
              </w:rPr>
            </w:pPr>
          </w:p>
        </w:tc>
      </w:tr>
      <w:tr>
        <w:trPr>
          <w:trHeight w:val="152"/>
        </w:trPr>
        <w:tc>
          <w:tcPr>
            <w:tcW w:w="520" w:type="dxa"/>
            <w:vAlign w:val="bottom"/>
            <w:tcBorders>
              <w:left w:val="single" w:sz="8" w:color="808080"/>
            </w:tcBorders>
          </w:tcPr>
          <w:p>
            <w:pPr>
              <w:spacing w:after="0"/>
              <w:rPr>
                <w:sz w:val="13"/>
                <w:szCs w:val="13"/>
                <w:color w:val="auto"/>
              </w:rPr>
            </w:pPr>
          </w:p>
        </w:tc>
        <w:tc>
          <w:tcPr>
            <w:tcW w:w="3520" w:type="dxa"/>
            <w:vAlign w:val="bottom"/>
            <w:vMerge w:val="restart"/>
          </w:tcPr>
          <w:p>
            <w:pPr>
              <w:ind w:left="3180"/>
              <w:spacing w:after="0"/>
              <w:rPr>
                <w:sz w:val="20"/>
                <w:szCs w:val="20"/>
                <w:color w:val="auto"/>
              </w:rPr>
            </w:pPr>
            <w:r>
              <w:rPr>
                <w:rFonts w:ascii="Arial" w:cs="Arial" w:eastAsia="Arial" w:hAnsi="Arial"/>
                <w:sz w:val="18"/>
                <w:szCs w:val="18"/>
                <w:color w:val="auto"/>
              </w:rPr>
              <w:t>o</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79"/>
              </w:rPr>
              <w:t>o</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9"/>
              </w:rPr>
              <w:t>o</w:t>
            </w:r>
          </w:p>
        </w:tc>
        <w:tc>
          <w:tcPr>
            <w:tcW w:w="3520" w:type="dxa"/>
            <w:vAlign w:val="bottom"/>
            <w:tcBorders>
              <w:right w:val="single" w:sz="8" w:color="808080"/>
            </w:tcBorders>
            <w:gridSpan w:val="2"/>
          </w:tcPr>
          <w:p>
            <w:pPr>
              <w:ind w:left="80"/>
              <w:spacing w:after="0"/>
              <w:rPr>
                <w:sz w:val="20"/>
                <w:szCs w:val="20"/>
                <w:color w:val="auto"/>
              </w:rPr>
            </w:pPr>
            <w:r>
              <w:rPr>
                <w:rFonts w:ascii="Arial" w:cs="Arial" w:eastAsia="Arial" w:hAnsi="Arial"/>
                <w:sz w:val="13"/>
                <w:szCs w:val="13"/>
                <w:color w:val="auto"/>
              </w:rPr>
              <w:t>nominee(s) on the line below:</w:t>
            </w:r>
          </w:p>
        </w:tc>
        <w:tc>
          <w:tcPr>
            <w:tcW w:w="0" w:type="dxa"/>
            <w:vAlign w:val="bottom"/>
          </w:tcPr>
          <w:p>
            <w:pPr>
              <w:spacing w:after="0"/>
              <w:rPr>
                <w:sz w:val="1"/>
                <w:szCs w:val="1"/>
                <w:color w:val="auto"/>
              </w:rPr>
            </w:pPr>
          </w:p>
        </w:tc>
      </w:tr>
      <w:tr>
        <w:trPr>
          <w:trHeight w:val="185"/>
        </w:trPr>
        <w:tc>
          <w:tcPr>
            <w:tcW w:w="520" w:type="dxa"/>
            <w:vAlign w:val="bottom"/>
            <w:tcBorders>
              <w:left w:val="single" w:sz="8" w:color="808080"/>
            </w:tcBorders>
          </w:tcPr>
          <w:p>
            <w:pPr>
              <w:spacing w:after="0"/>
              <w:rPr>
                <w:sz w:val="16"/>
                <w:szCs w:val="16"/>
                <w:color w:val="auto"/>
              </w:rPr>
            </w:pPr>
          </w:p>
        </w:tc>
        <w:tc>
          <w:tcPr>
            <w:tcW w:w="35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480" w:type="dxa"/>
            <w:vAlign w:val="bottom"/>
            <w:tcBorders>
              <w:bottom w:val="single" w:sz="8" w:color="auto"/>
            </w:tcBorders>
          </w:tcPr>
          <w:p>
            <w:pPr>
              <w:spacing w:after="0"/>
              <w:rPr>
                <w:sz w:val="16"/>
                <w:szCs w:val="16"/>
                <w:color w:val="auto"/>
              </w:rPr>
            </w:pPr>
          </w:p>
        </w:tc>
        <w:tc>
          <w:tcPr>
            <w:tcW w:w="4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520" w:type="dxa"/>
            <w:vAlign w:val="bottom"/>
            <w:tcBorders>
              <w:left w:val="single" w:sz="8" w:color="808080"/>
              <w:bottom w:val="single" w:sz="8" w:color="808080"/>
            </w:tcBorders>
          </w:tcPr>
          <w:p>
            <w:pPr>
              <w:spacing w:after="0"/>
              <w:rPr>
                <w:sz w:val="12"/>
                <w:szCs w:val="12"/>
                <w:color w:val="auto"/>
              </w:rPr>
            </w:pPr>
          </w:p>
        </w:tc>
        <w:tc>
          <w:tcPr>
            <w:tcW w:w="352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680" w:type="dxa"/>
            <w:vAlign w:val="bottom"/>
            <w:tcBorders>
              <w:bottom w:val="single" w:sz="8" w:color="808080"/>
            </w:tcBorders>
          </w:tcPr>
          <w:p>
            <w:pPr>
              <w:spacing w:after="0"/>
              <w:rPr>
                <w:sz w:val="12"/>
                <w:szCs w:val="12"/>
                <w:color w:val="auto"/>
              </w:rPr>
            </w:pPr>
          </w:p>
        </w:tc>
        <w:tc>
          <w:tcPr>
            <w:tcW w:w="34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right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40" w:type="dxa"/>
            <w:vAlign w:val="bottom"/>
            <w:gridSpan w:val="2"/>
          </w:tcPr>
          <w:p>
            <w:pPr>
              <w:ind w:left="60"/>
              <w:spacing w:after="0"/>
              <w:rPr>
                <w:sz w:val="20"/>
                <w:szCs w:val="20"/>
                <w:color w:val="auto"/>
              </w:rPr>
            </w:pPr>
            <w:r>
              <w:rPr>
                <w:rFonts w:ascii="Arial" w:cs="Arial" w:eastAsia="Arial" w:hAnsi="Arial"/>
                <w:sz w:val="13"/>
                <w:szCs w:val="13"/>
                <w:color w:val="auto"/>
              </w:rPr>
              <w:t>1.  Election of Directors</w:t>
            </w: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ind w:left="320"/>
              <w:spacing w:after="0"/>
              <w:rPr>
                <w:sz w:val="20"/>
                <w:szCs w:val="20"/>
                <w:color w:val="auto"/>
              </w:rPr>
            </w:pPr>
            <w:r>
              <w:rPr>
                <w:rFonts w:ascii="Arial" w:cs="Arial" w:eastAsia="Arial" w:hAnsi="Arial"/>
                <w:sz w:val="13"/>
                <w:szCs w:val="13"/>
                <w:b w:val="1"/>
                <w:bCs w:val="1"/>
                <w:color w:val="auto"/>
              </w:rPr>
              <w:t>Nominees:</w:t>
            </w: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20" w:type="dxa"/>
            <w:vAlign w:val="bottom"/>
          </w:tcPr>
          <w:p>
            <w:pPr>
              <w:ind w:left="320"/>
              <w:spacing w:after="0"/>
              <w:rPr>
                <w:sz w:val="20"/>
                <w:szCs w:val="20"/>
                <w:color w:val="auto"/>
              </w:rPr>
            </w:pPr>
            <w:r>
              <w:rPr>
                <w:rFonts w:ascii="Arial" w:cs="Arial" w:eastAsia="Arial" w:hAnsi="Arial"/>
                <w:sz w:val="13"/>
                <w:szCs w:val="13"/>
                <w:color w:val="auto"/>
                <w:w w:val="95"/>
              </w:rPr>
              <w:t>01)</w:t>
            </w:r>
          </w:p>
        </w:tc>
        <w:tc>
          <w:tcPr>
            <w:tcW w:w="3520" w:type="dxa"/>
            <w:vAlign w:val="bottom"/>
          </w:tcPr>
          <w:p>
            <w:pPr>
              <w:spacing w:after="0"/>
              <w:rPr>
                <w:sz w:val="20"/>
                <w:szCs w:val="20"/>
                <w:color w:val="auto"/>
              </w:rPr>
            </w:pPr>
            <w:r>
              <w:rPr>
                <w:rFonts w:ascii="Arial" w:cs="Arial" w:eastAsia="Arial" w:hAnsi="Arial"/>
                <w:sz w:val="13"/>
                <w:szCs w:val="13"/>
                <w:color w:val="auto"/>
              </w:rPr>
              <w:t>Brad R. Baldwin</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ind w:left="320"/>
              <w:spacing w:after="0"/>
              <w:rPr>
                <w:sz w:val="20"/>
                <w:szCs w:val="20"/>
                <w:color w:val="auto"/>
              </w:rPr>
            </w:pPr>
            <w:r>
              <w:rPr>
                <w:rFonts w:ascii="Arial" w:cs="Arial" w:eastAsia="Arial" w:hAnsi="Arial"/>
                <w:sz w:val="13"/>
                <w:szCs w:val="13"/>
                <w:color w:val="auto"/>
                <w:w w:val="95"/>
              </w:rPr>
              <w:t>02)</w:t>
            </w:r>
          </w:p>
        </w:tc>
        <w:tc>
          <w:tcPr>
            <w:tcW w:w="3520" w:type="dxa"/>
            <w:vAlign w:val="bottom"/>
          </w:tcPr>
          <w:p>
            <w:pPr>
              <w:spacing w:after="0"/>
              <w:rPr>
                <w:sz w:val="20"/>
                <w:szCs w:val="20"/>
                <w:color w:val="auto"/>
              </w:rPr>
            </w:pPr>
            <w:r>
              <w:rPr>
                <w:rFonts w:ascii="Arial" w:cs="Arial" w:eastAsia="Arial" w:hAnsi="Arial"/>
                <w:sz w:val="13"/>
                <w:szCs w:val="13"/>
                <w:color w:val="auto"/>
              </w:rPr>
              <w:t>Zeynep “Zee” Hakimoglu</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ind w:left="320"/>
              <w:spacing w:after="0"/>
              <w:rPr>
                <w:sz w:val="20"/>
                <w:szCs w:val="20"/>
                <w:color w:val="auto"/>
              </w:rPr>
            </w:pPr>
            <w:r>
              <w:rPr>
                <w:rFonts w:ascii="Arial" w:cs="Arial" w:eastAsia="Arial" w:hAnsi="Arial"/>
                <w:sz w:val="13"/>
                <w:szCs w:val="13"/>
                <w:color w:val="auto"/>
                <w:w w:val="95"/>
              </w:rPr>
              <w:t>03)</w:t>
            </w:r>
          </w:p>
        </w:tc>
        <w:tc>
          <w:tcPr>
            <w:tcW w:w="3520" w:type="dxa"/>
            <w:vAlign w:val="bottom"/>
          </w:tcPr>
          <w:p>
            <w:pPr>
              <w:spacing w:after="0"/>
              <w:rPr>
                <w:sz w:val="20"/>
                <w:szCs w:val="20"/>
                <w:color w:val="auto"/>
              </w:rPr>
            </w:pPr>
            <w:r>
              <w:rPr>
                <w:rFonts w:ascii="Arial" w:cs="Arial" w:eastAsia="Arial" w:hAnsi="Arial"/>
                <w:sz w:val="13"/>
                <w:szCs w:val="13"/>
                <w:color w:val="auto"/>
              </w:rPr>
              <w:t>Larry R. Hendricks</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ind w:left="320"/>
              <w:spacing w:after="0"/>
              <w:rPr>
                <w:sz w:val="20"/>
                <w:szCs w:val="20"/>
                <w:color w:val="auto"/>
              </w:rPr>
            </w:pPr>
            <w:r>
              <w:rPr>
                <w:rFonts w:ascii="Arial" w:cs="Arial" w:eastAsia="Arial" w:hAnsi="Arial"/>
                <w:sz w:val="13"/>
                <w:szCs w:val="13"/>
                <w:color w:val="auto"/>
                <w:w w:val="95"/>
              </w:rPr>
              <w:t>04)</w:t>
            </w:r>
          </w:p>
        </w:tc>
        <w:tc>
          <w:tcPr>
            <w:tcW w:w="3520" w:type="dxa"/>
            <w:vAlign w:val="bottom"/>
          </w:tcPr>
          <w:p>
            <w:pPr>
              <w:spacing w:after="0"/>
              <w:rPr>
                <w:sz w:val="20"/>
                <w:szCs w:val="20"/>
                <w:color w:val="auto"/>
              </w:rPr>
            </w:pPr>
            <w:r>
              <w:rPr>
                <w:rFonts w:ascii="Arial" w:cs="Arial" w:eastAsia="Arial" w:hAnsi="Arial"/>
                <w:sz w:val="13"/>
                <w:szCs w:val="13"/>
                <w:color w:val="auto"/>
              </w:rPr>
              <w:t>Scott M. Huntsman</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0" w:type="dxa"/>
            <w:vAlign w:val="bottom"/>
          </w:tcPr>
          <w:p>
            <w:pPr>
              <w:ind w:left="320"/>
              <w:spacing w:after="0"/>
              <w:rPr>
                <w:sz w:val="20"/>
                <w:szCs w:val="20"/>
                <w:color w:val="auto"/>
              </w:rPr>
            </w:pPr>
            <w:r>
              <w:rPr>
                <w:rFonts w:ascii="Arial" w:cs="Arial" w:eastAsia="Arial" w:hAnsi="Arial"/>
                <w:sz w:val="13"/>
                <w:szCs w:val="13"/>
                <w:color w:val="auto"/>
                <w:w w:val="95"/>
              </w:rPr>
              <w:t>05)</w:t>
            </w:r>
          </w:p>
        </w:tc>
        <w:tc>
          <w:tcPr>
            <w:tcW w:w="3520" w:type="dxa"/>
            <w:vAlign w:val="bottom"/>
          </w:tcPr>
          <w:p>
            <w:pPr>
              <w:spacing w:after="0"/>
              <w:rPr>
                <w:sz w:val="20"/>
                <w:szCs w:val="20"/>
                <w:color w:val="auto"/>
              </w:rPr>
            </w:pPr>
            <w:r>
              <w:rPr>
                <w:rFonts w:ascii="Arial" w:cs="Arial" w:eastAsia="Arial" w:hAnsi="Arial"/>
                <w:sz w:val="13"/>
                <w:szCs w:val="13"/>
                <w:color w:val="auto"/>
              </w:rPr>
              <w:t>E. Bryan Bagley</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168"/>
        </w:trPr>
        <w:tc>
          <w:tcPr>
            <w:tcW w:w="6640" w:type="dxa"/>
            <w:vAlign w:val="bottom"/>
            <w:tcBorders>
              <w:top w:val="single" w:sz="8" w:color="808080"/>
              <w:left w:val="single" w:sz="8" w:color="808080"/>
            </w:tcBorders>
          </w:tcPr>
          <w:p>
            <w:pPr>
              <w:spacing w:after="0"/>
              <w:rPr>
                <w:sz w:val="14"/>
                <w:szCs w:val="14"/>
                <w:color w:val="auto"/>
              </w:rPr>
            </w:pPr>
          </w:p>
        </w:tc>
        <w:tc>
          <w:tcPr>
            <w:tcW w:w="920" w:type="dxa"/>
            <w:vAlign w:val="bottom"/>
            <w:tcBorders>
              <w:top w:val="single" w:sz="8" w:color="808080"/>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1120" w:type="dxa"/>
            <w:vAlign w:val="bottom"/>
            <w:tcBorders>
              <w:top w:val="single" w:sz="8" w:color="808080"/>
            </w:tcBorders>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820" w:type="dxa"/>
            <w:vAlign w:val="bottom"/>
            <w:tcBorders>
              <w:top w:val="single" w:sz="8" w:color="808080"/>
              <w:right w:val="single" w:sz="8" w:color="808080"/>
            </w:tcBorders>
          </w:tcPr>
          <w:p>
            <w:pPr>
              <w:jc w:val="center"/>
              <w:ind w:left="203"/>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409"/>
        </w:trPr>
        <w:tc>
          <w:tcPr>
            <w:tcW w:w="6640" w:type="dxa"/>
            <w:vAlign w:val="bottom"/>
            <w:tcBorders>
              <w:left w:val="single" w:sz="8" w:color="808080"/>
            </w:tcBorders>
          </w:tcPr>
          <w:p>
            <w:pPr>
              <w:ind w:left="20"/>
              <w:spacing w:after="0"/>
              <w:rPr>
                <w:sz w:val="20"/>
                <w:szCs w:val="20"/>
                <w:color w:val="auto"/>
              </w:rPr>
            </w:pPr>
            <w:r>
              <w:rPr>
                <w:rFonts w:ascii="Arial" w:cs="Arial" w:eastAsia="Arial" w:hAnsi="Arial"/>
                <w:sz w:val="13"/>
                <w:szCs w:val="13"/>
                <w:color w:val="auto"/>
              </w:rPr>
              <w:t>2.   Ratify the appointment of McGladrey LLP as the Company’s independent public accountants for 2012</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820" w:type="dxa"/>
            <w:vAlign w:val="bottom"/>
            <w:tcBorders>
              <w:right w:val="single" w:sz="8" w:color="808080"/>
            </w:tcBorders>
          </w:tcPr>
          <w:p>
            <w:pPr>
              <w:jc w:val="center"/>
              <w:ind w:left="203"/>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r>
        <w:trPr>
          <w:trHeight w:val="37"/>
        </w:trPr>
        <w:tc>
          <w:tcPr>
            <w:tcW w:w="6640" w:type="dxa"/>
            <w:vAlign w:val="bottom"/>
            <w:tcBorders>
              <w:left w:val="single" w:sz="8" w:color="808080"/>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82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507"/>
        </w:trPr>
        <w:tc>
          <w:tcPr>
            <w:tcW w:w="66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640" w:type="dxa"/>
            <w:vAlign w:val="bottom"/>
            <w:tcBorders>
              <w:left w:val="single" w:sz="8" w:color="808080"/>
            </w:tcBorders>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820" w:type="dxa"/>
            <w:vAlign w:val="bottom"/>
            <w:tcBorders>
              <w:right w:val="single" w:sz="8" w:color="808080"/>
            </w:tcBorders>
          </w:tcPr>
          <w:p>
            <w:pPr>
              <w:jc w:val="center"/>
              <w:ind w:left="203"/>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295"/>
        </w:trPr>
        <w:tc>
          <w:tcPr>
            <w:tcW w:w="6640" w:type="dxa"/>
            <w:vAlign w:val="bottom"/>
            <w:tcBorders>
              <w:left w:val="single" w:sz="8" w:color="808080"/>
            </w:tcBorders>
          </w:tcPr>
          <w:p>
            <w:pPr>
              <w:ind w:left="100"/>
              <w:spacing w:after="0"/>
              <w:rPr>
                <w:sz w:val="20"/>
                <w:szCs w:val="20"/>
                <w:color w:val="auto"/>
              </w:rPr>
            </w:pPr>
            <w:r>
              <w:rPr>
                <w:rFonts w:ascii="Arial" w:cs="Arial" w:eastAsia="Arial" w:hAnsi="Arial"/>
                <w:sz w:val="13"/>
                <w:szCs w:val="13"/>
                <w:color w:val="auto"/>
              </w:rPr>
              <w:t>3.  Amend the Articles of Incorporation to change the name of the company from “ClearOne Communications,</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79"/>
              </w:rPr>
              <w:t>o</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o</w:t>
            </w:r>
          </w:p>
        </w:tc>
        <w:tc>
          <w:tcPr>
            <w:tcW w:w="820" w:type="dxa"/>
            <w:vAlign w:val="bottom"/>
            <w:tcBorders>
              <w:right w:val="single" w:sz="8" w:color="808080"/>
            </w:tcBorders>
            <w:vMerge w:val="restart"/>
          </w:tcPr>
          <w:p>
            <w:pPr>
              <w:jc w:val="center"/>
              <w:ind w:left="203"/>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r>
        <w:trPr>
          <w:trHeight w:val="114"/>
        </w:trPr>
        <w:tc>
          <w:tcPr>
            <w:tcW w:w="6640" w:type="dxa"/>
            <w:vAlign w:val="bottom"/>
            <w:tcBorders>
              <w:left w:val="single" w:sz="8" w:color="808080"/>
            </w:tcBorders>
            <w:vMerge w:val="restart"/>
          </w:tcPr>
          <w:p>
            <w:pPr>
              <w:ind w:left="360"/>
              <w:spacing w:after="0"/>
              <w:rPr>
                <w:sz w:val="20"/>
                <w:szCs w:val="20"/>
                <w:color w:val="auto"/>
              </w:rPr>
            </w:pPr>
            <w:r>
              <w:rPr>
                <w:rFonts w:ascii="Arial" w:cs="Arial" w:eastAsia="Arial" w:hAnsi="Arial"/>
                <w:sz w:val="13"/>
                <w:szCs w:val="13"/>
                <w:color w:val="auto"/>
              </w:rPr>
              <w:t>Inc.” to “ClearOne, Inc.”.</w:t>
            </w:r>
          </w:p>
        </w:tc>
        <w:tc>
          <w:tcPr>
            <w:tcW w:w="9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tcBorders>
              <w:right w:val="single" w:sz="8" w:color="808080"/>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6640" w:type="dxa"/>
            <w:vAlign w:val="bottom"/>
            <w:tcBorders>
              <w:left w:val="single" w:sz="8" w:color="808080"/>
              <w:bottom w:val="single" w:sz="8" w:color="808080"/>
            </w:tcBorders>
            <w:vMerge w:val="continue"/>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13"/>
          <w:szCs w:val="13"/>
          <w:color w:val="auto"/>
        </w:rPr>
        <w:t>Note: Such other business as may properly come before the Annual Meeting.</w:t>
      </w:r>
    </w:p>
    <w:p>
      <w:pPr>
        <w:spacing w:after="0" w:line="229" w:lineRule="exact"/>
        <w:rPr>
          <w:sz w:val="20"/>
          <w:szCs w:val="20"/>
          <w:color w:val="auto"/>
        </w:rPr>
      </w:pPr>
    </w:p>
    <w:p>
      <w:pPr>
        <w:ind w:right="1959"/>
        <w:spacing w:after="0" w:line="230" w:lineRule="auto"/>
        <w:rPr>
          <w:sz w:val="20"/>
          <w:szCs w:val="20"/>
          <w:color w:val="auto"/>
        </w:rPr>
      </w:pPr>
      <w:r>
        <w:rPr>
          <w:rFonts w:ascii="Arial" w:cs="Arial" w:eastAsia="Arial" w:hAnsi="Arial"/>
          <w:sz w:val="13"/>
          <w:szCs w:val="13"/>
          <w:color w:val="auto"/>
        </w:rPr>
        <w:t>THIS PROXY WILL BE VOTED AS DIRECTED OR, IF NO CONTRARY DIRECTION IS INDICATED, WILL BE VOTED FOR ALL DIRECTORS SET FORTH HEREIN, AND AS SAID PROXIES DEEM ADVISABLE ON SUCH OTHER MATTERS AS MAY COME BEFORE THE MEETING.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600" w:type="dxa"/>
            <w:vAlign w:val="bottom"/>
          </w:tcPr>
          <w:p>
            <w:pPr>
              <w:spacing w:after="0"/>
              <w:rPr>
                <w:sz w:val="20"/>
                <w:szCs w:val="20"/>
                <w:color w:val="auto"/>
              </w:rPr>
            </w:pPr>
            <w:r>
              <w:rPr>
                <w:rFonts w:ascii="Arial" w:cs="Arial" w:eastAsia="Arial" w:hAnsi="Arial"/>
                <w:sz w:val="13"/>
                <w:szCs w:val="13"/>
                <w:color w:val="auto"/>
              </w:rPr>
              <w:t>For address changes and/or comments, please check this box and write them on the back where</w:t>
            </w:r>
          </w:p>
        </w:tc>
        <w:tc>
          <w:tcPr>
            <w:tcW w:w="320" w:type="dxa"/>
            <w:vAlign w:val="bottom"/>
            <w:vMerge w:val="restart"/>
          </w:tcPr>
          <w:p>
            <w:pPr>
              <w:ind w:left="220"/>
              <w:spacing w:after="0"/>
              <w:rPr>
                <w:sz w:val="20"/>
                <w:szCs w:val="20"/>
                <w:color w:val="auto"/>
              </w:rPr>
            </w:pPr>
            <w:r>
              <w:rPr>
                <w:rFonts w:ascii="Arial" w:cs="Arial" w:eastAsia="Arial" w:hAnsi="Arial"/>
                <w:sz w:val="19"/>
                <w:szCs w:val="19"/>
                <w:color w:val="auto"/>
                <w:w w:val="75"/>
              </w:rPr>
              <w:t>o</w:t>
            </w:r>
          </w:p>
        </w:tc>
        <w:tc>
          <w:tcPr>
            <w:tcW w:w="0" w:type="dxa"/>
            <w:vAlign w:val="bottom"/>
          </w:tcPr>
          <w:p>
            <w:pPr>
              <w:spacing w:after="0"/>
              <w:rPr>
                <w:sz w:val="1"/>
                <w:szCs w:val="1"/>
                <w:color w:val="auto"/>
              </w:rPr>
            </w:pPr>
          </w:p>
        </w:tc>
      </w:tr>
      <w:tr>
        <w:trPr>
          <w:trHeight w:val="152"/>
        </w:trPr>
        <w:tc>
          <w:tcPr>
            <w:tcW w:w="5600" w:type="dxa"/>
            <w:vAlign w:val="bottom"/>
          </w:tcPr>
          <w:p>
            <w:pPr>
              <w:spacing w:after="0"/>
              <w:rPr>
                <w:sz w:val="20"/>
                <w:szCs w:val="20"/>
                <w:color w:val="auto"/>
              </w:rPr>
            </w:pPr>
            <w:r>
              <w:rPr>
                <w:rFonts w:ascii="Arial" w:cs="Arial" w:eastAsia="Arial" w:hAnsi="Arial"/>
                <w:sz w:val="13"/>
                <w:szCs w:val="13"/>
                <w:color w:val="auto"/>
              </w:rPr>
              <w:t>indicated</w:t>
            </w: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60" w:type="dxa"/>
            <w:vAlign w:val="bottom"/>
          </w:tcPr>
          <w:p>
            <w:pPr>
              <w:spacing w:after="0"/>
              <w:rPr>
                <w:sz w:val="20"/>
                <w:szCs w:val="20"/>
                <w:color w:val="auto"/>
              </w:rPr>
            </w:pPr>
            <w:r>
              <w:rPr>
                <w:rFonts w:ascii="Arial" w:cs="Arial" w:eastAsia="Arial" w:hAnsi="Arial"/>
                <w:sz w:val="13"/>
                <w:szCs w:val="13"/>
                <w:color w:val="auto"/>
              </w:rPr>
              <w:t>Please indicate if you plan to attend this meeting</w:t>
            </w:r>
          </w:p>
        </w:tc>
        <w:tc>
          <w:tcPr>
            <w:tcW w:w="380" w:type="dxa"/>
            <w:vAlign w:val="bottom"/>
            <w:vMerge w:val="restart"/>
          </w:tcPr>
          <w:p>
            <w:pPr>
              <w:ind w:left="260"/>
              <w:spacing w:after="0"/>
              <w:rPr>
                <w:sz w:val="20"/>
                <w:szCs w:val="20"/>
                <w:color w:val="auto"/>
              </w:rPr>
            </w:pPr>
            <w:r>
              <w:rPr>
                <w:rFonts w:ascii="Arial" w:cs="Arial" w:eastAsia="Arial" w:hAnsi="Arial"/>
                <w:sz w:val="22"/>
                <w:szCs w:val="22"/>
                <w:color w:val="auto"/>
                <w:w w:val="81"/>
              </w:rPr>
              <w:t>o</w:t>
            </w:r>
          </w:p>
        </w:tc>
        <w:tc>
          <w:tcPr>
            <w:tcW w:w="0" w:type="dxa"/>
            <w:vAlign w:val="bottom"/>
          </w:tcPr>
          <w:p>
            <w:pPr>
              <w:spacing w:after="0"/>
              <w:rPr>
                <w:sz w:val="1"/>
                <w:szCs w:val="1"/>
                <w:color w:val="auto"/>
              </w:rPr>
            </w:pPr>
          </w:p>
        </w:tc>
      </w:tr>
      <w:tr>
        <w:trPr>
          <w:trHeight w:val="107"/>
        </w:trPr>
        <w:tc>
          <w:tcPr>
            <w:tcW w:w="29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2039"/>
        <w:spacing w:after="0" w:line="225"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154940</wp:posOffset>
            </wp:positionV>
            <wp:extent cx="5123815" cy="509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23815" cy="509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tabs>
          <w:tab w:leader="none" w:pos="3200" w:val="left"/>
          <w:tab w:leader="none" w:pos="4600" w:val="left"/>
          <w:tab w:leader="none" w:pos="714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1023620</wp:posOffset>
            </wp:positionV>
            <wp:extent cx="5351145" cy="85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140" w:right="1440" w:bottom="1440" w:gutter="0" w:footer="0" w:header="0"/>
        </w:sectPr>
      </w:pPr>
    </w:p>
    <w:bookmarkStart w:id="29" w:name="page30"/>
    <w:bookmarkEnd w:id="29"/>
    <w:p>
      <w:pPr>
        <w:jc w:val="center"/>
        <w:ind w:right="1779"/>
        <w:spacing w:after="0"/>
        <w:rPr>
          <w:sz w:val="20"/>
          <w:szCs w:val="20"/>
          <w:color w:val="auto"/>
        </w:rPr>
      </w:pPr>
      <w:r>
        <w:rPr>
          <w:rFonts w:ascii="Arial" w:cs="Arial" w:eastAsia="Arial" w:hAnsi="Arial"/>
          <w:sz w:val="16"/>
          <w:szCs w:val="16"/>
          <w:b w:val="1"/>
          <w:bCs w:val="1"/>
          <w:color w:val="auto"/>
        </w:rPr>
        <w:t>CLEARONE COMMUNICATIONS, INC.</w:t>
      </w:r>
    </w:p>
    <w:p>
      <w:pPr>
        <w:spacing w:after="0" w:line="25" w:lineRule="exact"/>
        <w:rPr>
          <w:sz w:val="20"/>
          <w:szCs w:val="20"/>
          <w:color w:val="auto"/>
        </w:rPr>
      </w:pPr>
    </w:p>
    <w:p>
      <w:pPr>
        <w:jc w:val="center"/>
        <w:ind w:right="1779"/>
        <w:spacing w:after="0"/>
        <w:rPr>
          <w:sz w:val="20"/>
          <w:szCs w:val="20"/>
          <w:color w:val="auto"/>
        </w:rPr>
      </w:pPr>
      <w:r>
        <w:rPr>
          <w:rFonts w:ascii="Arial" w:cs="Arial" w:eastAsia="Arial" w:hAnsi="Arial"/>
          <w:sz w:val="16"/>
          <w:szCs w:val="16"/>
          <w:b w:val="1"/>
          <w:bCs w:val="1"/>
          <w:color w:val="auto"/>
        </w:rPr>
        <w:t>Proxy for Annual Meeting of Shareholders</w:t>
      </w:r>
    </w:p>
    <w:p>
      <w:pPr>
        <w:spacing w:after="0" w:line="5" w:lineRule="exact"/>
        <w:rPr>
          <w:sz w:val="20"/>
          <w:szCs w:val="20"/>
          <w:color w:val="auto"/>
        </w:rPr>
      </w:pPr>
    </w:p>
    <w:p>
      <w:pPr>
        <w:jc w:val="center"/>
        <w:ind w:right="1779"/>
        <w:spacing w:after="0"/>
        <w:rPr>
          <w:sz w:val="20"/>
          <w:szCs w:val="20"/>
          <w:color w:val="auto"/>
        </w:rPr>
      </w:pPr>
      <w:r>
        <w:rPr>
          <w:rFonts w:ascii="Arial" w:cs="Arial" w:eastAsia="Arial" w:hAnsi="Arial"/>
          <w:sz w:val="16"/>
          <w:szCs w:val="16"/>
          <w:b w:val="1"/>
          <w:bCs w:val="1"/>
          <w:color w:val="auto"/>
        </w:rPr>
        <w:t>November 5, 2012</w:t>
      </w:r>
    </w:p>
    <w:p>
      <w:pPr>
        <w:spacing w:after="0" w:line="228"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THIS PROXY IS SOLICITED ON BEHALF OF THE BOARD OF DIRECTORS</w:t>
      </w:r>
    </w:p>
    <w:p>
      <w:pPr>
        <w:spacing w:after="0" w:line="271" w:lineRule="exact"/>
        <w:rPr>
          <w:sz w:val="20"/>
          <w:szCs w:val="20"/>
          <w:color w:val="auto"/>
        </w:rPr>
      </w:pPr>
    </w:p>
    <w:p>
      <w:pPr>
        <w:ind w:right="1879" w:firstLine="648"/>
        <w:spacing w:after="0" w:line="244" w:lineRule="auto"/>
        <w:rPr>
          <w:sz w:val="20"/>
          <w:szCs w:val="20"/>
          <w:color w:val="auto"/>
        </w:rPr>
      </w:pPr>
      <w:r>
        <w:rPr>
          <w:rFonts w:ascii="Arial" w:cs="Arial" w:eastAsia="Arial" w:hAnsi="Arial"/>
          <w:sz w:val="14"/>
          <w:szCs w:val="14"/>
          <w:color w:val="auto"/>
        </w:rPr>
        <w:t>The undersigned shareholder of ClearOne Communications, Inc., a Utah corporation (the “Company”), hereby acknowledges receipt of the Notice of Annual Meeting of Shareholders and Proxy Statement, each dated October 3, 2012, and hereby appoints Zeynep Hakimoglu and Narsi Narayanan, proxies and attorneys-in-fact, with full power to each of substitution in behalf of and in the name of the undersigned, to represent the undersigned at the Annual Meeting of Shareholders to be held on November 5, 2012, at 9:00 a.m., MST, at the Company’s corporate offices, 5225 Wiley Post Way, Suite 500, Salt Lake City, Utah 84116, and at any postponement or adjournment thereof, and to vote all shares of Common Stock which the undersigned would be entitled to vote, if then and there personally present, on the matters set forth on the reverse side.</w:t>
      </w:r>
    </w:p>
    <w:p>
      <w:pPr>
        <w:spacing w:after="0" w:line="232" w:lineRule="exact"/>
        <w:rPr>
          <w:sz w:val="20"/>
          <w:szCs w:val="20"/>
          <w:color w:val="auto"/>
        </w:rPr>
      </w:pPr>
    </w:p>
    <w:p>
      <w:pPr>
        <w:ind w:right="2039" w:firstLine="648"/>
        <w:spacing w:after="0" w:line="247" w:lineRule="auto"/>
        <w:rPr>
          <w:sz w:val="20"/>
          <w:szCs w:val="20"/>
          <w:color w:val="auto"/>
        </w:rPr>
      </w:pPr>
      <w:r>
        <w:rPr>
          <w:rFonts w:ascii="Arial" w:cs="Arial" w:eastAsia="Arial" w:hAnsi="Arial"/>
          <w:sz w:val="14"/>
          <w:szCs w:val="14"/>
          <w:color w:val="auto"/>
        </w:rPr>
        <w:t>A majority of such attorneys or substitutes as shall be present and shall act at said meeting or any postponement or adjournment thereof (or, if only one shall be present and act, then that one) shall have and may exercise all the powers of said attorneys-in-fact hereunder. In addition to the following proposals, the proxies are authorized to vote upon such other matters as may properly come before the meeting or any postponement or adjournment thereof.</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Changes /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5441315" cy="4502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41315" cy="45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(If you noted any Address Changes and/or Comments above, please mark corresponding box on the reverse side.)</w:t>
      </w:r>
    </w:p>
    <w:sectPr>
      <w:pgSz w:w="11900" w:h="16838" w:orient="portrait"/>
      <w:cols w:equalWidth="0" w:num="1">
        <w:col w:w="10219"/>
      </w:cols>
      <w:pgMar w:left="240" w:top="3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o"/>
      <w:numFmt w:val="bullet"/>
      <w:start w:val="1"/>
    </w:lvl>
  </w:abstractNum>
  <w:abstractNum w:abstractNumId="1">
    <w:nsid w:val="4DB127F8"/>
    <w:multiLevelType w:val="hybridMultilevel"/>
    <w:lvl w:ilvl="0">
      <w:lvlJc w:val="left"/>
      <w:lvlText w:val="x"/>
      <w:numFmt w:val="bullet"/>
      <w:start w:val="1"/>
    </w:lvl>
  </w:abstractNum>
  <w:abstractNum w:abstractNumId="2">
    <w:nsid w:val="216231B"/>
    <w:multiLevelType w:val="hybridMultilevel"/>
    <w:lvl w:ilvl="0">
      <w:lvlJc w:val="left"/>
      <w:lvlText w:val="o"/>
      <w:numFmt w:val="bullet"/>
      <w:start w:val="1"/>
    </w:lvl>
    <w:lvl w:ilvl="1">
      <w:lvlJc w:val="left"/>
      <w:lvlText w:val="%2)"/>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lvl w:ilvl="1">
      <w:lvlJc w:val="left"/>
      <w:lvlText w:val="(%2)"/>
      <w:numFmt w:val="decimal"/>
      <w:start w:val="1"/>
    </w:lvl>
  </w:abstractNum>
  <w:abstractNum w:abstractNumId="7">
    <w:nsid w:val="3352255A"/>
    <w:multiLevelType w:val="hybridMultilevel"/>
    <w:lvl w:ilvl="0">
      <w:lvlJc w:val="left"/>
      <w:lvlText w:val="(%1)"/>
      <w:numFmt w:val="decimal"/>
      <w:start w:val="2"/>
    </w:lvl>
    <w:lvl w:ilvl="1">
      <w:lvlJc w:val="left"/>
      <w:lvlText w:val="%2"/>
      <w:numFmt w:val="decimal"/>
      <w:start w:val="1"/>
    </w:lvl>
  </w:abstractNum>
  <w:abstractNum w:abstractNumId="8">
    <w:nsid w:val="109CF92E"/>
    <w:multiLevelType w:val="hybridMultilevel"/>
    <w:lvl w:ilvl="0">
      <w:lvlJc w:val="left"/>
      <w:lvlText w:val="(%1)"/>
      <w:numFmt w:val="decimal"/>
      <w:start w:val="3"/>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lowerRoman"/>
      <w:start w:val="1"/>
    </w:lvl>
  </w:abstractNum>
  <w:abstractNum w:abstractNumId="12">
    <w:nsid w:val="41A7C4C9"/>
    <w:multiLevelType w:val="hybridMultilevel"/>
    <w:lvl w:ilvl="0">
      <w:lvlJc w:val="left"/>
      <w:lvlText w:val="(%1)"/>
      <w:numFmt w:val="decimal"/>
      <w:start w:val="1"/>
    </w:lvl>
    <w:lvl w:ilvl="1">
      <w:lvlJc w:val="left"/>
      <w:lvlText w:val="(%2)"/>
      <w:numFmt w:val="decimal"/>
      <w:start w:val="3"/>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decimal"/>
      <w:start w:val="1"/>
    </w:lvl>
  </w:abstractNum>
  <w:abstractNum w:abstractNumId="15">
    <w:nsid w:val="25E45D32"/>
    <w:multiLevelType w:val="hybridMultilevel"/>
    <w:lvl w:ilvl="0">
      <w:lvlJc w:val="left"/>
      <w:lvlText w:val="(%1)"/>
      <w:numFmt w:val="decimal"/>
      <w:start w:val="2"/>
    </w:lvl>
    <w:lvl w:ilvl="1">
      <w:lvlJc w:val="left"/>
      <w:lvlText w:val="%2"/>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2019-12-09T10:16:18Z</dcterms:created>
  <dcterms:modified xsi:type="dcterms:W3CDTF">2019-12-09T10:16:18Z</dcterms:modified>
</cp:coreProperties>
</file>