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8-K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 PURSUANT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TO SECTION 13 OR 15(D) OF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21"/>
          <w:szCs w:val="21"/>
          <w:b w:val="1"/>
          <w:bCs w:val="1"/>
          <w:u w:val="single" w:color="auto"/>
          <w:color w:val="auto"/>
        </w:rPr>
        <w:t>July 30, 2012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(Exact Name of Registrant as Specified in Its Charter)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Utah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(State or Other Jurisdiction of Incorporation)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20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2"/>
        </w:trPr>
        <w:tc>
          <w:tcPr>
            <w:tcW w:w="2900" w:type="dxa"/>
            <w:vAlign w:val="bottom"/>
            <w:tcBorders>
              <w:top w:val="single" w:sz="8" w:color="808080"/>
              <w:left w:val="single" w:sz="8" w:color="808080"/>
            </w:tcBorders>
            <w:gridSpan w:val="3"/>
          </w:tcPr>
          <w:p>
            <w:pPr>
              <w:jc w:val="center"/>
              <w:ind w:left="20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001-33660</w:t>
            </w: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808080"/>
              <w:right w:val="single" w:sz="8" w:color="808080"/>
            </w:tcBorders>
            <w:gridSpan w:val="5"/>
          </w:tcPr>
          <w:p>
            <w:pPr>
              <w:jc w:val="right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87-0398877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tcBorders>
              <w:lef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8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20" w:type="dxa"/>
            <w:vAlign w:val="bottom"/>
            <w:gridSpan w:val="6"/>
          </w:tcPr>
          <w:p>
            <w:pPr>
              <w:jc w:val="center"/>
              <w:ind w:righ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(Commission File Number)</w:t>
            </w:r>
          </w:p>
        </w:tc>
        <w:tc>
          <w:tcPr>
            <w:tcW w:w="1940" w:type="dxa"/>
            <w:vAlign w:val="bottom"/>
            <w:tcBorders>
              <w:right w:val="single" w:sz="8" w:color="808080"/>
            </w:tcBorders>
            <w:gridSpan w:val="5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(I.R.S. employer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8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808080"/>
            </w:tcBorders>
            <w:gridSpan w:val="5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identification number)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7"/>
        </w:trPr>
        <w:tc>
          <w:tcPr>
            <w:tcW w:w="48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5225 Wiley Post Way, Suite 500, Salt Lake City, Utah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3"/>
              </w:rPr>
              <w:t>84116</w:t>
            </w:r>
          </w:p>
        </w:tc>
        <w:tc>
          <w:tcPr>
            <w:tcW w:w="6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8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tcBorders>
              <w:lef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80808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8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  <w:gridSpan w:val="6"/>
          </w:tcPr>
          <w:p>
            <w:pPr>
              <w:jc w:val="center"/>
              <w:ind w:righ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Address of principal executive offices)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808080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 Code)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80" w:type="dxa"/>
            <w:vAlign w:val="bottom"/>
            <w:tcBorders>
              <w:left w:val="single" w:sz="8" w:color="808080"/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2"/>
        </w:trPr>
        <w:tc>
          <w:tcPr>
            <w:tcW w:w="4280" w:type="dxa"/>
            <w:vAlign w:val="bottom"/>
            <w:gridSpan w:val="5"/>
          </w:tcPr>
          <w:p>
            <w:pPr>
              <w:jc w:val="center"/>
              <w:ind w:left="30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(801) 975-7200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(Registrant’s Telephone Number, Including Area Code)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4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Not applicable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(Former Name or Former Address, if Changed Since Last Report)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Written communications pursuant to Rule 425 under the Securities Act (17 CFR 230.425)</w:t>
            </w:r>
          </w:p>
        </w:tc>
      </w:tr>
      <w:tr>
        <w:trPr>
          <w:trHeight w:val="21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Soliciting material pursuant to Rule 14a-12 under the Exchange Act (17 CFR 240.14a-12)</w:t>
            </w:r>
          </w:p>
        </w:tc>
      </w:tr>
      <w:tr>
        <w:trPr>
          <w:trHeight w:val="21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[</w:t>
            </w:r>
          </w:p>
        </w:tc>
        <w:tc>
          <w:tcPr>
            <w:tcW w:w="8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] Pre-commencement communications pursuant to Rule 14d-2(b) under the Exchange Act (17 CFR 240.14d-2(b))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[</w:t>
            </w:r>
          </w:p>
        </w:tc>
        <w:tc>
          <w:tcPr>
            <w:tcW w:w="8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] Pre-commencement communication pursuant to Rule 13e-4(c) under the Exchange Act (17 CFR 240.13e-4(c))</w:t>
            </w:r>
          </w:p>
        </w:tc>
      </w:tr>
      <w:tr>
        <w:trPr>
          <w:trHeight w:val="432"/>
        </w:trPr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Item 8.01.</w:t>
            </w:r>
          </w:p>
        </w:tc>
        <w:tc>
          <w:tcPr>
            <w:tcW w:w="7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Other Events.</w:t>
            </w:r>
          </w:p>
        </w:tc>
      </w:tr>
    </w:tbl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May 16, 2012 the Board of Directors of ClearOne Communications, Inc. (the “Board”) had authorized a stock buy-back program to acquire up to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right="60"/>
        <w:spacing w:after="0" w:line="2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$2,000,000 in the Company’s common stock during the next twelve months. On July 30, 2012 the Board authorized to increase the amount available for the stock buy-back program from $2,000,000 to $3,000,000. All purchases will be executed in accordance with applicable federal securities laws.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117475</wp:posOffset>
            </wp:positionV>
            <wp:extent cx="5497195" cy="1269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195" cy="1269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left="3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CLEARONE COMMUNICATIONS, INC.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8" w:lineRule="exact"/>
        <w:rPr>
          <w:sz w:val="24"/>
          <w:szCs w:val="24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August 13, 2012</w:t>
            </w:r>
          </w:p>
        </w:tc>
        <w:tc>
          <w:tcPr>
            <w:tcW w:w="14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/s/ Narsi Narayanan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Narsi Narayanan</w:t>
            </w:r>
          </w:p>
        </w:tc>
      </w:tr>
      <w:tr>
        <w:trPr>
          <w:trHeight w:val="24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Vice President of Finance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sectPr>
      <w:pgSz w:w="11900" w:h="16838" w:orient="portrait"/>
      <w:cols w:equalWidth="0" w:num="1">
        <w:col w:w="11300"/>
      </w:cols>
      <w:pgMar w:left="240" w:top="220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2019-12-09T09:41:24Z</dcterms:created>
  <dcterms:modified xsi:type="dcterms:W3CDTF">2019-12-09T09:41:24Z</dcterms:modified>
</cp:coreProperties>
</file>