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1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$.001 PER SHARE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00037245J1</w:t>
      </w:r>
    </w:p>
    <w:p>
      <w:pPr>
        <w:jc w:val="center"/>
        <w:ind w:right="177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July 16, 1998</w:t>
      </w:r>
    </w:p>
    <w:p>
      <w:pPr>
        <w:jc w:val="center"/>
        <w:ind w:right="16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ind w:left="960"/>
        <w:spacing w:after="0"/>
        <w:tabs>
          <w:tab w:leader="none" w:pos="2100" w:val="left"/>
        </w:tabs>
        <w:rPr>
          <w:sz w:val="20"/>
          <w:szCs w:val="20"/>
          <w:color w:val="auto"/>
        </w:rPr>
      </w:pPr>
      <w:r>
        <w:rPr>
          <w:rFonts w:ascii="Courier New" w:cs="Courier New" w:eastAsia="Courier New" w:hAnsi="Courier New"/>
          <w:sz w:val="18"/>
          <w:szCs w:val="18"/>
          <w:color w:val="auto"/>
        </w:rPr>
        <w:t>Check the</w:t>
      </w:r>
      <w:r>
        <w:rPr>
          <w:sz w:val="20"/>
          <w:szCs w:val="20"/>
          <w:color w:val="auto"/>
        </w:rPr>
        <w:tab/>
      </w:r>
      <w:r>
        <w:rPr>
          <w:rFonts w:ascii="Courier New" w:cs="Courier New" w:eastAsia="Courier New" w:hAnsi="Courier New"/>
          <w:sz w:val="16"/>
          <w:szCs w:val="16"/>
          <w:color w:val="auto"/>
        </w:rPr>
        <w:t>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960" w:right="7479" w:hanging="4"/>
        <w:spacing w:after="0" w:line="536" w:lineRule="auto"/>
        <w:tabs>
          <w:tab w:leader="none" w:pos="117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1160" w:hanging="204"/>
        <w:spacing w:after="0"/>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sz w:val="24"/>
          <w:szCs w:val="24"/>
          <w:color w:val="auto"/>
        </w:rPr>
      </w:pPr>
    </w:p>
    <w:p>
      <w:pPr>
        <w:spacing w:after="0" w:line="209"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244" w:right="1440" w:bottom="0" w:gutter="0" w:footer="0" w:header="0"/>
        </w:sectPr>
      </w:pP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732813-10-0</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00"/>
        <w:spacing w:after="0"/>
        <w:tabs>
          <w:tab w:leader="none" w:pos="920" w:val="left"/>
          <w:tab w:leader="none" w:pos="1340" w:val="left"/>
          <w:tab w:leader="none" w:pos="1980" w:val="left"/>
          <w:tab w:leader="none" w:pos="230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6"/>
          <w:szCs w:val="16"/>
          <w:color w:val="auto"/>
        </w:rPr>
        <w:t>Pages</w:t>
      </w:r>
    </w:p>
    <w:p>
      <w:pPr>
        <w:ind w:left="620"/>
        <w:spacing w:after="0" w:line="238" w:lineRule="auto"/>
        <w:tabs>
          <w:tab w:leader="none" w:pos="16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140" w:space="720"/>
            <w:col w:w="5359"/>
          </w:cols>
          <w:pgMar w:left="240" w:top="244" w:right="1440" w:bottom="0" w:gutter="0" w:footer="0" w:header="0"/>
          <w:type w:val="continuous"/>
        </w:sectPr>
      </w:pPr>
    </w:p>
    <w:p>
      <w:pPr>
        <w:spacing w:after="0" w:line="2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Stephen Watson</w:t>
      </w:r>
    </w:p>
    <w:p>
      <w:pPr>
        <w:spacing w:after="0" w:line="201" w:lineRule="exact"/>
        <w:rPr>
          <w:sz w:val="24"/>
          <w:szCs w:val="24"/>
          <w:color w:val="auto"/>
        </w:rPr>
      </w:pPr>
    </w:p>
    <w:p>
      <w:pPr>
        <w:ind w:left="1160" w:hanging="520"/>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right"/>
        <w:ind w:left="220" w:right="177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(a) |_| (b) |_|</w:t>
      </w:r>
    </w:p>
    <w:p>
      <w:pPr>
        <w:spacing w:after="0" w:line="6"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U.S.</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spacing w:after="0" w:line="202" w:lineRule="exact"/>
        <w:rPr>
          <w:sz w:val="24"/>
          <w:szCs w:val="24"/>
          <w:color w:val="auto"/>
        </w:rPr>
      </w:pPr>
    </w:p>
    <w:tbl>
      <w:tblPr>
        <w:tblLayout w:type="fixed"/>
        <w:tblInd w:w="420" w:type="dxa"/>
        <w:tblCellMar>
          <w:top w:w="0" w:type="dxa"/>
          <w:left w:w="0" w:type="dxa"/>
          <w:bottom w:w="0" w:type="dxa"/>
          <w:right w:w="0" w:type="dxa"/>
        </w:tblCellMar>
      </w:tblPr>
      <w:tr>
        <w:trPr>
          <w:trHeight w:val="204"/>
        </w:trPr>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NUMBER OF</w:t>
            </w:r>
          </w:p>
        </w:tc>
        <w:tc>
          <w:tcPr>
            <w:tcW w:w="840" w:type="dxa"/>
            <w:vAlign w:val="bottom"/>
          </w:tcPr>
          <w:p>
            <w:pPr>
              <w:spacing w:after="0"/>
              <w:rPr>
                <w:sz w:val="17"/>
                <w:szCs w:val="17"/>
                <w:color w:val="auto"/>
              </w:rPr>
            </w:pPr>
          </w:p>
        </w:tc>
        <w:tc>
          <w:tcPr>
            <w:tcW w:w="5700" w:type="dxa"/>
            <w:vAlign w:val="bottom"/>
          </w:tcPr>
          <w:p>
            <w:pPr>
              <w:jc w:val="right"/>
              <w:ind w:right="2232"/>
              <w:spacing w:after="0"/>
              <w:rPr>
                <w:sz w:val="20"/>
                <w:szCs w:val="20"/>
                <w:color w:val="auto"/>
              </w:rPr>
            </w:pPr>
            <w:r>
              <w:rPr>
                <w:rFonts w:ascii="Courier New" w:cs="Courier New" w:eastAsia="Courier New" w:hAnsi="Courier New"/>
                <w:sz w:val="18"/>
                <w:szCs w:val="18"/>
                <w:color w:val="auto"/>
              </w:rPr>
              <w:t>389,000 shares</w:t>
            </w:r>
          </w:p>
        </w:tc>
      </w:tr>
      <w:tr>
        <w:trPr>
          <w:trHeight w:val="203"/>
        </w:trPr>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w:t>
            </w:r>
          </w:p>
        </w:tc>
        <w:tc>
          <w:tcPr>
            <w:tcW w:w="6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w:t>
            </w:r>
          </w:p>
        </w:tc>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OWNED BY</w:t>
            </w:r>
          </w:p>
        </w:tc>
        <w:tc>
          <w:tcPr>
            <w:tcW w:w="840" w:type="dxa"/>
            <w:vAlign w:val="bottom"/>
          </w:tcPr>
          <w:p>
            <w:pPr>
              <w:spacing w:after="0"/>
              <w:rPr>
                <w:sz w:val="17"/>
                <w:szCs w:val="17"/>
                <w:color w:val="auto"/>
              </w:rPr>
            </w:pPr>
          </w:p>
        </w:tc>
        <w:tc>
          <w:tcPr>
            <w:tcW w:w="5700" w:type="dxa"/>
            <w:vAlign w:val="bottom"/>
          </w:tcPr>
          <w:p>
            <w:pPr>
              <w:spacing w:after="0"/>
              <w:rPr>
                <w:sz w:val="17"/>
                <w:szCs w:val="17"/>
                <w:color w:val="auto"/>
              </w:rPr>
            </w:pPr>
          </w:p>
        </w:tc>
      </w:tr>
      <w:tr>
        <w:trPr>
          <w:trHeight w:val="203"/>
        </w:trPr>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w:t>
            </w:r>
          </w:p>
        </w:tc>
        <w:tc>
          <w:tcPr>
            <w:tcW w:w="840" w:type="dxa"/>
            <w:vAlign w:val="bottom"/>
          </w:tcPr>
          <w:p>
            <w:pPr>
              <w:spacing w:after="0"/>
              <w:rPr>
                <w:sz w:val="17"/>
                <w:szCs w:val="17"/>
                <w:color w:val="auto"/>
              </w:rPr>
            </w:pPr>
          </w:p>
        </w:tc>
        <w:tc>
          <w:tcPr>
            <w:tcW w:w="5700" w:type="dxa"/>
            <w:vAlign w:val="bottom"/>
          </w:tcPr>
          <w:p>
            <w:pPr>
              <w:jc w:val="right"/>
              <w:ind w:right="37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REPORTING</w:t>
            </w:r>
          </w:p>
        </w:tc>
        <w:tc>
          <w:tcPr>
            <w:tcW w:w="6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PERSON</w:t>
            </w: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w:t>
            </w:r>
          </w:p>
        </w:tc>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WITH</w:t>
            </w:r>
          </w:p>
        </w:tc>
        <w:tc>
          <w:tcPr>
            <w:tcW w:w="840" w:type="dxa"/>
            <w:vAlign w:val="bottom"/>
          </w:tcPr>
          <w:p>
            <w:pPr>
              <w:spacing w:after="0"/>
              <w:rPr>
                <w:sz w:val="17"/>
                <w:szCs w:val="17"/>
                <w:color w:val="auto"/>
              </w:rPr>
            </w:pPr>
          </w:p>
        </w:tc>
        <w:tc>
          <w:tcPr>
            <w:tcW w:w="57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700" w:type="dxa"/>
            <w:vAlign w:val="bottom"/>
          </w:tcPr>
          <w:p>
            <w:pPr>
              <w:jc w:val="right"/>
              <w:ind w:right="3192"/>
              <w:spacing w:after="0" w:line="203" w:lineRule="exact"/>
              <w:rPr>
                <w:sz w:val="20"/>
                <w:szCs w:val="20"/>
                <w:color w:val="auto"/>
              </w:rPr>
            </w:pPr>
            <w:r>
              <w:rPr>
                <w:rFonts w:ascii="Courier New" w:cs="Courier New" w:eastAsia="Courier New" w:hAnsi="Courier New"/>
                <w:sz w:val="18"/>
                <w:szCs w:val="18"/>
                <w:color w:val="auto"/>
              </w:rPr>
              <w:t>389,000 shares</w:t>
            </w:r>
          </w:p>
        </w:tc>
      </w:tr>
      <w:tr>
        <w:trPr>
          <w:trHeight w:val="203"/>
        </w:trPr>
        <w:tc>
          <w:tcPr>
            <w:tcW w:w="1480" w:type="dxa"/>
            <w:vAlign w:val="bottom"/>
          </w:tcPr>
          <w:p>
            <w:pPr>
              <w:spacing w:after="0"/>
              <w:rPr>
                <w:sz w:val="17"/>
                <w:szCs w:val="17"/>
                <w:color w:val="auto"/>
              </w:rPr>
            </w:pPr>
          </w:p>
        </w:tc>
        <w:tc>
          <w:tcPr>
            <w:tcW w:w="6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rPr>
                <w:sz w:val="17"/>
                <w:szCs w:val="17"/>
                <w:color w:val="auto"/>
              </w:rPr>
            </w:pP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w:t>
            </w:r>
          </w:p>
        </w:tc>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ind w:left="43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389,000 shares</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THE AGGREGATE AMOUNT IN ROW (9) EXCLUDES CERTAIN</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|_|</w:t>
      </w:r>
    </w:p>
    <w:p>
      <w:pPr>
        <w:spacing w:after="0" w:line="206"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5.1%</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ind w:left="2960"/>
        <w:spacing w:after="0"/>
        <w:rPr>
          <w:sz w:val="20"/>
          <w:szCs w:val="20"/>
          <w:color w:val="auto"/>
        </w:rPr>
      </w:pPr>
      <w:r>
        <w:rPr>
          <w:rFonts w:ascii="Courier New" w:cs="Courier New" w:eastAsia="Courier New" w:hAnsi="Courier New"/>
          <w:sz w:val="18"/>
          <w:szCs w:val="18"/>
          <w:color w:val="auto"/>
        </w:rPr>
        <w:t>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1825 Research Way</w:t>
      </w:r>
    </w:p>
    <w:p>
      <w:pPr>
        <w:ind w:left="1900"/>
        <w:spacing w:after="0" w:line="238" w:lineRule="auto"/>
        <w:rPr>
          <w:sz w:val="20"/>
          <w:szCs w:val="20"/>
          <w:color w:val="auto"/>
        </w:rPr>
      </w:pPr>
      <w:r>
        <w:rPr>
          <w:rFonts w:ascii="Courier New" w:cs="Courier New" w:eastAsia="Courier New" w:hAnsi="Courier New"/>
          <w:sz w:val="18"/>
          <w:szCs w:val="18"/>
          <w:color w:val="auto"/>
        </w:rPr>
        <w:t>Salt Lake City, UT 84119</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Stephen Watson</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237 Park Avenue, Suite 801</w:t>
      </w:r>
    </w:p>
    <w:p>
      <w:pPr>
        <w:ind w:left="1900"/>
        <w:spacing w:after="0" w:line="238" w:lineRule="auto"/>
        <w:rPr>
          <w:sz w:val="20"/>
          <w:szCs w:val="20"/>
          <w:color w:val="auto"/>
        </w:rPr>
      </w:pPr>
      <w:r>
        <w:rPr>
          <w:rFonts w:ascii="Courier New" w:cs="Courier New" w:eastAsia="Courier New" w:hAnsi="Courier New"/>
          <w:sz w:val="18"/>
          <w:szCs w:val="18"/>
          <w:color w:val="auto"/>
        </w:rPr>
        <w:t>New York, NY 10017</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 $.001 par value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00037245J1</w:t>
      </w:r>
    </w:p>
    <w:p>
      <w:pPr>
        <w:spacing w:after="0" w:line="207" w:lineRule="exact"/>
        <w:rPr>
          <w:sz w:val="20"/>
          <w:szCs w:val="20"/>
          <w:color w:val="auto"/>
        </w:rPr>
      </w:pPr>
    </w:p>
    <w:p>
      <w:pPr>
        <w:ind w:left="860" w:right="1779" w:hanging="842"/>
        <w:spacing w:after="0" w:line="235" w:lineRule="auto"/>
        <w:rPr>
          <w:sz w:val="20"/>
          <w:szCs w:val="20"/>
          <w:color w:val="auto"/>
        </w:rPr>
      </w:pPr>
      <w:r>
        <w:rPr>
          <w:rFonts w:ascii="Courier New" w:cs="Courier New" w:eastAsia="Courier New" w:hAnsi="Courier New"/>
          <w:sz w:val="18"/>
          <w:szCs w:val="18"/>
          <w:color w:val="auto"/>
        </w:rPr>
        <w:t>Item 3. If this statement is</w:t>
      </w:r>
      <w:r>
        <w:rPr>
          <w:sz w:val="20"/>
          <w:szCs w:val="20"/>
          <w:color w:val="auto"/>
        </w:rPr>
        <w:t xml:space="preserve"> </w:t>
      </w:r>
      <w:r>
        <w:rPr>
          <w:rFonts w:ascii="Courier New" w:cs="Courier New" w:eastAsia="Courier New" w:hAnsi="Courier New"/>
          <w:sz w:val="18"/>
          <w:szCs w:val="18"/>
          <w:color w:val="auto"/>
        </w:rPr>
        <w:t>filed pursuant to Rules 13d-1(b), or 13d-2(b) or (c), check whether the person filing is a:</w:t>
      </w:r>
    </w:p>
    <w:p>
      <w:pPr>
        <w:spacing w:after="0" w:line="203" w:lineRule="exact"/>
        <w:rPr>
          <w:sz w:val="20"/>
          <w:szCs w:val="20"/>
          <w:color w:val="auto"/>
        </w:rPr>
      </w:pPr>
    </w:p>
    <w:p>
      <w:pPr>
        <w:ind w:left="960" w:hanging="425"/>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6" w:lineRule="exact"/>
        <w:rPr>
          <w:rFonts w:ascii="Courier New" w:cs="Courier New" w:eastAsia="Courier New" w:hAnsi="Courier New"/>
          <w:sz w:val="18"/>
          <w:szCs w:val="18"/>
          <w:color w:val="auto"/>
        </w:rPr>
      </w:pPr>
    </w:p>
    <w:p>
      <w:pPr>
        <w:ind w:left="1380" w:right="2199" w:hanging="845"/>
        <w:spacing w:after="0" w:line="235" w:lineRule="auto"/>
        <w:tabs>
          <w:tab w:leader="none" w:pos="95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8" w:lineRule="exact"/>
        <w:rPr>
          <w:rFonts w:ascii="Courier New" w:cs="Courier New" w:eastAsia="Courier New" w:hAnsi="Courier New"/>
          <w:sz w:val="18"/>
          <w:szCs w:val="18"/>
          <w:color w:val="auto"/>
        </w:rPr>
      </w:pPr>
    </w:p>
    <w:p>
      <w:pPr>
        <w:ind w:left="4120" w:right="1779" w:hanging="3585"/>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ss.240.13d-1(b)(1)(ii)(E), 3</w:t>
      </w:r>
    </w:p>
    <w:p>
      <w:pPr>
        <w:sectPr>
          <w:pgSz w:w="11900" w:h="16838" w:orient="portrait"/>
          <w:cols w:equalWidth="0" w:num="1">
            <w:col w:w="10219"/>
          </w:cols>
          <w:pgMar w:left="240" w:top="514" w:right="1440" w:bottom="1440" w:gutter="0" w:footer="0" w:header="0"/>
        </w:sectPr>
      </w:pPr>
    </w:p>
    <w:bookmarkStart w:id="3" w:name="page4"/>
    <w:bookmarkEnd w:id="3"/>
    <w:p>
      <w:pPr>
        <w:ind w:left="1380" w:right="1779" w:hanging="842"/>
        <w:spacing w:after="0" w:line="235" w:lineRule="auto"/>
        <w:rPr>
          <w:sz w:val="20"/>
          <w:szCs w:val="20"/>
          <w:color w:val="auto"/>
        </w:rPr>
      </w:pPr>
      <w:r>
        <w:rPr>
          <w:rFonts w:ascii="Courier New" w:cs="Courier New" w:eastAsia="Courier New" w:hAnsi="Courier New"/>
          <w:sz w:val="18"/>
          <w:szCs w:val="18"/>
          <w:color w:val="auto"/>
        </w:rPr>
        <w:t>(f) [ ] An employee</w:t>
      </w:r>
      <w:r>
        <w:rPr>
          <w:sz w:val="20"/>
          <w:szCs w:val="20"/>
          <w:color w:val="auto"/>
        </w:rPr>
        <w:t xml:space="preserve"> </w:t>
      </w:r>
      <w:r>
        <w:rPr>
          <w:rFonts w:ascii="Courier New" w:cs="Courier New" w:eastAsia="Courier New" w:hAnsi="Courier New"/>
          <w:sz w:val="18"/>
          <w:szCs w:val="18"/>
          <w:color w:val="auto"/>
        </w:rPr>
        <w:t>benefit plan or endowment fund in accordance with ss.240.13d-1(b)(1)(ii)(F),</w:t>
      </w:r>
    </w:p>
    <w:p>
      <w:pPr>
        <w:spacing w:after="0" w:line="208" w:lineRule="exact"/>
        <w:rPr>
          <w:sz w:val="20"/>
          <w:szCs w:val="20"/>
          <w:color w:val="auto"/>
        </w:rPr>
      </w:pPr>
    </w:p>
    <w:p>
      <w:pPr>
        <w:ind w:left="1380" w:right="1779" w:hanging="845"/>
        <w:spacing w:after="0" w:line="235" w:lineRule="auto"/>
        <w:tabs>
          <w:tab w:leader="none" w:pos="95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ss.240.13d-1(b)(1)(ii)(G),</w:t>
      </w:r>
    </w:p>
    <w:p>
      <w:pPr>
        <w:spacing w:after="0" w:line="208" w:lineRule="exact"/>
        <w:rPr>
          <w:rFonts w:ascii="Courier New" w:cs="Courier New" w:eastAsia="Courier New" w:hAnsi="Courier New"/>
          <w:sz w:val="18"/>
          <w:szCs w:val="18"/>
          <w:color w:val="auto"/>
        </w:rPr>
      </w:pPr>
    </w:p>
    <w:p>
      <w:pPr>
        <w:ind w:left="1380" w:right="1779" w:hanging="845"/>
        <w:spacing w:after="0" w:line="235" w:lineRule="auto"/>
        <w:tabs>
          <w:tab w:leader="none" w:pos="95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380" w:right="1779" w:hanging="845"/>
        <w:spacing w:after="0" w:line="236" w:lineRule="auto"/>
        <w:tabs>
          <w:tab w:leader="none" w:pos="95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group, in accordance with ss.13d-1(b)(1)(ii)(J).</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If this statement is filed pursuant to ss.240.13d-1(c), check this box [X].</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160" w:hanging="520"/>
        <w:spacing w:after="0"/>
        <w:tabs>
          <w:tab w:leader="none" w:pos="11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7" w:lineRule="exact"/>
        <w:rPr>
          <w:sz w:val="20"/>
          <w:szCs w:val="20"/>
          <w:color w:val="auto"/>
        </w:rPr>
      </w:pPr>
    </w:p>
    <w:p>
      <w:pPr>
        <w:jc w:val="both"/>
        <w:ind w:left="1580" w:right="1779"/>
        <w:spacing w:after="0" w:line="237" w:lineRule="auto"/>
        <w:rPr>
          <w:sz w:val="20"/>
          <w:szCs w:val="20"/>
          <w:color w:val="auto"/>
        </w:rPr>
      </w:pPr>
      <w:r>
        <w:rPr>
          <w:rFonts w:ascii="Courier New" w:cs="Courier New" w:eastAsia="Courier New" w:hAnsi="Courier New"/>
          <w:sz w:val="18"/>
          <w:szCs w:val="18"/>
          <w:color w:val="auto"/>
        </w:rPr>
        <w:t>389,000 shares (includes shares held by a private investment partnership, an offshore investment company and several managed accounts, as to all of which Mr. Watson has sole investment authority).</w:t>
      </w:r>
    </w:p>
    <w:p>
      <w:pPr>
        <w:spacing w:after="0" w:line="207" w:lineRule="exact"/>
        <w:rPr>
          <w:sz w:val="20"/>
          <w:szCs w:val="20"/>
          <w:color w:val="auto"/>
        </w:rPr>
      </w:pPr>
    </w:p>
    <w:p>
      <w:pPr>
        <w:ind w:left="1580" w:right="7359" w:hanging="940"/>
        <w:spacing w:after="0" w:line="470"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5.1%</w:t>
      </w:r>
    </w:p>
    <w:p>
      <w:pPr>
        <w:spacing w:after="0" w:line="6"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2440" w:hanging="852"/>
        <w:spacing w:after="0"/>
        <w:tabs>
          <w:tab w:leader="none" w:pos="244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389,000 shares</w:t>
      </w:r>
    </w:p>
    <w:p>
      <w:pPr>
        <w:spacing w:after="0" w:line="16" w:lineRule="exact"/>
        <w:rPr>
          <w:rFonts w:ascii="Courier New" w:cs="Courier New" w:eastAsia="Courier New" w:hAnsi="Courier New"/>
          <w:sz w:val="16"/>
          <w:szCs w:val="16"/>
          <w:color w:val="auto"/>
        </w:rPr>
      </w:pPr>
    </w:p>
    <w:p>
      <w:pPr>
        <w:ind w:left="2440" w:hanging="852"/>
        <w:spacing w:after="0" w:line="238" w:lineRule="auto"/>
        <w:tabs>
          <w:tab w:leader="none" w:pos="24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4" w:lineRule="exact"/>
        <w:rPr>
          <w:rFonts w:ascii="Courier New" w:cs="Courier New" w:eastAsia="Courier New" w:hAnsi="Courier New"/>
          <w:sz w:val="18"/>
          <w:szCs w:val="18"/>
          <w:color w:val="auto"/>
        </w:rPr>
      </w:pPr>
    </w:p>
    <w:p>
      <w:pPr>
        <w:ind w:left="2740" w:right="2099" w:hanging="1152"/>
        <w:spacing w:after="0" w:line="235" w:lineRule="auto"/>
        <w:tabs>
          <w:tab w:leader="none" w:pos="2424"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389,000 shares</w:t>
      </w:r>
    </w:p>
    <w:p>
      <w:pPr>
        <w:spacing w:after="0" w:line="5" w:lineRule="exact"/>
        <w:rPr>
          <w:rFonts w:ascii="Courier New" w:cs="Courier New" w:eastAsia="Courier New" w:hAnsi="Courier New"/>
          <w:sz w:val="18"/>
          <w:szCs w:val="18"/>
          <w:color w:val="auto"/>
        </w:rPr>
      </w:pPr>
    </w:p>
    <w:p>
      <w:pPr>
        <w:ind w:left="2740" w:right="1879" w:hanging="1152"/>
        <w:spacing w:after="0" w:line="235" w:lineRule="auto"/>
        <w:tabs>
          <w:tab w:leader="none" w:pos="2424"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An investment partnership, an offshore investment company and several managed accounts each have the right to receive dividends from and the proceeds of the sale of the subject securities. None of such parties owns beneficially more than 5% of the class.</w:t>
      </w: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20" w:right="1440" w:bottom="1440" w:gutter="0" w:footer="0" w:header="0"/>
        </w:sectPr>
      </w:pPr>
    </w:p>
    <w:bookmarkStart w:id="4" w:name="page5"/>
    <w:bookmarkEnd w:id="4"/>
    <w:p>
      <w:pPr>
        <w:jc w:val="both"/>
        <w:ind w:left="960" w:right="17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purposes or effect.</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jc w:val="center"/>
        <w:ind w:right="-1280"/>
        <w:spacing w:after="0"/>
        <w:rPr>
          <w:sz w:val="20"/>
          <w:szCs w:val="20"/>
          <w:color w:val="auto"/>
        </w:rPr>
      </w:pPr>
      <w:r>
        <w:rPr>
          <w:rFonts w:ascii="Courier New" w:cs="Courier New" w:eastAsia="Courier New" w:hAnsi="Courier New"/>
          <w:sz w:val="18"/>
          <w:szCs w:val="18"/>
          <w:color w:val="auto"/>
        </w:rPr>
        <w:t>July 30, 1998</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jc w:val="center"/>
        <w:ind w:right="-118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Stephen Watson</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Stephen Watson</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5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lvl w:ilvl="1">
      <w:lvlJc w:val="left"/>
      <w:lvlText w:val="S.%2."/>
      <w:numFmt w:val="upperLetter"/>
      <w:start w:val="19"/>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7"/>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2019-12-13T18:13:00Z</dcterms:created>
  <dcterms:modified xsi:type="dcterms:W3CDTF">2019-12-13T18:13:00Z</dcterms:modified>
</cp:coreProperties>
</file>