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March 31,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11"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3"/>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CLRO</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3, 2023, ClearOne, Inc. (the “Company”) issued a press release announcing its financial results for the three and twelve months ended December 31, 2022.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78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439"/>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7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220" w:type="dxa"/>
            <w:vAlign w:val="bottom"/>
          </w:tcPr>
          <w:p>
            <w:pPr>
              <w:spacing w:after="0"/>
              <w:rPr>
                <w:sz w:val="15"/>
                <w:szCs w:val="15"/>
                <w:color w:val="auto"/>
              </w:rPr>
            </w:pPr>
          </w:p>
        </w:tc>
        <w:tc>
          <w:tcPr>
            <w:tcW w:w="3780" w:type="dxa"/>
            <w:vAlign w:val="bottom"/>
            <w:tcBorders>
              <w:top w:val="single" w:sz="8" w:color="auto"/>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99"/>
              </w:rPr>
              <w:t>Press Release of ClearOne, Inc. dated April 3, 2023.</w:t>
            </w:r>
          </w:p>
        </w:tc>
        <w:tc>
          <w:tcPr>
            <w:tcW w:w="5540" w:type="dxa"/>
            <w:vAlign w:val="bottom"/>
            <w:tcBorders>
              <w:top w:val="single" w:sz="8" w:color="auto"/>
            </w:tcBorders>
          </w:tcPr>
          <w:p>
            <w:pPr>
              <w:spacing w:after="0"/>
              <w:rPr>
                <w:sz w:val="15"/>
                <w:szCs w:val="15"/>
                <w:color w:val="auto"/>
              </w:rPr>
            </w:pPr>
          </w:p>
        </w:tc>
      </w:tr>
      <w:tr>
        <w:trPr>
          <w:trHeight w:val="23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104.1</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2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April 6, 2023</w:t>
            </w:r>
          </w:p>
        </w:tc>
        <w:tc>
          <w:tcPr>
            <w:tcW w:w="82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tc>
      </w:tr>
      <w:tr>
        <w:trPr>
          <w:trHeight w:val="191"/>
        </w:trPr>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34"/>
        </w:trPr>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17"/>
        </w:trPr>
        <w:tc>
          <w:tcPr>
            <w:tcW w:w="30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1000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 Reports Fourth Quarter 2022 Financial Results</w:t>
      </w:r>
    </w:p>
    <w:p>
      <w:pPr>
        <w:spacing w:after="0" w:line="228" w:lineRule="exact"/>
        <w:rPr>
          <w:sz w:val="20"/>
          <w:szCs w:val="20"/>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Records GAAP EPS of $0.83 after accounting for one-time legal settlement receivable of $55 million.</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Delays in manufacturing transition contribute to revenue decrease even as unfulfilled orders keep growing.</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Overall revenue decreases by 44%</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Non-GAAP Opex declines by 24%</w:t>
      </w:r>
    </w:p>
    <w:p>
      <w:pPr>
        <w:spacing w:after="0" w:line="28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SALT LAKE CITY, UTAH – March 31, 2023 – ClearOne (NASDAQ: CLRO), a global provider of audio and visual communication solutions, reported financial results for the three and twelve month periods ended December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continued delays in the transition of our outsourced manufacturing from China to Singapore caused us to lose revenue on our core audio conferencing</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products. This combined with the decline in video products, especially our professional cameras, contributed to a 44% decline in revenues. The delay in the transition is expected to affect our 2023-Q1 revenues also. However, with our recent legal settlements which have provided us with over $56 million in cash (before paying taxes) and with our new products that are expected to increase our market share due to better interoperability features, we are confident</w:t>
      </w:r>
    </w:p>
    <w:p>
      <w:pPr>
        <w:spacing w:after="0" w:line="2"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that we will be able to weather these difficult times. We also take comfort in the fact that our unfilled backlog is continuing to increase as we strive to satisfy our customers’ demand" said Derek Graham, CEO of ClearOne.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75" w:lineRule="exact"/>
        <w:rPr>
          <w:sz w:val="20"/>
          <w:szCs w:val="20"/>
          <w:color w:val="auto"/>
        </w:rPr>
      </w:pPr>
    </w:p>
    <w:p>
      <w:pPr>
        <w:ind w:left="460" w:right="40" w:hanging="452"/>
        <w:spacing w:after="0" w:line="227"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spacing w:after="0" w:line="49" w:lineRule="exact"/>
        <w:rPr>
          <w:rFonts w:ascii="Times New Roman" w:cs="Times New Roman" w:eastAsia="Times New Roman" w:hAnsi="Times New Roman"/>
          <w:sz w:val="17"/>
          <w:szCs w:val="17"/>
          <w:color w:val="auto"/>
        </w:rPr>
      </w:pPr>
    </w:p>
    <w:p>
      <w:pPr>
        <w:ind w:left="460" w:right="120" w:hanging="452"/>
        <w:spacing w:after="0" w:line="22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spacing w:after="0" w:line="49" w:lineRule="exact"/>
        <w:rPr>
          <w:rFonts w:ascii="Times New Roman" w:cs="Times New Roman" w:eastAsia="Times New Roman" w:hAnsi="Times New Roman"/>
          <w:sz w:val="18"/>
          <w:szCs w:val="18"/>
          <w:color w:val="auto"/>
        </w:rPr>
      </w:pPr>
    </w:p>
    <w:p>
      <w:pPr>
        <w:ind w:left="460" w:right="20" w:hanging="452"/>
        <w:spacing w:after="0" w:line="22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we announced the introduction of UNITE 160, a new camera that offers cutting-edge 4K UHD performance with 12x optical zoom capabilities, remote-controlled mechanical pan and tilt as well as AI-powered smart face tracking and auto framing. This camera is designed to capture all participants in large rooms while enabling automated focus on a moving presenter, making it ideal for larger spaces including board rooms, training centers, conference rooms and classrooms. This new camera offers an integrated AI-based camera tracking solution for rooms that are a fit for ClearOne's single Versa Lite CT and a single camera. This new lower-cost camera tracking configuration eliminates the need for a DSP mixer and a control system.</w:t>
      </w:r>
    </w:p>
    <w:p>
      <w:pPr>
        <w:spacing w:after="0" w:line="49" w:lineRule="exact"/>
        <w:rPr>
          <w:rFonts w:ascii="Times New Roman" w:cs="Times New Roman" w:eastAsia="Times New Roman" w:hAnsi="Times New Roman"/>
          <w:sz w:val="18"/>
          <w:szCs w:val="18"/>
          <w:color w:val="auto"/>
        </w:rPr>
      </w:pPr>
    </w:p>
    <w:p>
      <w:pPr>
        <w:ind w:left="460" w:right="60" w:hanging="452"/>
        <w:spacing w:after="0" w:line="22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we announced the introduction of UNITE 60, a new wide angle 4K USB camera featuring AI-powered smart face and voice tracking, along with electronic PTZ (pan/tilt/zoom) capabilities. With a 120-degree field of view, and a plug-and-play USB 3.0 connection for video, control, and power, the new UNITE® 60 camera is ideally suited for rooms such as executive offices, huddle rooms, or smaller conference rooms. The UNITE 60 camera leverages a wide dynamic range and super-high SNR with advanced 2D and 3D noise reduction to deliver excellent visuals across varied lighting conditions. In addition to the AI auto-tracking feature, the camera can also be controlled via IR remote or UVC protocol. The camera can be paired with a wide variety of microphones and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12" w:lineRule="exact"/>
        <w:rPr>
          <w:sz w:val="20"/>
          <w:szCs w:val="20"/>
          <w:color w:val="auto"/>
        </w:rPr>
      </w:pPr>
    </w:p>
    <w:p>
      <w:pPr>
        <w:ind w:left="460" w:right="120" w:hanging="452"/>
        <w:spacing w:after="0" w:line="22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2022 revenue was $4.0 million, compared to $7.2 million in Q4 2021 and $6.3 million in Q3 2022. The decrease in year-over-year revenue as well as in sequential revenue was mainly due to (a) a decline in revenue from video products due to decline in demand and (b) our inability to fulfill the demand for our core audio conferencing and beamforming microphone arrays due to ongoing delays with the transition of our outsourced manufacturing from China to Singapore.</w:t>
      </w:r>
    </w:p>
    <w:p>
      <w:pPr>
        <w:spacing w:after="0" w:line="50" w:lineRule="exact"/>
        <w:rPr>
          <w:rFonts w:ascii="Times New Roman" w:cs="Times New Roman" w:eastAsia="Times New Roman" w:hAnsi="Times New Roman"/>
          <w:sz w:val="18"/>
          <w:szCs w:val="18"/>
          <w:color w:val="auto"/>
        </w:rPr>
      </w:pPr>
    </w:p>
    <w:p>
      <w:pPr>
        <w:ind w:left="460" w:right="80" w:hanging="452"/>
        <w:spacing w:after="0" w:line="22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Q4 2022 was $1.3 million, compared to $2.6 million in each of Q4 2021 and Q3 2022. GAAP gross profit margin was 31% in Q4 2022, compared to 37% in Q4 2021 and 41% in Q3 2022. Gross Profit margin decreased year over year as well as sequentially mainly due to increase in material costs due to supply chain constraints and increased administration costs as a percentage of revenue partially offset by reduction in inventory obsolescence and freight and tariff costs.</w:t>
      </w:r>
    </w:p>
    <w:p>
      <w:pPr>
        <w:spacing w:after="0" w:line="50" w:lineRule="exact"/>
        <w:rPr>
          <w:rFonts w:ascii="Times New Roman" w:cs="Times New Roman" w:eastAsia="Times New Roman" w:hAnsi="Times New Roman"/>
          <w:sz w:val="18"/>
          <w:szCs w:val="18"/>
          <w:color w:val="auto"/>
        </w:rPr>
      </w:pPr>
    </w:p>
    <w:p>
      <w:pPr>
        <w:ind w:left="460" w:right="60" w:hanging="452"/>
        <w:spacing w:after="0" w:line="22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Q4 2022 were $3.9 million, compared to $5.1 million in Q4 2021 and $3.7 million in Q3 2022. Non-GAAP Operating expenses in Q4 2022 were $3.4 million, compared to $4.4 million in Q4 2021 and $3.0 million in Q3 2022. The decrease in year-over-year as well as sequential Non-GAAP Operating expenses was mainly due to the deep-cost cutting measures initiated in 2022 partially offset by an increase in bonuses for executives and other employees.</w:t>
      </w:r>
    </w:p>
    <w:p>
      <w:pPr>
        <w:spacing w:after="0" w:line="50" w:lineRule="exact"/>
        <w:rPr>
          <w:rFonts w:ascii="Times New Roman" w:cs="Times New Roman" w:eastAsia="Times New Roman" w:hAnsi="Times New Roman"/>
          <w:sz w:val="18"/>
          <w:szCs w:val="18"/>
          <w:color w:val="auto"/>
        </w:rPr>
      </w:pPr>
    </w:p>
    <w:p>
      <w:pPr>
        <w:ind w:left="460" w:right="100" w:hanging="452"/>
        <w:spacing w:after="0" w:line="22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in Q4 2022 was $24.0 million, or $0.97 per share, compared to a net loss of $(2.3) million, or $(0.10) per share, in Q4 2021 and a net loss of $1.2 million, or $0.05 per share, in Q3 2022. The change from net loss to net income both year-over-year and sequentially was primarily due to the recognition of a gain of $33.6 million related to the one-time legal settlement receivable of $55 million net of unamortized capitalized legal expenses of $21.4 million. This gain was partially offset by operating loss and provision for income tax.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5"/>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6"/>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100" w:type="dxa"/>
            <w:vAlign w:val="bottom"/>
          </w:tcPr>
          <w:p>
            <w:pPr>
              <w:spacing w:after="0"/>
              <w:rPr>
                <w:sz w:val="16"/>
                <w:szCs w:val="16"/>
                <w:color w:val="auto"/>
              </w:rPr>
            </w:pPr>
          </w:p>
        </w:tc>
      </w:tr>
      <w:tr>
        <w:trPr>
          <w:trHeight w:val="215"/>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Favorable/(Adverse)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Favorable/(Adverse)</w:t>
            </w:r>
          </w:p>
        </w:tc>
      </w:tr>
      <w:tr>
        <w:trPr>
          <w:trHeight w:val="199"/>
        </w:trPr>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6"/>
              </w:rPr>
              <w:t>GAAP</w:t>
            </w:r>
          </w:p>
        </w:tc>
        <w:tc>
          <w:tcPr>
            <w:tcW w:w="240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25,205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3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5,114</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20,556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175"/>
        </w:trPr>
        <w:tc>
          <w:tcPr>
            <w:tcW w:w="40" w:type="dxa"/>
            <w:vAlign w:val="bottom"/>
          </w:tcPr>
          <w:p>
            <w:pPr>
              <w:spacing w:after="0"/>
              <w:rPr>
                <w:sz w:val="15"/>
                <w:szCs w:val="15"/>
                <w:color w:val="auto"/>
              </w:rPr>
            </w:pPr>
          </w:p>
        </w:tc>
        <w:tc>
          <w:tcPr>
            <w:tcW w:w="2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4,429</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14,062</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diluted income (loss) per</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 w:type="dxa"/>
            <w:vAlign w:val="bottom"/>
            <w:shd w:val="clear" w:color="auto" w:fill="CCEEFF"/>
          </w:tcPr>
          <w:p>
            <w:pPr>
              <w:spacing w:after="0"/>
              <w:rPr>
                <w:sz w:val="20"/>
                <w:szCs w:val="20"/>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16"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As of December 31, 2022, cash, cash equivalents and investments were $1.0 million, as compared with $4.1 million as of December 31, 2021. As of December 31, 2022, the Company carried an aggregate debt of $3.9 million on account of senior convertible notes issued in December 2019, and a short-</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term bridge loan obtained in Q4 2022. The Company’s cash position was strengthened by the receipts in excess of $56 million in the first quarter of 2023 pursuant to legal settlements. The Company also repaid the short-term bridge loan in January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62"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17"/>
          <w:szCs w:val="17"/>
          <w:color w:val="auto"/>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w:t>
      </w:r>
    </w:p>
    <w:p>
      <w:pPr>
        <w:spacing w:after="0"/>
        <w:rPr>
          <w:sz w:val="20"/>
          <w:szCs w:val="20"/>
          <w:color w:val="auto"/>
        </w:rPr>
      </w:pPr>
      <w:r>
        <w:rPr>
          <w:rFonts w:ascii="Times New Roman" w:cs="Times New Roman" w:eastAsia="Times New Roman" w:hAnsi="Times New Roman"/>
          <w:sz w:val="18"/>
          <w:szCs w:val="18"/>
          <w:color w:val="auto"/>
        </w:rPr>
        <w:t xml:space="preserve">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w:t>
      </w:r>
    </w:p>
    <w:p>
      <w:pPr>
        <w:ind w:right="80"/>
        <w:spacing w:after="0" w:line="220" w:lineRule="auto"/>
        <w:rPr>
          <w:sz w:val="20"/>
          <w:szCs w:val="20"/>
          <w:color w:val="auto"/>
        </w:rPr>
      </w:pPr>
      <w:r>
        <w:rPr>
          <w:rFonts w:ascii="Times New Roman" w:cs="Times New Roman" w:eastAsia="Times New Roman" w:hAnsi="Times New Roman"/>
          <w:sz w:val="17"/>
          <w:szCs w:val="17"/>
          <w:color w:val="auto"/>
        </w:rPr>
        <w:t>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w:t>
      </w:r>
    </w:p>
    <w:p>
      <w:pPr>
        <w:spacing w:after="0" w:line="2" w:lineRule="exact"/>
        <w:rPr>
          <w:sz w:val="20"/>
          <w:szCs w:val="20"/>
          <w:color w:val="auto"/>
        </w:rPr>
      </w:pPr>
    </w:p>
    <w:p>
      <w:pPr>
        <w:ind w:right="1140"/>
        <w:spacing w:after="0" w:line="403" w:lineRule="auto"/>
        <w:rPr>
          <w:sz w:val="20"/>
          <w:szCs w:val="20"/>
          <w:color w:val="auto"/>
        </w:rPr>
      </w:pPr>
      <w:r>
        <w:rPr>
          <w:rFonts w:ascii="Times New Roman" w:cs="Times New Roman" w:eastAsia="Times New Roman" w:hAnsi="Times New Roman"/>
          <w:sz w:val="18"/>
          <w:szCs w:val="18"/>
          <w:color w:val="auto"/>
        </w:rPr>
        <w:t xml:space="preserve">reconciliation of non-GAAP financial measures to the most directly comparable GAAP financial measures is included in this release below. </w:t>
      </w:r>
      <w:r>
        <w:rPr>
          <w:rFonts w:ascii="Times New Roman" w:cs="Times New Roman" w:eastAsia="Times New Roman" w:hAnsi="Times New Roman"/>
          <w:sz w:val="18"/>
          <w:szCs w:val="18"/>
          <w:b w:val="1"/>
          <w:bCs w:val="1"/>
          <w:color w:val="auto"/>
        </w:rPr>
        <w:t>Forward Looking Statements</w:t>
      </w:r>
    </w:p>
    <w:p>
      <w:pPr>
        <w:ind w:right="100"/>
        <w:spacing w:after="0" w:line="236" w:lineRule="auto"/>
        <w:rPr>
          <w:sz w:val="20"/>
          <w:szCs w:val="20"/>
          <w:color w:val="auto"/>
        </w:rPr>
      </w:pPr>
      <w:r>
        <w:rPr>
          <w:rFonts w:ascii="Times New Roman" w:cs="Times New Roman" w:eastAsia="Times New Roman" w:hAnsi="Times New Roman"/>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w:t>
      </w:r>
    </w:p>
    <w:p>
      <w:pPr>
        <w:jc w:val="both"/>
        <w:ind w:right="220"/>
        <w:spacing w:after="0" w:line="220" w:lineRule="auto"/>
        <w:rPr>
          <w:sz w:val="20"/>
          <w:szCs w:val="20"/>
          <w:color w:val="auto"/>
        </w:rPr>
      </w:pPr>
      <w:r>
        <w:rPr>
          <w:rFonts w:ascii="Times New Roman" w:cs="Times New Roman" w:eastAsia="Times New Roman" w:hAnsi="Times New Roman"/>
          <w:sz w:val="17"/>
          <w:szCs w:val="17"/>
          <w:color w:val="auto"/>
        </w:rPr>
        <w:t>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w:t>
      </w:r>
    </w:p>
    <w:p>
      <w:pPr>
        <w:spacing w:after="0" w:line="2" w:lineRule="exact"/>
        <w:rPr>
          <w:sz w:val="20"/>
          <w:szCs w:val="20"/>
          <w:color w:val="auto"/>
        </w:rPr>
      </w:pPr>
    </w:p>
    <w:p>
      <w:pPr>
        <w:jc w:val="both"/>
        <w:ind w:right="220"/>
        <w:spacing w:after="0" w:line="214" w:lineRule="auto"/>
        <w:rPr>
          <w:sz w:val="20"/>
          <w:szCs w:val="20"/>
          <w:color w:val="auto"/>
        </w:rPr>
      </w:pPr>
      <w:r>
        <w:rPr>
          <w:rFonts w:ascii="Times New Roman" w:cs="Times New Roman" w:eastAsia="Times New Roman" w:hAnsi="Times New Roman"/>
          <w:sz w:val="18"/>
          <w:szCs w:val="18"/>
          <w:color w:val="auto"/>
        </w:rPr>
        <w:t>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3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2022 (the “10-K”), the footnotes thereto and</w:t>
      </w:r>
    </w:p>
    <w:p>
      <w:pPr>
        <w:spacing w:after="0"/>
        <w:rPr>
          <w:sz w:val="20"/>
          <w:szCs w:val="20"/>
          <w:color w:val="auto"/>
        </w:rPr>
      </w:pPr>
      <w:r>
        <w:rPr>
          <w:rFonts w:ascii="Times New Roman" w:cs="Times New Roman" w:eastAsia="Times New Roman" w:hAnsi="Times New Roman"/>
          <w:sz w:val="18"/>
          <w:szCs w:val="18"/>
          <w:color w:val="auto"/>
        </w:rPr>
        <w:t>the limitations set forth therein. Investors may not rely on the press release without reference to the 10-Q, the 10-K, and the Public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Borders>
              <w:top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8,961</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7,808</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3,732</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23,955,767 and 22,410,126 shares issued and</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74,910</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18"/>
                <w:szCs w:val="18"/>
                <w:color w:val="auto"/>
              </w:rPr>
            </w:pPr>
          </w:p>
        </w:tc>
        <w:tc>
          <w:tcPr>
            <w:tcW w:w="252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1"/>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00" w:type="dxa"/>
            <w:vAlign w:val="bottom"/>
            <w:gridSpan w:val="2"/>
            <w:shd w:val="clear" w:color="auto" w:fill="CCEEFF"/>
          </w:tcPr>
          <w:p>
            <w:pPr>
              <w:spacing w:after="0"/>
              <w:rPr>
                <w:sz w:val="18"/>
                <w:szCs w:val="18"/>
                <w:color w:val="auto"/>
              </w:rPr>
            </w:pPr>
          </w:p>
        </w:tc>
      </w:tr>
      <w:tr>
        <w:trPr>
          <w:trHeight w:val="229"/>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4,564</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17,051</w:t>
            </w:r>
          </w:p>
        </w:tc>
      </w:tr>
      <w:tr>
        <w:trPr>
          <w:trHeight w:val="210"/>
        </w:trPr>
        <w:tc>
          <w:tcPr>
            <w:tcW w:w="5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tcPr>
          <w:p>
            <w:pPr>
              <w:spacing w:after="0"/>
              <w:rPr>
                <w:sz w:val="19"/>
                <w:szCs w:val="19"/>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1,857</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tcPr>
          <w:p>
            <w:pPr>
              <w:spacing w:after="0"/>
              <w:rPr>
                <w:sz w:val="19"/>
                <w:szCs w:val="19"/>
                <w:color w:val="auto"/>
              </w:rPr>
            </w:pPr>
          </w:p>
        </w:tc>
      </w:tr>
      <w:tr>
        <w:trPr>
          <w:trHeight w:val="209"/>
        </w:trPr>
        <w:tc>
          <w:tcPr>
            <w:tcW w:w="5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(7,495)</w:t>
            </w:r>
          </w:p>
        </w:tc>
      </w:tr>
      <w:tr>
        <w:trPr>
          <w:trHeight w:val="229"/>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r>
      <w:tr>
        <w:trPr>
          <w:trHeight w:val="209"/>
        </w:trPr>
        <w:tc>
          <w:tcPr>
            <w:tcW w:w="5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(7,977)</w:t>
            </w:r>
          </w:p>
        </w:tc>
      </w:tr>
      <w:tr>
        <w:trPr>
          <w:trHeight w:val="229"/>
        </w:trPr>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9"/>
        </w:trPr>
        <w:tc>
          <w:tcPr>
            <w:tcW w:w="5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Borders>
              <w:bottom w:val="single" w:sz="8" w:color="CCEEFF"/>
            </w:tcBorders>
            <w:gridSpan w:val="2"/>
          </w:tcPr>
          <w:p>
            <w:pPr>
              <w:spacing w:after="0"/>
              <w:rPr>
                <w:sz w:val="21"/>
                <w:szCs w:val="21"/>
                <w:color w:val="auto"/>
              </w:rPr>
            </w:pPr>
          </w:p>
        </w:tc>
      </w:tr>
      <w:tr>
        <w:trPr>
          <w:trHeight w:val="197"/>
        </w:trPr>
        <w:tc>
          <w:tcPr>
            <w:tcW w:w="5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23,952,590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22,403,408</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23,937,962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19,859,817</w:t>
            </w:r>
          </w:p>
        </w:tc>
      </w:tr>
      <w:tr>
        <w:trPr>
          <w:trHeight w:val="27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24,947,851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22,403,408</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25,189,147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19,859,817</w:t>
            </w:r>
          </w:p>
        </w:tc>
      </w:tr>
      <w:tr>
        <w:trPr>
          <w:trHeight w:val="230"/>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0.97</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(7,694)</w:t>
            </w:r>
          </w:p>
        </w:tc>
      </w:tr>
      <w:tr>
        <w:trPr>
          <w:trHeight w:val="270"/>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20" w:type="dxa"/>
            <w:vAlign w:val="bottom"/>
          </w:tcPr>
          <w:p>
            <w:pPr>
              <w:spacing w:after="0"/>
              <w:rPr>
                <w:sz w:val="23"/>
                <w:szCs w:val="2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8"/>
        </w:trPr>
        <w:tc>
          <w:tcPr>
            <w:tcW w:w="5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18"/>
                <w:szCs w:val="18"/>
                <w:color w:val="auto"/>
              </w:rPr>
            </w:pPr>
          </w:p>
        </w:tc>
        <w:tc>
          <w:tcPr>
            <w:tcW w:w="252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1"/>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100" w:type="dxa"/>
            <w:vAlign w:val="bottom"/>
            <w:shd w:val="clear" w:color="auto" w:fill="CCEEFF"/>
          </w:tcPr>
          <w:p>
            <w:pPr>
              <w:spacing w:after="0"/>
              <w:rPr>
                <w:sz w:val="18"/>
                <w:szCs w:val="18"/>
                <w:color w:val="auto"/>
              </w:rPr>
            </w:pPr>
          </w:p>
        </w:tc>
      </w:tr>
      <w:tr>
        <w:trPr>
          <w:trHeight w:val="220"/>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9"/>
                <w:szCs w:val="19"/>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r>
      <w:tr>
        <w:trPr>
          <w:trHeight w:val="239"/>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2,288</w:t>
            </w:r>
          </w:p>
        </w:tc>
      </w:tr>
      <w:tr>
        <w:trPr>
          <w:trHeight w:val="250"/>
        </w:trPr>
        <w:tc>
          <w:tcPr>
            <w:tcW w:w="5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7"/>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24,028</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(2,284)</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140" w:type="dxa"/>
            <w:vAlign w:val="bottom"/>
          </w:tcPr>
          <w:p>
            <w:pPr>
              <w:spacing w:after="0"/>
              <w:rPr>
                <w:sz w:val="19"/>
                <w:szCs w:val="19"/>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(7,694)</w:t>
            </w:r>
          </w:p>
        </w:tc>
      </w:tr>
      <w:tr>
        <w:trPr>
          <w:trHeight w:val="238"/>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r>
      <w:tr>
        <w:trPr>
          <w:trHeight w:val="220"/>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2,288</w:t>
            </w:r>
          </w:p>
        </w:tc>
      </w:tr>
      <w:tr>
        <w:trPr>
          <w:trHeight w:val="26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adjustment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33,623</w:t>
            </w: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35,151)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net income (loss)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24,028</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(2,284)</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(7,694)</w:t>
            </w:r>
          </w:p>
        </w:tc>
      </w:tr>
      <w:tr>
        <w:trPr>
          <w:trHeight w:val="226"/>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GAAP diluted income (loss)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24,947,851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22,403,408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25,189,147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19,859,817</w:t>
            </w:r>
          </w:p>
        </w:tc>
      </w:tr>
      <w:tr>
        <w:trPr>
          <w:trHeight w:val="233"/>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diluted income (loss) per share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0.97</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r>
      <w:tr>
        <w:trPr>
          <w:trHeight w:val="227"/>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(1,596)</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(5,269)</w:t>
            </w:r>
          </w:p>
        </w:tc>
      </w:tr>
      <w:tr>
        <w:trPr>
          <w:trHeight w:val="232"/>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Non-GAAP diluted income (loss) per share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24,947,851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22,403,408</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25,189,147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19,859,817</w:t>
            </w:r>
          </w:p>
        </w:tc>
      </w:tr>
      <w:tr>
        <w:trPr>
          <w:trHeight w:val="227"/>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Non-GAAP diluted income (loss)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(0.27)</w:t>
            </w:r>
          </w:p>
        </w:tc>
      </w:tr>
      <w:tr>
        <w:trPr>
          <w:trHeight w:val="233"/>
        </w:trPr>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7"/>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24,028</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(2,284)</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140" w:type="dxa"/>
            <w:vAlign w:val="bottom"/>
          </w:tcPr>
          <w:p>
            <w:pPr>
              <w:spacing w:after="0"/>
              <w:rPr>
                <w:sz w:val="19"/>
                <w:szCs w:val="19"/>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(7,694)</w:t>
            </w:r>
          </w:p>
        </w:tc>
      </w:tr>
      <w:tr>
        <w:trPr>
          <w:trHeight w:val="232"/>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r>
      <w:tr>
        <w:trPr>
          <w:trHeight w:val="230"/>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9"/>
                <w:szCs w:val="19"/>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r>
      <w:tr>
        <w:trPr>
          <w:trHeight w:val="220"/>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2,288</w:t>
            </w:r>
          </w:p>
        </w:tc>
      </w:tr>
      <w:tr>
        <w:trPr>
          <w:trHeight w:val="253"/>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adjustment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33,623</w:t>
            </w: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35,151</w:t>
            </w: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r>
      <w:tr>
        <w:trPr>
          <w:trHeight w:val="21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19" w:lineRule="auto"/>
        <w:rPr>
          <w:sz w:val="20"/>
          <w:szCs w:val="20"/>
          <w:color w:val="auto"/>
        </w:rPr>
      </w:pPr>
      <w:r>
        <w:rPr>
          <w:rFonts w:ascii="Times New Roman" w:cs="Times New Roman" w:eastAsia="Times New Roman" w:hAnsi="Times New Roman"/>
          <w:sz w:val="18"/>
          <w:szCs w:val="18"/>
          <w:color w:val="auto"/>
        </w:rPr>
        <w:t>Narsi Narayanan</w:t>
      </w:r>
    </w:p>
    <w:p>
      <w:pPr>
        <w:spacing w:after="0" w:line="203" w:lineRule="auto"/>
        <w:rPr>
          <w:sz w:val="20"/>
          <w:szCs w:val="20"/>
          <w:color w:val="auto"/>
        </w:rPr>
      </w:pPr>
      <w:r>
        <w:rPr>
          <w:rFonts w:ascii="Times New Roman" w:cs="Times New Roman" w:eastAsia="Times New Roman" w:hAnsi="Times New Roman"/>
          <w:sz w:val="18"/>
          <w:szCs w:val="18"/>
          <w:color w:val="auto"/>
        </w:rPr>
        <w:t>385-426-0565</w:t>
      </w:r>
    </w:p>
    <w:p>
      <w:pPr>
        <w:spacing w:after="0" w:line="204" w:lineRule="auto"/>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2023-04-06T12:28:35Z</dcterms:created>
  <dcterms:modified xsi:type="dcterms:W3CDTF">2023-04-06T12:28:35Z</dcterms:modified>
</cp:coreProperties>
</file>