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December 20, 2013</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ClearOne,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80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4"/>
              </w:rPr>
              <w:t>Utah</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0"/>
              </w:rPr>
              <w:t>001-33660</w:t>
            </w:r>
          </w:p>
        </w:tc>
        <w:tc>
          <w:tcPr>
            <w:tcW w:w="280" w:type="dxa"/>
            <w:vAlign w:val="bottom"/>
          </w:tcPr>
          <w:p>
            <w:pPr>
              <w:spacing w:after="0"/>
              <w:rPr>
                <w:sz w:val="20"/>
                <w:szCs w:val="20"/>
                <w:color w:val="auto"/>
              </w:rPr>
            </w:pPr>
          </w:p>
        </w:tc>
        <w:tc>
          <w:tcPr>
            <w:tcW w:w="20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87-0398877</w:t>
            </w:r>
          </w:p>
        </w:tc>
        <w:tc>
          <w:tcPr>
            <w:tcW w:w="640" w:type="dxa"/>
            <w:vAlign w:val="bottom"/>
          </w:tcPr>
          <w:p>
            <w:pPr>
              <w:spacing w:after="0"/>
              <w:rPr>
                <w:sz w:val="20"/>
                <w:szCs w:val="20"/>
                <w:color w:val="auto"/>
              </w:rPr>
            </w:pPr>
          </w:p>
        </w:tc>
      </w:tr>
      <w:tr>
        <w:trPr>
          <w:trHeight w:val="27"/>
        </w:trPr>
        <w:tc>
          <w:tcPr>
            <w:tcW w:w="6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2"/>
        </w:trPr>
        <w:tc>
          <w:tcPr>
            <w:tcW w:w="34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(State or Other Jurisdiction</w:t>
            </w:r>
          </w:p>
        </w:tc>
        <w:tc>
          <w:tcPr>
            <w:tcW w:w="34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(Commission</w:t>
            </w:r>
          </w:p>
        </w:tc>
        <w:tc>
          <w:tcPr>
            <w:tcW w:w="2660" w:type="dxa"/>
            <w:vAlign w:val="bottom"/>
            <w:gridSpan w:val="4"/>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660" w:type="dxa"/>
            <w:vAlign w:val="bottom"/>
          </w:tcPr>
          <w:p>
            <w:pPr>
              <w:spacing w:after="0"/>
              <w:rPr>
                <w:sz w:val="20"/>
                <w:szCs w:val="20"/>
                <w:color w:val="auto"/>
              </w:rPr>
            </w:pPr>
          </w:p>
        </w:tc>
        <w:tc>
          <w:tcPr>
            <w:tcW w:w="280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of Incorporation)</w:t>
            </w:r>
          </w:p>
        </w:tc>
        <w:tc>
          <w:tcPr>
            <w:tcW w:w="34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File Number)</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837"/>
        </w:trPr>
        <w:tc>
          <w:tcPr>
            <w:tcW w:w="660" w:type="dxa"/>
            <w:vAlign w:val="bottom"/>
          </w:tcPr>
          <w:p>
            <w:pPr>
              <w:spacing w:after="0"/>
              <w:rPr>
                <w:sz w:val="24"/>
                <w:szCs w:val="24"/>
                <w:color w:val="auto"/>
              </w:rPr>
            </w:pPr>
          </w:p>
        </w:tc>
        <w:tc>
          <w:tcPr>
            <w:tcW w:w="6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202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84116</w:t>
            </w:r>
          </w:p>
        </w:tc>
        <w:tc>
          <w:tcPr>
            <w:tcW w:w="640" w:type="dxa"/>
            <w:vAlign w:val="bottom"/>
          </w:tcPr>
          <w:p>
            <w:pPr>
              <w:spacing w:after="0"/>
              <w:rPr>
                <w:sz w:val="24"/>
                <w:szCs w:val="24"/>
                <w:color w:val="auto"/>
              </w:rPr>
            </w:pPr>
          </w:p>
        </w:tc>
      </w:tr>
      <w:tr>
        <w:trPr>
          <w:trHeight w:val="27"/>
        </w:trPr>
        <w:tc>
          <w:tcPr>
            <w:tcW w:w="660" w:type="dxa"/>
            <w:vAlign w:val="bottom"/>
          </w:tcPr>
          <w:p>
            <w:pPr>
              <w:spacing w:after="0"/>
              <w:rPr>
                <w:sz w:val="2"/>
                <w:szCs w:val="2"/>
                <w:color w:val="auto"/>
              </w:rPr>
            </w:pPr>
          </w:p>
        </w:tc>
        <w:tc>
          <w:tcPr>
            <w:tcW w:w="62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62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gridSpan w:val="2"/>
          </w:tcPr>
          <w:p>
            <w:pPr>
              <w:jc w:val="center"/>
              <w:ind w:right="64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00"/>
          </w:cols>
          <w:pgMar w:left="240" w:top="47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20, 2013 ClearOne, Inc. entered into an agreement to acquire the Spontania business of Spain-based Dialcom Networks, S.L. Under the terms of this agreement, ClearOne will pay €3.65 million in cash and will not assume any debt or cash. The acquisition is expected to close by the end of first quarter of 2014, subject to customary closing conditions, including applicable regulatory approvals. Spontania is a cloud-based group video conferencing software delivered to enterprise users on software as a service (SaaS) model. Spontania’s features include presence and instant messaging, real time voice, video and advanced collaboration services, including capabilities for sharing presentations and media files. With this acquisition, assuming all approvals are obtained as expected, ClearOne expands its video conferencing offering to cater to different market needs with flexible deployment models.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tabs>
          <w:tab w:leader="none" w:pos="4220" w:val="left"/>
          <w:tab w:leader="none" w:pos="4800" w:val="left"/>
        </w:tabs>
        <w:rPr>
          <w:sz w:val="20"/>
          <w:szCs w:val="20"/>
          <w:color w:val="auto"/>
        </w:rPr>
      </w:pPr>
      <w:r>
        <w:rPr>
          <w:rFonts w:ascii="Arial" w:cs="Arial" w:eastAsia="Arial" w:hAnsi="Arial"/>
          <w:sz w:val="18"/>
          <w:szCs w:val="18"/>
          <w:color w:val="auto"/>
        </w:rPr>
        <w:t>Date: December 24,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Zee Hakimoglu</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Zee Hakimoglu</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President &amp; Chief Executive Officer</w:t>
      </w:r>
    </w:p>
    <w:sectPr>
      <w:pgSz w:w="11900" w:h="16838" w:orient="portrait"/>
      <w:cols w:equalWidth="0" w:num="1">
        <w:col w:w="11420"/>
      </w:cols>
      <w:pgMar w:left="240" w:top="7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2019-12-06T03:44:30Z</dcterms:created>
  <dcterms:modified xsi:type="dcterms:W3CDTF">2019-12-06T03:44:30Z</dcterms:modified>
</cp:coreProperties>
</file>